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spacing w:line="600" w:lineRule="exact"/>
        <w:jc w:val="center"/>
        <w:rPr>
          <w:rFonts w:hint="eastAsia" w:ascii="Times New Roman" w:hAnsi="Times New Roman" w:eastAsia="仿宋_GB2312" w:cs="仿宋_GB2312"/>
          <w:sz w:val="32"/>
          <w:szCs w:val="32"/>
          <w:lang w:val="en-US" w:eastAsia="zh-CN"/>
        </w:rPr>
      </w:pPr>
      <w:r>
        <w:rPr>
          <w:rFonts w:hint="eastAsia" w:ascii="方正小标宋简体" w:hAnsi="方正小标宋简体" w:eastAsia="方正小标宋简体" w:cs="方正小标宋简体"/>
          <w:sz w:val="44"/>
          <w:szCs w:val="44"/>
          <w:lang w:val="en-US" w:eastAsia="zh-CN"/>
        </w:rPr>
        <w:t>2023年度连平县市场监管领域部门联合双随机抽查工作计划</w:t>
      </w:r>
    </w:p>
    <w:p/>
    <w:tbl>
      <w:tblPr>
        <w:tblStyle w:val="4"/>
        <w:tblW w:w="15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802"/>
        <w:gridCol w:w="1150"/>
        <w:gridCol w:w="3543"/>
        <w:gridCol w:w="1350"/>
        <w:gridCol w:w="1725"/>
        <w:gridCol w:w="1320"/>
        <w:gridCol w:w="1680"/>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63" w:type="dxa"/>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企业年度报告抽查</w:t>
            </w:r>
          </w:p>
        </w:tc>
        <w:tc>
          <w:tcPr>
            <w:tcW w:w="1150" w:type="dxa"/>
            <w:noWrap w:val="0"/>
            <w:vAlign w:val="center"/>
          </w:tcPr>
          <w:p>
            <w:pPr>
              <w:widowControl/>
              <w:spacing w:line="320" w:lineRule="exact"/>
              <w:jc w:val="center"/>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年度报告公示信息的检查</w:t>
            </w:r>
          </w:p>
        </w:tc>
        <w:tc>
          <w:tcPr>
            <w:tcW w:w="1350" w:type="dxa"/>
            <w:noWrap w:val="0"/>
            <w:vAlign w:val="center"/>
          </w:tcPr>
          <w:p>
            <w:pPr>
              <w:adjustRightInd w:val="0"/>
              <w:snapToGrid w:val="0"/>
              <w:jc w:val="center"/>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eastAsia="zh-CN" w:bidi="ar"/>
              </w:rPr>
              <w:t>一般检</w:t>
            </w:r>
            <w:r>
              <w:rPr>
                <w:rFonts w:hint="eastAsia" w:eastAsia="宋体" w:cs="Times New Roman"/>
                <w:color w:val="000000"/>
                <w:kern w:val="0"/>
                <w:sz w:val="21"/>
                <w:szCs w:val="21"/>
                <w:lang w:eastAsia="zh-CN" w:bidi="ar"/>
              </w:rPr>
              <w:t>查</w:t>
            </w:r>
          </w:p>
        </w:tc>
        <w:tc>
          <w:tcPr>
            <w:tcW w:w="1725" w:type="dxa"/>
            <w:noWrap w:val="0"/>
            <w:vAlign w:val="center"/>
          </w:tcPr>
          <w:p>
            <w:pPr>
              <w:adjustRightInd w:val="0"/>
              <w:snapToGrid w:val="0"/>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各类企业年报信息</w:t>
            </w:r>
          </w:p>
        </w:tc>
        <w:tc>
          <w:tcPr>
            <w:tcW w:w="1320" w:type="dxa"/>
            <w:noWrap w:val="0"/>
            <w:vAlign w:val="center"/>
          </w:tcPr>
          <w:p>
            <w:pPr>
              <w:widowControl/>
              <w:spacing w:line="320" w:lineRule="exact"/>
              <w:jc w:val="center"/>
              <w:rPr>
                <w:rFonts w:hint="default" w:ascii="Times New Roman" w:hAnsi="Times New Roman" w:eastAsia="仿宋_GB2312" w:cs="仿宋_GB2312"/>
                <w:sz w:val="32"/>
                <w:szCs w:val="32"/>
                <w:lang w:val="en-US"/>
              </w:rPr>
            </w:pPr>
            <w:r>
              <w:rPr>
                <w:rFonts w:hint="eastAsia" w:eastAsia="宋体" w:cs="Times New Roman"/>
                <w:color w:val="000000"/>
                <w:kern w:val="0"/>
                <w:sz w:val="21"/>
                <w:szCs w:val="21"/>
                <w:lang w:val="en-US" w:eastAsia="zh-CN" w:bidi="ar"/>
              </w:rPr>
              <w:t>9</w:t>
            </w:r>
            <w:r>
              <w:rPr>
                <w:rFonts w:hint="eastAsia" w:ascii="Times New Roman" w:hAnsi="Times New Roman" w:eastAsia="宋体" w:cs="Times New Roman"/>
                <w:color w:val="000000"/>
                <w:kern w:val="0"/>
                <w:sz w:val="21"/>
                <w:szCs w:val="21"/>
                <w:lang w:val="en-US" w:eastAsia="zh-CN" w:bidi="ar"/>
              </w:rPr>
              <w:t>月前</w:t>
            </w:r>
          </w:p>
        </w:tc>
        <w:tc>
          <w:tcPr>
            <w:tcW w:w="1680" w:type="dxa"/>
            <w:noWrap w:val="0"/>
            <w:vAlign w:val="center"/>
          </w:tcPr>
          <w:p>
            <w:pPr>
              <w:widowControl/>
              <w:spacing w:line="320" w:lineRule="exact"/>
              <w:jc w:val="center"/>
              <w:rPr>
                <w:rFonts w:hint="eastAsia" w:ascii="Times New Roman" w:hAnsi="Times New Roman" w:eastAsia="仿宋_GB2312" w:cs="仿宋_GB2312"/>
                <w:sz w:val="32"/>
                <w:szCs w:val="32"/>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市场监管</w:t>
            </w:r>
            <w:r>
              <w:rPr>
                <w:rFonts w:hint="eastAsia" w:ascii="Times New Roman" w:hAnsi="Times New Roman" w:eastAsia="宋体" w:cs="Times New Roman"/>
                <w:color w:val="000000"/>
                <w:kern w:val="0"/>
                <w:sz w:val="21"/>
                <w:szCs w:val="21"/>
                <w:lang w:val="en-US" w:eastAsia="zh-CN" w:bidi="ar"/>
              </w:rPr>
              <w:t>局</w:t>
            </w:r>
          </w:p>
        </w:tc>
        <w:tc>
          <w:tcPr>
            <w:tcW w:w="1787" w:type="dxa"/>
            <w:noWrap w:val="0"/>
            <w:vAlign w:val="center"/>
          </w:tcPr>
          <w:p>
            <w:pPr>
              <w:widowControl/>
              <w:spacing w:line="320" w:lineRule="exact"/>
              <w:jc w:val="center"/>
              <w:rPr>
                <w:rFonts w:hint="eastAsia" w:ascii="Times New Roman" w:hAnsi="Times New Roman" w:eastAsia="仿宋_GB2312" w:cs="仿宋_GB2312"/>
                <w:sz w:val="32"/>
                <w:szCs w:val="32"/>
                <w:lang w:eastAsia="zh-CN"/>
              </w:rPr>
            </w:pPr>
            <w:r>
              <w:rPr>
                <w:rFonts w:hint="eastAsia" w:ascii="Times New Roman" w:hAnsi="Times New Roman" w:eastAsia="宋体" w:cs="Times New Roman"/>
                <w:color w:val="000000"/>
                <w:kern w:val="0"/>
                <w:sz w:val="21"/>
                <w:szCs w:val="21"/>
                <w:lang w:val="en-US" w:eastAsia="zh-CN" w:bidi="ar"/>
              </w:rPr>
              <w:t>县人社局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检测机构检测抽查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w:t>
            </w:r>
            <w:r>
              <w:rPr>
                <w:rFonts w:hint="eastAsia" w:eastAsia="宋体" w:cs="Times New Roman"/>
                <w:color w:val="000000"/>
                <w:kern w:val="0"/>
                <w:sz w:val="21"/>
                <w:szCs w:val="21"/>
                <w:lang w:val="en-US" w:eastAsia="zh-CN" w:bidi="ar"/>
              </w:rPr>
              <w:t>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检验检测机构检查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全县检验检测机构</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11月前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市生态环境局</w:t>
            </w:r>
          </w:p>
          <w:p>
            <w:pPr>
              <w:widowControl/>
              <w:spacing w:line="320" w:lineRule="exact"/>
              <w:jc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连平分局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63"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机动车销售企业监管监督检查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机动车获得强制性产品认证情况检查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机动车销售企业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5</w:t>
            </w:r>
            <w:r>
              <w:rPr>
                <w:rFonts w:hint="eastAsia" w:ascii="宋体" w:hAnsi="宋体" w:eastAsia="宋体" w:cs="宋体"/>
                <w:color w:val="auto"/>
                <w:kern w:val="0"/>
                <w:sz w:val="21"/>
                <w:szCs w:val="21"/>
                <w:lang w:val="en-US" w:eastAsia="zh-CN"/>
              </w:rPr>
              <w:t>月</w:t>
            </w:r>
            <w:r>
              <w:rPr>
                <w:rFonts w:hint="eastAsia" w:ascii="Times New Roman" w:hAnsi="Times New Roman" w:eastAsia="宋体" w:cs="Times New Roman"/>
                <w:color w:val="000000"/>
                <w:kern w:val="0"/>
                <w:sz w:val="21"/>
                <w:szCs w:val="21"/>
                <w:lang w:val="en-US" w:eastAsia="zh-CN" w:bidi="ar"/>
              </w:rPr>
              <w:t>至10月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4</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零售市场秩序日常检查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专卖法律法规执行情况、规范经营情况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经营卷烟业务的企业和个人</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全年</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县烟草局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5</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烟花爆竹批发企业安全检查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top"/>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烟花爆竹仓库安全生产、配送、防雷等情况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left"/>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烟花爆竹批发企业（带仓库）</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12月前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县应急局</w:t>
            </w:r>
          </w:p>
        </w:tc>
        <w:tc>
          <w:tcPr>
            <w:tcW w:w="1787" w:type="dxa"/>
            <w:noWrap w:val="0"/>
            <w:vAlign w:val="top"/>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县气象局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6</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消防安全检查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消防产品质量监督抽查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对人员密集场所使用的消防产品进行抽查检查</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w:t>
            </w:r>
            <w:r>
              <w:rPr>
                <w:rFonts w:hint="eastAsia" w:ascii="宋体" w:hAnsi="宋体" w:eastAsia="宋体" w:cs="宋体"/>
                <w:color w:val="auto"/>
                <w:kern w:val="0"/>
                <w:sz w:val="21"/>
                <w:szCs w:val="21"/>
                <w:lang w:val="en-US" w:eastAsia="zh-CN"/>
              </w:rPr>
              <w:t>月</w:t>
            </w:r>
            <w:r>
              <w:rPr>
                <w:rFonts w:hint="eastAsia" w:ascii="Times New Roman" w:hAnsi="Times New Roman" w:eastAsia="宋体" w:cs="Times New Roman"/>
                <w:color w:val="000000"/>
                <w:kern w:val="0"/>
                <w:sz w:val="21"/>
                <w:szCs w:val="21"/>
                <w:lang w:val="en-US" w:eastAsia="zh-CN" w:bidi="ar"/>
              </w:rPr>
              <w:t>至5月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县消防救援大队</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市场监管</w:t>
            </w:r>
            <w:r>
              <w:rPr>
                <w:rFonts w:hint="eastAsia" w:ascii="Times New Roman" w:hAnsi="Times New Roman" w:eastAsia="宋体" w:cs="Times New Roman"/>
                <w:color w:val="000000"/>
                <w:kern w:val="0"/>
                <w:sz w:val="21"/>
                <w:szCs w:val="21"/>
                <w:lang w:val="en-US" w:eastAsia="zh-CN" w:bidi="ar"/>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7</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劳务派遣用工监管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劳务派遣单位遵守劳动保障法律法规情况、相关用工企业遵守劳动保障法律法规情况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劳务派遣单位和相关用工企业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县人社局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市场监管</w:t>
            </w:r>
            <w:r>
              <w:rPr>
                <w:rFonts w:hint="eastAsia" w:ascii="Times New Roman" w:hAnsi="Times New Roman" w:eastAsia="宋体" w:cs="Times New Roman"/>
                <w:color w:val="000000"/>
                <w:kern w:val="0"/>
                <w:sz w:val="21"/>
                <w:szCs w:val="21"/>
                <w:lang w:val="en-US" w:eastAsia="zh-CN" w:bidi="ar"/>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8</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劳动用工监管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建设领域各企业遵守按月足额支付工资规定、劳动合同签订、落实工人工资支付保证金、分账管理和劳动用工实名制等制度及其他劳动用工情况等</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全县建设领域各在建工程项目建设单位、施工总承包单位、分包单位</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县人社局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县交通局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县水务局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9</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新车销售市场监管检查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新车销售市场经营主体企业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县发改局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0</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房地产市场监督执法抽查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房地产行业定价情况的检查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房地产从业单位</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1</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建筑市场监督执法抽查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房屋市政工程工人工资支付的检查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建筑市场从业单位</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县人社局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2</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二手车交易市场和二手车经营主体</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3</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统计执法检查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统计调查对象依法提供统计资料情况；设置原始记录、统计台账情况</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统计调查对象</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w:t>
            </w:r>
            <w:r>
              <w:rPr>
                <w:rFonts w:hint="eastAsia" w:ascii="宋体" w:hAnsi="宋体" w:eastAsia="宋体" w:cs="宋体"/>
                <w:color w:val="auto"/>
                <w:kern w:val="0"/>
                <w:sz w:val="21"/>
                <w:szCs w:val="21"/>
                <w:lang w:val="en-US" w:eastAsia="zh-CN"/>
              </w:rPr>
              <w:t>月</w:t>
            </w:r>
            <w:r>
              <w:rPr>
                <w:rFonts w:hint="eastAsia" w:ascii="Times New Roman" w:hAnsi="Times New Roman" w:eastAsia="宋体" w:cs="Times New Roman"/>
                <w:color w:val="000000"/>
                <w:kern w:val="0"/>
                <w:sz w:val="21"/>
                <w:szCs w:val="21"/>
                <w:lang w:val="en-US" w:eastAsia="zh-CN" w:bidi="ar"/>
              </w:rPr>
              <w:t>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县统计局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4</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燃气经营执法监督检查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燃气经营许可证取得情况监督检查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全县燃气经营企业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6月份</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县城管局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5</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燃气经营执法监督检查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燃气钢瓶监督执法检查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全县燃气经营企业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6月份</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县城管局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w:t>
            </w:r>
            <w:r>
              <w:rPr>
                <w:rFonts w:hint="eastAsia" w:ascii="宋体" w:hAnsi="宋体" w:cs="宋体"/>
                <w:color w:val="auto"/>
                <w:kern w:val="0"/>
                <w:sz w:val="21"/>
                <w:szCs w:val="21"/>
                <w:lang w:val="en-US" w:eastAsia="zh-CN" w:bidi="ar-SA"/>
              </w:rPr>
              <w:t>6</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道路运输新业态行业监督行政检查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1.网约车平台公司互联网信息服务备案情况监督</w:t>
            </w:r>
            <w:r>
              <w:rPr>
                <w:rFonts w:hint="eastAsia" w:ascii="Times New Roman" w:hAnsi="Times New Roman" w:eastAsia="宋体" w:cs="Times New Roman"/>
                <w:color w:val="000000"/>
                <w:kern w:val="0"/>
                <w:sz w:val="21"/>
                <w:szCs w:val="21"/>
                <w:lang w:val="en" w:eastAsia="zh-CN" w:bidi="ar"/>
              </w:rPr>
              <w:t>；</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2.网约车平台公司暂停或者终止运营情况监督</w:t>
            </w:r>
            <w:r>
              <w:rPr>
                <w:rFonts w:hint="eastAsia" w:ascii="Times New Roman" w:hAnsi="Times New Roman" w:eastAsia="宋体" w:cs="Times New Roman"/>
                <w:color w:val="000000"/>
                <w:kern w:val="0"/>
                <w:sz w:val="21"/>
                <w:szCs w:val="21"/>
                <w:lang w:val="en" w:eastAsia="zh-CN" w:bidi="ar"/>
              </w:rPr>
              <w:t xml:space="preserve">； </w:t>
            </w:r>
            <w:r>
              <w:rPr>
                <w:rFonts w:hint="eastAsia" w:ascii="Times New Roman" w:hAnsi="Times New Roman" w:eastAsia="宋体" w:cs="Times New Roman"/>
                <w:color w:val="000000"/>
                <w:kern w:val="0"/>
                <w:sz w:val="21"/>
                <w:szCs w:val="21"/>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3.网约车平台公司提供服务车辆具备合法营运资质及报备情况监督</w:t>
            </w:r>
            <w:r>
              <w:rPr>
                <w:rFonts w:hint="eastAsia" w:ascii="Times New Roman" w:hAnsi="Times New Roman" w:eastAsia="宋体" w:cs="Times New Roman"/>
                <w:color w:val="000000"/>
                <w:kern w:val="0"/>
                <w:sz w:val="21"/>
                <w:szCs w:val="21"/>
                <w:lang w:val="en" w:eastAsia="zh-CN" w:bidi="ar"/>
              </w:rPr>
              <w:t xml:space="preserve">； </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4.网约车平台公司提供服务驾驶员具有合法从业资格及日常管理和报备情况监督</w:t>
            </w:r>
            <w:r>
              <w:rPr>
                <w:rFonts w:hint="eastAsia" w:ascii="Times New Roman" w:hAnsi="Times New Roman" w:eastAsia="宋体" w:cs="Times New Roman"/>
                <w:color w:val="000000"/>
                <w:kern w:val="0"/>
                <w:sz w:val="21"/>
                <w:szCs w:val="21"/>
                <w:lang w:val="en" w:eastAsia="zh-CN" w:bidi="ar"/>
              </w:rPr>
              <w:t>；</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5.网约车平台公司合规定价及公平竞争情况监督</w:t>
            </w:r>
            <w:r>
              <w:rPr>
                <w:rFonts w:hint="eastAsia" w:ascii="Times New Roman" w:hAnsi="Times New Roman" w:eastAsia="宋体" w:cs="Times New Roman"/>
                <w:color w:val="000000"/>
                <w:kern w:val="0"/>
                <w:sz w:val="21"/>
                <w:szCs w:val="21"/>
                <w:lang w:val="en" w:eastAsia="zh-CN" w:bidi="ar"/>
              </w:rPr>
              <w:t xml:space="preserve">； </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 w:eastAsia="zh-CN" w:bidi="ar"/>
              </w:rPr>
            </w:pPr>
            <w:r>
              <w:rPr>
                <w:rFonts w:hint="eastAsia" w:ascii="Times New Roman" w:hAnsi="Times New Roman" w:eastAsia="宋体" w:cs="Times New Roman"/>
                <w:color w:val="000000"/>
                <w:kern w:val="0"/>
                <w:sz w:val="21"/>
                <w:szCs w:val="21"/>
                <w:lang w:val="en-US" w:eastAsia="zh-CN" w:bidi="ar"/>
              </w:rPr>
              <w:t>6.网约车平台公司服务评价体系和乘客投诉处理制度的建立和运行情况监督</w:t>
            </w:r>
            <w:r>
              <w:rPr>
                <w:rFonts w:hint="eastAsia" w:ascii="Times New Roman" w:hAnsi="Times New Roman" w:eastAsia="宋体" w:cs="Times New Roman"/>
                <w:color w:val="000000"/>
                <w:kern w:val="0"/>
                <w:sz w:val="21"/>
                <w:szCs w:val="21"/>
                <w:lang w:val="en" w:eastAsia="zh-CN" w:bidi="ar"/>
              </w:rPr>
              <w:t>；</w:t>
            </w:r>
          </w:p>
          <w:p>
            <w:pPr>
              <w:keepNext w:val="0"/>
              <w:keepLines w:val="0"/>
              <w:pageBreakBefore w:val="0"/>
              <w:widowControl/>
              <w:kinsoku/>
              <w:wordWrap/>
              <w:overflowPunct/>
              <w:topLinePunct w:val="0"/>
              <w:autoSpaceDE/>
              <w:autoSpaceDN/>
              <w:bidi w:val="0"/>
              <w:adjustRightInd/>
              <w:snapToGrid/>
              <w:spacing w:line="324"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7.网约车平台公司为乘客购买承运人责任险情况监督</w:t>
            </w:r>
            <w:r>
              <w:rPr>
                <w:rFonts w:hint="eastAsia" w:ascii="Times New Roman" w:hAnsi="Times New Roman" w:eastAsia="宋体" w:cs="Times New Roman"/>
                <w:color w:val="000000"/>
                <w:kern w:val="0"/>
                <w:sz w:val="21"/>
                <w:szCs w:val="21"/>
                <w:lang w:val="en" w:eastAsia="zh-CN" w:bidi="ar"/>
              </w:rPr>
              <w:t>。</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网约出租汽车平台公司</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3次/年</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县交通局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both"/>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7</w:t>
            </w:r>
          </w:p>
        </w:tc>
        <w:tc>
          <w:tcPr>
            <w:tcW w:w="1802" w:type="dxa"/>
            <w:noWrap w:val="0"/>
            <w:vAlign w:val="center"/>
          </w:tcPr>
          <w:p>
            <w:pPr>
              <w:adjustRightInd w:val="0"/>
              <w:snapToGrid w:val="0"/>
              <w:jc w:val="both"/>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宋体" w:cs="Times New Roman"/>
                <w:color w:val="000000"/>
                <w:kern w:val="0"/>
                <w:sz w:val="21"/>
                <w:szCs w:val="21"/>
                <w:lang w:val="en-US" w:eastAsia="zh-CN" w:bidi="ar"/>
              </w:rPr>
              <w:t>道路危险货物运输行业监督行政检查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1.道路危险货物运输企业资质监督；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2.道路危险货物运输企业安全生产基础保障监督；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3.道路危险货物运输企业安全责任体系建设监督；</w:t>
            </w:r>
          </w:p>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4.道路危险货物运输企业安全管理制度建设监督；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5.道路危险货物运输企业安全操作规程和各类台账档案监督；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6.道路危险货物运输企业安全投入监督；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7.道路危险货物运输企业驾驶人管理监督；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8.道路危险货物运输企业营运车辆技术与现场作业管理监督；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9.道路危险货物运输企业营运车辆动态监控监督；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10.道路危险货物运输企业安全教育与培训监督；</w:t>
            </w:r>
          </w:p>
          <w:p>
            <w:pPr>
              <w:widowControl/>
              <w:spacing w:line="320" w:lineRule="exact"/>
              <w:jc w:val="both"/>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 xml:space="preserve">11.道路危险货物运输企业安全隐患排查与治理监督； </w:t>
            </w:r>
          </w:p>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12.道路危险货物运输企业应急救援与事故处理监督。</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道路危险货物运输企业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3次/年</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县交通局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县应急管理局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w:t>
            </w:r>
            <w:r>
              <w:rPr>
                <w:rFonts w:hint="eastAsia" w:ascii="宋体" w:hAnsi="宋体" w:cs="宋体"/>
                <w:color w:val="auto"/>
                <w:kern w:val="0"/>
                <w:sz w:val="21"/>
                <w:szCs w:val="21"/>
                <w:lang w:val="en-US" w:eastAsia="zh-CN"/>
              </w:rPr>
              <w:t>8</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农资打假专项部门联合执法检查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检查种子、化肥、农药、兽药、饲料等农资门店持证、台账记录，有无存在销售假冒劣质、过期失效农资等经营情况</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辖区内农资经营门店</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4月至10底</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县农业农村局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19</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保安行业相关单位抽查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保安从业单位、保安培训单位保安服务和培训活动情况的检查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全县保安行业相关单位</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7月份</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0</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爆破作业单位抽查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民用爆破物仓储情况、爆破作业单位有关制度、作业情况的检查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爆破作业单位</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7月份</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林业局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气象局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自然资源局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1</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宾馆、旅店监督抽查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宾馆、旅业取得许可证情况、治安安全情况的检查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宾馆、旅店</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7月份</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应急局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2</w:t>
            </w:r>
          </w:p>
        </w:tc>
        <w:tc>
          <w:tcPr>
            <w:tcW w:w="1802" w:type="dxa"/>
            <w:noWrap w:val="0"/>
            <w:vAlign w:val="center"/>
          </w:tcPr>
          <w:p>
            <w:pPr>
              <w:keepNext w:val="0"/>
              <w:keepLines w:val="0"/>
              <w:pageBreakBefore w:val="0"/>
              <w:kinsoku/>
              <w:wordWrap/>
              <w:overflowPunct/>
              <w:topLinePunct w:val="0"/>
              <w:autoSpaceDE/>
              <w:autoSpaceDN/>
              <w:bidi w:val="0"/>
              <w:adjustRightInd w:val="0"/>
              <w:snapToGrid w:val="0"/>
              <w:spacing w:line="327" w:lineRule="auto"/>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易制毒化学品从业单位年度报告抽查</w:t>
            </w:r>
          </w:p>
        </w:tc>
        <w:tc>
          <w:tcPr>
            <w:tcW w:w="11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对易制毒化学品生产、经营、购买、运输、仓储等情况进行监督检查</w:t>
            </w:r>
          </w:p>
        </w:tc>
        <w:tc>
          <w:tcPr>
            <w:tcW w:w="135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spacing w:line="327"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易制毒化学品从业单位</w:t>
            </w:r>
          </w:p>
        </w:tc>
        <w:tc>
          <w:tcPr>
            <w:tcW w:w="132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全年</w:t>
            </w:r>
          </w:p>
        </w:tc>
        <w:tc>
          <w:tcPr>
            <w:tcW w:w="1680"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tc>
        <w:tc>
          <w:tcPr>
            <w:tcW w:w="1787" w:type="dxa"/>
            <w:noWrap w:val="0"/>
            <w:vAlign w:val="center"/>
          </w:tcPr>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交通局</w:t>
            </w:r>
          </w:p>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卫生健康局</w:t>
            </w:r>
          </w:p>
          <w:p>
            <w:pPr>
              <w:keepNext w:val="0"/>
              <w:keepLines w:val="0"/>
              <w:pageBreakBefore w:val="0"/>
              <w:widowControl/>
              <w:kinsoku/>
              <w:wordWrap/>
              <w:overflowPunct/>
              <w:topLinePunct w:val="0"/>
              <w:autoSpaceDE/>
              <w:autoSpaceDN/>
              <w:bidi w:val="0"/>
              <w:spacing w:line="327" w:lineRule="auto"/>
              <w:jc w:val="center"/>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w:t>
            </w:r>
            <w:r>
              <w:rPr>
                <w:rFonts w:hint="default" w:ascii="Times New Roman" w:hAnsi="Times New Roman" w:eastAsia="宋体" w:cs="Times New Roman"/>
                <w:color w:val="000000"/>
                <w:kern w:val="0"/>
                <w:sz w:val="21"/>
                <w:szCs w:val="21"/>
                <w:lang w:val="en-US" w:eastAsia="zh-CN" w:bidi="ar"/>
              </w:rPr>
              <w:t>应急局</w:t>
            </w:r>
          </w:p>
          <w:p>
            <w:pPr>
              <w:keepNext w:val="0"/>
              <w:keepLines w:val="0"/>
              <w:pageBreakBefore w:val="0"/>
              <w:widowControl/>
              <w:kinsoku/>
              <w:wordWrap/>
              <w:overflowPunct/>
              <w:topLinePunct w:val="0"/>
              <w:autoSpaceDE/>
              <w:autoSpaceDN/>
              <w:bidi w:val="0"/>
              <w:spacing w:line="327"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3</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公共卫生-文化娱乐场所卫生情况抽查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开展卫生监督抽检，抽查卫生设施的配备运行情况、卫生检测落实情况、人员机构持证情况等，对违反其他卫生健康、市场监管相关法律法规的行为进行检查。</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各类影剧院、录像厅（室）、游艺厅（室）、舞厅、音乐厅。</w:t>
            </w:r>
          </w:p>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（抽查对象范围和数量由国家卫健委统一在卫生监督信息系统抽取确定）</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4</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公共卫生-住宿许可情况抽查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开展卫生监督抽检，抽查宾馆、旅店许可证情况，对违反其他卫生健康、市场监管相关法律法规的行为进行检查。</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各类旅馆、旅店。</w:t>
            </w:r>
          </w:p>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（抽查对象范围和数量由国家卫健委统一在卫生监督信息系统抽取确定）</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县应急局</w:t>
            </w:r>
          </w:p>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7"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5</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公共卫生-住宿场所卫生情况抽查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开展卫生监督抽检，抽查卫生设施的配备运行情况、卫生检测落实情况、人员机构持证情况等，对违反其他卫生健康、市场监管相关法律法规的行为进行检查。</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各类旅馆、旅店。</w:t>
            </w:r>
          </w:p>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（抽查对象范围和数量由国家卫健委统一在卫生监督信息系统抽取确定）</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10月前</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663"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6</w:t>
            </w:r>
          </w:p>
        </w:tc>
        <w:tc>
          <w:tcPr>
            <w:tcW w:w="1802"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对娱乐场所的检查</w:t>
            </w:r>
          </w:p>
        </w:tc>
        <w:tc>
          <w:tcPr>
            <w:tcW w:w="11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不定向</w:t>
            </w:r>
          </w:p>
        </w:tc>
        <w:tc>
          <w:tcPr>
            <w:tcW w:w="3543" w:type="dxa"/>
            <w:noWrap w:val="0"/>
            <w:vAlign w:val="center"/>
          </w:tcPr>
          <w:p>
            <w:pPr>
              <w:keepNext w:val="0"/>
              <w:keepLines w:val="0"/>
              <w:pageBreakBefore w:val="0"/>
              <w:widowControl/>
              <w:numPr>
                <w:ilvl w:val="0"/>
                <w:numId w:val="1"/>
              </w:numPr>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证照是否齐全；</w:t>
            </w:r>
          </w:p>
          <w:p>
            <w:pPr>
              <w:keepNext w:val="0"/>
              <w:keepLines w:val="0"/>
              <w:pageBreakBefore w:val="0"/>
              <w:widowControl/>
              <w:numPr>
                <w:ilvl w:val="0"/>
                <w:numId w:val="1"/>
              </w:numPr>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消防设施是否符合规定；</w:t>
            </w:r>
          </w:p>
          <w:p>
            <w:pPr>
              <w:keepNext w:val="0"/>
              <w:keepLines w:val="0"/>
              <w:pageBreakBefore w:val="0"/>
              <w:widowControl/>
              <w:numPr>
                <w:ilvl w:val="0"/>
                <w:numId w:val="0"/>
              </w:numPr>
              <w:kinsoku/>
              <w:wordWrap/>
              <w:overflowPunct/>
              <w:topLinePunct w:val="0"/>
              <w:autoSpaceDE/>
              <w:autoSpaceDN/>
              <w:bidi w:val="0"/>
              <w:adjustRightInd/>
              <w:snapToGrid/>
              <w:spacing w:line="192" w:lineRule="auto"/>
              <w:ind w:left="0" w:leftChars="0" w:firstLine="0" w:firstLineChars="0"/>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3.是否接纳未成年人。</w:t>
            </w:r>
          </w:p>
        </w:tc>
        <w:tc>
          <w:tcPr>
            <w:tcW w:w="135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重点检查</w:t>
            </w:r>
          </w:p>
        </w:tc>
        <w:tc>
          <w:tcPr>
            <w:tcW w:w="1725"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全县歌舞娱乐场所</w:t>
            </w:r>
          </w:p>
        </w:tc>
        <w:tc>
          <w:tcPr>
            <w:tcW w:w="132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1月至12月</w:t>
            </w:r>
          </w:p>
        </w:tc>
        <w:tc>
          <w:tcPr>
            <w:tcW w:w="1680"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县文广旅体局</w:t>
            </w:r>
          </w:p>
        </w:tc>
        <w:tc>
          <w:tcPr>
            <w:tcW w:w="1787" w:type="dxa"/>
            <w:noWrap w:val="0"/>
            <w:vAlign w:val="center"/>
          </w:tcPr>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县公安局</w:t>
            </w:r>
          </w:p>
          <w:p>
            <w:pPr>
              <w:keepNext w:val="0"/>
              <w:keepLines w:val="0"/>
              <w:pageBreakBefore w:val="0"/>
              <w:widowControl/>
              <w:kinsoku/>
              <w:wordWrap/>
              <w:overflowPunct/>
              <w:topLinePunct w:val="0"/>
              <w:autoSpaceDE/>
              <w:autoSpaceDN/>
              <w:bidi w:val="0"/>
              <w:adjustRightInd/>
              <w:snapToGrid/>
              <w:spacing w:line="192" w:lineRule="auto"/>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序号</w:t>
            </w:r>
          </w:p>
        </w:tc>
        <w:tc>
          <w:tcPr>
            <w:tcW w:w="1802"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抽查任务名称</w:t>
            </w:r>
          </w:p>
        </w:tc>
        <w:tc>
          <w:tcPr>
            <w:tcW w:w="11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抽查类型</w:t>
            </w:r>
          </w:p>
        </w:tc>
        <w:tc>
          <w:tcPr>
            <w:tcW w:w="3543"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抽查事项</w:t>
            </w:r>
          </w:p>
        </w:tc>
        <w:tc>
          <w:tcPr>
            <w:tcW w:w="135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事项类别</w:t>
            </w:r>
          </w:p>
        </w:tc>
        <w:tc>
          <w:tcPr>
            <w:tcW w:w="1725"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抽查对象范围</w:t>
            </w:r>
          </w:p>
        </w:tc>
        <w:tc>
          <w:tcPr>
            <w:tcW w:w="132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抽取日期</w:t>
            </w:r>
          </w:p>
        </w:tc>
        <w:tc>
          <w:tcPr>
            <w:tcW w:w="1680"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rPr>
              <w:t>牵头部门</w:t>
            </w:r>
          </w:p>
        </w:tc>
        <w:tc>
          <w:tcPr>
            <w:tcW w:w="1787" w:type="dxa"/>
            <w:noWrap w:val="0"/>
            <w:vAlign w:val="center"/>
          </w:tcPr>
          <w:p>
            <w:pPr>
              <w:widowControl/>
              <w:spacing w:line="320" w:lineRule="exact"/>
              <w:jc w:val="center"/>
              <w:rPr>
                <w:rFonts w:hint="eastAsia" w:ascii="宋体" w:hAnsi="宋体" w:eastAsia="宋体" w:cs="宋体"/>
                <w:b/>
                <w:bCs/>
                <w:color w:val="auto"/>
                <w:kern w:val="0"/>
                <w:sz w:val="21"/>
                <w:szCs w:val="21"/>
                <w:lang w:val="en-US" w:eastAsia="zh-CN" w:bidi="ar-SA"/>
              </w:rPr>
            </w:pPr>
            <w:r>
              <w:rPr>
                <w:rFonts w:hint="eastAsia" w:ascii="宋体" w:hAnsi="宋体" w:eastAsia="宋体" w:cs="宋体"/>
                <w:b/>
                <w:bCs/>
                <w:color w:val="auto"/>
                <w:kern w:val="0"/>
                <w:sz w:val="21"/>
                <w:szCs w:val="21"/>
                <w:lang w:eastAsia="zh-CN"/>
              </w:rPr>
              <w:t>联合实施</w:t>
            </w:r>
            <w:r>
              <w:rPr>
                <w:rFonts w:hint="eastAsia" w:ascii="宋体" w:hAnsi="宋体" w:eastAsia="宋体" w:cs="宋体"/>
                <w:b/>
                <w:bCs/>
                <w:color w:val="auto"/>
                <w:kern w:val="0"/>
                <w:sz w:val="21"/>
                <w:szCs w:val="21"/>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7</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机动车销售企业监管</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机动车环保信息公开检查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全县机动车销售企业</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7月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市生态环境局连平分局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县工商信局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2</w:t>
            </w:r>
            <w:r>
              <w:rPr>
                <w:rFonts w:hint="eastAsia" w:ascii="宋体" w:hAnsi="宋体" w:cs="宋体"/>
                <w:color w:val="auto"/>
                <w:kern w:val="0"/>
                <w:sz w:val="21"/>
                <w:szCs w:val="21"/>
                <w:lang w:val="en-US" w:eastAsia="zh-CN"/>
              </w:rPr>
              <w:t>8</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市政工程监督检查</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城镇污水处理设施污染防治情况的检查</w:t>
            </w:r>
          </w:p>
        </w:tc>
        <w:tc>
          <w:tcPr>
            <w:tcW w:w="13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全县城镇污水处理厂</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8月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市生态环境局连平分局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cs="Times New Roman"/>
                <w:color w:val="000000"/>
                <w:kern w:val="0"/>
                <w:sz w:val="21"/>
                <w:szCs w:val="21"/>
                <w:lang w:val="en-US" w:eastAsia="zh-CN" w:bidi="ar"/>
              </w:rPr>
              <w:t>29</w:t>
            </w:r>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消防监督</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养老机构消防安全管理工作的检查</w:t>
            </w:r>
          </w:p>
        </w:tc>
        <w:tc>
          <w:tcPr>
            <w:tcW w:w="1350" w:type="dxa"/>
            <w:noWrap w:val="0"/>
            <w:vAlign w:val="center"/>
          </w:tcPr>
          <w:p>
            <w:pPr>
              <w:adjustRightInd w:val="0"/>
              <w:snapToGrid w:val="0"/>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养老机构、老年人日间照料场所</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县民政局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县消防救援大队</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县住建局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63" w:type="dxa"/>
            <w:noWrap w:val="0"/>
            <w:vAlign w:val="center"/>
          </w:tcPr>
          <w:p>
            <w:pPr>
              <w:widowControl/>
              <w:spacing w:line="320" w:lineRule="exact"/>
              <w:jc w:val="center"/>
              <w:rPr>
                <w:rFonts w:hint="default"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3</w:t>
            </w:r>
            <w:r>
              <w:rPr>
                <w:rFonts w:hint="eastAsia" w:ascii="宋体" w:hAnsi="宋体" w:cs="宋体"/>
                <w:color w:val="auto"/>
                <w:kern w:val="0"/>
                <w:sz w:val="21"/>
                <w:szCs w:val="21"/>
                <w:lang w:val="en-US" w:eastAsia="zh-CN"/>
              </w:rPr>
              <w:t>0</w:t>
            </w:r>
            <w:bookmarkStart w:id="0" w:name="_GoBack"/>
            <w:bookmarkEnd w:id="0"/>
          </w:p>
        </w:tc>
        <w:tc>
          <w:tcPr>
            <w:tcW w:w="1802" w:type="dxa"/>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食品安全情况</w:t>
            </w:r>
          </w:p>
        </w:tc>
        <w:tc>
          <w:tcPr>
            <w:tcW w:w="115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定向</w:t>
            </w:r>
          </w:p>
        </w:tc>
        <w:tc>
          <w:tcPr>
            <w:tcW w:w="3543"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养老机构食堂食品安全</w:t>
            </w:r>
          </w:p>
        </w:tc>
        <w:tc>
          <w:tcPr>
            <w:tcW w:w="1350" w:type="dxa"/>
            <w:noWrap w:val="0"/>
            <w:vAlign w:val="center"/>
          </w:tcPr>
          <w:p>
            <w:pPr>
              <w:adjustRightInd w:val="0"/>
              <w:snapToGrid w:val="0"/>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一般检查</w:t>
            </w:r>
          </w:p>
        </w:tc>
        <w:tc>
          <w:tcPr>
            <w:tcW w:w="1725" w:type="dxa"/>
            <w:noWrap w:val="0"/>
            <w:vAlign w:val="center"/>
          </w:tcPr>
          <w:p>
            <w:pPr>
              <w:adjustRightInd w:val="0"/>
              <w:snapToGrid w:val="0"/>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养老机构</w:t>
            </w:r>
          </w:p>
        </w:tc>
        <w:tc>
          <w:tcPr>
            <w:tcW w:w="132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10月至12月</w:t>
            </w:r>
          </w:p>
        </w:tc>
        <w:tc>
          <w:tcPr>
            <w:tcW w:w="1680"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县民政局</w:t>
            </w:r>
          </w:p>
        </w:tc>
        <w:tc>
          <w:tcPr>
            <w:tcW w:w="1787" w:type="dxa"/>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县卫健局</w:t>
            </w:r>
          </w:p>
        </w:tc>
      </w:tr>
    </w:tbl>
    <w:p>
      <w:pPr>
        <w:pStyle w:val="2"/>
      </w:pPr>
    </w:p>
    <w:sectPr>
      <w:pgSz w:w="16838" w:h="11906" w:orient="landscape"/>
      <w:pgMar w:top="1803" w:right="1440"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F6D43F"/>
    <w:multiLevelType w:val="singleLevel"/>
    <w:tmpl w:val="63F6D43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22033"/>
    <w:rsid w:val="17A919CE"/>
    <w:rsid w:val="33AD01C7"/>
    <w:rsid w:val="3A0A2CB6"/>
    <w:rsid w:val="62142C74"/>
    <w:rsid w:val="6ACF3831"/>
    <w:rsid w:val="71E22033"/>
    <w:rsid w:val="72715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iPriority w:val="0"/>
    <w:pPr>
      <w:ind w:firstLine="420" w:firstLineChars="200"/>
    </w:pPr>
  </w:style>
  <w:style w:type="paragraph" w:styleId="3">
    <w:name w:val="Body Text Indent"/>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连平县市场监督管理局</Company>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2023-03-30T08:25:00Z</dcterms:created>
  <dc:creator>素青</dc:creator>
  <cp:lastModifiedBy>麦浩萍</cp:lastModifiedBy>
  <dcterms:modified xsi:type="dcterms:W3CDTF">2025-10-16T07:10:32Z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F48245ADC50A495B9C28976A6F2C8541</vt:lpwstr>
  </property>
</Properties>
</file>