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kern w:val="0"/>
          <w:sz w:val="32"/>
          <w:szCs w:val="32"/>
          <w:lang w:val="en-US" w:eastAsia="zh-CN" w:bidi="ar"/>
        </w:rPr>
      </w:pPr>
      <w:bookmarkStart w:id="0" w:name="OLE_LINK1"/>
      <w:bookmarkStart w:id="1" w:name="OLE_LINK3"/>
      <w:r>
        <w:rPr>
          <w:rFonts w:hint="eastAsia" w:ascii="黑体" w:hAnsi="黑体" w:eastAsia="黑体" w:cs="黑体"/>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2" w:name="OLE_LINK5"/>
      <w:r>
        <w:rPr>
          <w:rFonts w:hint="eastAsia" w:ascii="方正小标宋简体" w:hAnsi="方正小标宋简体" w:eastAsia="方正小标宋简体" w:cs="方正小标宋简体"/>
          <w:sz w:val="44"/>
          <w:szCs w:val="44"/>
          <w:lang w:eastAsia="zh-CN"/>
        </w:rPr>
        <w:t>海外知识产权典型案例</w:t>
      </w:r>
    </w:p>
    <w:bookmarkEnd w:id="2"/>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一、专利类案件：</w:t>
      </w:r>
      <w:r>
        <w:rPr>
          <w:rFonts w:hint="eastAsia" w:ascii="黑体" w:hAnsi="黑体" w:eastAsia="黑体" w:cs="黑体"/>
          <w:b w:val="0"/>
          <w:bCs w:val="0"/>
          <w:sz w:val="32"/>
          <w:szCs w:val="32"/>
        </w:rPr>
        <w:t>高通股份有限公司与苹果电脑贸易(上海)有限公司、苹果电子产品商贸(北京)有限公司、苹果贸易(上海)有限公司、苹果电子产品商贸(北京)有限公司广州宏城广场分公司侵害发明专利权纠纷案</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[案情摘要]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通公司在诉讼中称其是移动通信领域的先驱，其诸多发明专利构建了当代移动通信技术的核心，苹果公司在智能手机和移动通讯产品上实施了高通公司的创新技术，正是这些创新技术使得苹果公司的产品深受消费者欢迎，获得商业成功。高通公司指控苹果上海公司及其关联公司侵害其ZL201210390832.X“开关电池充电系统和方法”等发明专利权，要求停止进口、销售、许诺销售iphone7、iphone8、iphoneX等型号的移动通讯产品，并每案要求赔偿100万元合理费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知识产权法院受理本系列案后，由通信领域纠纷特色审判团队组成合议庭进行审理，并安排技术调查官全程参与技术调查工作，双方当事人也申请了技术辅助人员参与诉讼。经过开庭审理，合议庭在事实基本清楚、技术问题清晰、法律关系明确的情况下组织调解，双方当事人积极配合，最后在高通公司与苹果公司达成全球性和解的背景下准许高通公司撤回起诉。</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[典型意义]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球的移动通讯领域，高通公司拥有规模庞大的专利技术，苹果公司则是移动通讯的知名企业，两家企业的专利诉讼呈现了该领域的技术研发、运营、实施诸环节的分工与合作。与技术纠纷密切相关的司法审判，肩负着将激励创新、界定产权、维护秩序的知识产权法律精神输送到上述诸环节的重要职责。本系列案涉及移动通讯领域的若干关键技术，其成功审理将有力促进该领域的技术进步。近年来，我国通讯产业蓬勃发展，珠三角的企业越来越深度“嵌入”该领域产品价值链的形成过程并发挥着不可替代的作用，通讯行业的技术纠纷与我国企业有着千丝万缕的关系。同时，随着我国技术类知识产权审判能力和审判体系的现代化脚步加快，尤其是广州知识产权法院审判质效的持续提升，在粤港澳大湾区发挥着重要作用，我国法院越来越成为国际上高端技术争议解决的优选地，并将在全球范围内深刻影响该领域的科技创新、引领知识产权司法实践的发展。</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二、商标类案件：</w:t>
      </w:r>
      <w:r>
        <w:rPr>
          <w:rFonts w:hint="eastAsia" w:ascii="黑体" w:hAnsi="黑体" w:eastAsia="黑体" w:cs="黑体"/>
          <w:sz w:val="32"/>
          <w:szCs w:val="32"/>
        </w:rPr>
        <w:t>“斐乐”商标侵权纠纷案</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[案情摘要]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满景(IP)有限公司是第163332号“</w:t>
      </w:r>
      <w:r>
        <w:rPr>
          <w:rFonts w:hint="eastAsia" w:ascii="仿宋_GB2312" w:hAnsi="仿宋_GB2312" w:eastAsia="仿宋_GB2312" w:cs="仿宋_GB2312"/>
          <w:sz w:val="32"/>
          <w:szCs w:val="32"/>
        </w:rPr>
        <w:drawing>
          <wp:inline distT="0" distB="0" distL="114300" distR="114300">
            <wp:extent cx="247650" cy="238125"/>
            <wp:effectExtent l="0" t="0" r="0" b="9525"/>
            <wp:docPr id="1" name="图片 1" descr="173310173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3101738687(1)"/>
                    <pic:cNvPicPr>
                      <a:picLocks noChangeAspect="1"/>
                    </pic:cNvPicPr>
                  </pic:nvPicPr>
                  <pic:blipFill>
                    <a:blip r:embed="rId5"/>
                    <a:stretch>
                      <a:fillRect/>
                    </a:stretch>
                  </pic:blipFill>
                  <pic:spPr>
                    <a:xfrm>
                      <a:off x="0" y="0"/>
                      <a:ext cx="247650" cy="238125"/>
                    </a:xfrm>
                    <a:prstGeom prst="rect">
                      <a:avLst/>
                    </a:prstGeom>
                  </pic:spPr>
                </pic:pic>
              </a:graphicData>
            </a:graphic>
          </wp:inline>
        </w:drawing>
      </w:r>
      <w:r>
        <w:rPr>
          <w:rFonts w:hint="eastAsia" w:ascii="仿宋_GB2312" w:hAnsi="仿宋_GB2312" w:eastAsia="仿宋_GB2312" w:cs="仿宋_GB2312"/>
          <w:sz w:val="32"/>
          <w:szCs w:val="32"/>
        </w:rPr>
        <w:t>”商标及第163333号“</w:t>
      </w:r>
      <w:r>
        <w:rPr>
          <w:rFonts w:hint="eastAsia" w:ascii="仿宋_GB2312" w:hAnsi="仿宋_GB2312" w:eastAsia="仿宋_GB2312" w:cs="仿宋_GB2312"/>
          <w:sz w:val="32"/>
          <w:szCs w:val="32"/>
        </w:rPr>
        <w:drawing>
          <wp:inline distT="0" distB="0" distL="114300" distR="114300">
            <wp:extent cx="247650" cy="238125"/>
            <wp:effectExtent l="0" t="0" r="0" b="9525"/>
            <wp:docPr id="2" name="图片 2" descr="173310173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3101738687(1)"/>
                    <pic:cNvPicPr>
                      <a:picLocks noChangeAspect="1"/>
                    </pic:cNvPicPr>
                  </pic:nvPicPr>
                  <pic:blipFill>
                    <a:blip r:embed="rId5"/>
                    <a:stretch>
                      <a:fillRect/>
                    </a:stretch>
                  </pic:blipFill>
                  <pic:spPr>
                    <a:xfrm>
                      <a:off x="0" y="0"/>
                      <a:ext cx="247650" cy="238125"/>
                    </a:xfrm>
                    <a:prstGeom prst="rect">
                      <a:avLst/>
                    </a:prstGeom>
                  </pic:spPr>
                </pic:pic>
              </a:graphicData>
            </a:graphic>
          </wp:inline>
        </w:drawing>
      </w:r>
      <w:r>
        <w:rPr>
          <w:rFonts w:hint="eastAsia" w:ascii="仿宋_GB2312" w:hAnsi="仿宋_GB2312" w:eastAsia="仿宋_GB2312" w:cs="仿宋_GB2312"/>
          <w:sz w:val="32"/>
          <w:szCs w:val="32"/>
        </w:rPr>
        <w:t>”注册商标所有人。涉案商标核定使用范围为第25类，包括衣服、鞋、帽、手套等。2019年3月20日国家知识产权局商标局对涉案注册商标予以驰名商标扩大保护。2016年6月10日满景(IP)有限公司授权许可斐乐公司自2008年起在中国大陆的经营活动中以独占方式使用涉案商标。斐乐公司经调查发现，赣龙公司未经允许在其生产、销售的商品上突出使用了与斐乐公司注册商标相同、近似的涉案标识，遂在汇祥批发部经营的店铺公证购买了涉案产品，并起诉至法院要求赣龙公司、汇祥批发部立即停止商标侵权行为、消除影响并赔偿经济损失20万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法院经审理认为，被控侵权商品与原告斐乐公司享有注册商标权的商品属于同种商品，该商品上使用的图案只是在涉案商标“</w:t>
      </w:r>
      <w:r>
        <w:rPr>
          <w:rFonts w:hint="eastAsia" w:ascii="仿宋_GB2312" w:hAnsi="仿宋_GB2312" w:eastAsia="仿宋_GB2312" w:cs="仿宋_GB2312"/>
          <w:sz w:val="32"/>
          <w:szCs w:val="32"/>
        </w:rPr>
        <w:drawing>
          <wp:inline distT="0" distB="0" distL="114300" distR="114300">
            <wp:extent cx="247650" cy="238125"/>
            <wp:effectExtent l="0" t="0" r="0" b="9525"/>
            <wp:docPr id="3" name="图片 3" descr="173310173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3101738687(1)"/>
                    <pic:cNvPicPr>
                      <a:picLocks noChangeAspect="1"/>
                    </pic:cNvPicPr>
                  </pic:nvPicPr>
                  <pic:blipFill>
                    <a:blip r:embed="rId5"/>
                    <a:stretch>
                      <a:fillRect/>
                    </a:stretch>
                  </pic:blipFill>
                  <pic:spPr>
                    <a:xfrm>
                      <a:off x="0" y="0"/>
                      <a:ext cx="247650" cy="238125"/>
                    </a:xfrm>
                    <a:prstGeom prst="rect">
                      <a:avLst/>
                    </a:prstGeom>
                  </pic:spPr>
                </pic:pic>
              </a:graphicData>
            </a:graphic>
          </wp:inline>
        </w:drawing>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图案的下方增加了横线并调整了配色，其他文字组合和结构均与涉案注册商标相同或相似，与涉案商标构成近似，属于侵犯注册商标专用权的商品。赣龙公司未经许可，在生产、销售的运动鞋商品上使用与涉案注册商标相近似的商标，会导致公众混淆，汇祥批发部未经许可，在其经营场所销售涉案侵权商品，二者均侵犯了斐乐公司的注册商标专用权。法院综合考虑涉案商标知名度、侵权行为性质、侵权产品价值，以及经营规模，并酌情考量斐乐公司为制止侵权支出相关费用等因素，在斐乐公司因被侵权所受到的实际损失，赣龙公司、汇祥批发部因侵权所获得的利益，涉案商标许可使用费均难以确定的情况下，酌定由赣龙公司赔偿经济损失包括合理费用共计40000元，由汇祥批发部赔偿经济损失2000元。</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[典型意义]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的商标标识使得我们能够准确辨认生活中各类商品，特别是驰名商标，蕴含了商家的优良商誉，具有极高的商业价值，经常成为不良商家侵权的对象。在此提醒各位商家，使用他人商标须经权利人许可，销售者从厂家进货时也要尽审慎注意义务，不要销售侵犯他人商标权利的商品。</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著作权类</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卢克伊尔石油公开合股公司与厦门某公司、某润滑油公司、郑州某公司不正当竞争纠纷和著作权权属、侵权纠纷案</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[案情摘要]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卢克伊尔石油公开合股公司(以下简称卢克伊尔公司)系在俄罗斯联邦注册成立的公司，连续多年蝉联财富世界500强企业前100名，是世界十大润滑油企业之一，卢克伊尔公司的润滑油产品具较高知名度和影响力。因厦门某公司、某润滑油公司、郑州某公司生产、销售的润滑油商品包装图案、油桶形状与卢克伊尔公司润滑油商品近似，上述公司宣传其润滑油商品是欧盟原装进口、全球十大品牌等，在对外宣传、商品包装均使用了卢克伊尔公司的“лykoйл”俄文企业名称标识、“LUKOIL”英文企业名称标识和美术作品图案，以及某润滑油公司以卢克伊尔公司在实际经营过程中被中国相关消费者知悉的“鲁克”名称作为企业字号等行为，卢克伊尔公司以不正当竞争纠纷和著作权权属、侵权纠纷两案诉至郑州市中级人民法院。郑州市中级人民法院认为厦门某公司、某润滑油公司、郑州某公司的行为构成擅自使用知名商品特有包装、装潢的不正当竞争、虚假宣传的不正当竞争、侵害他人企业名称的不正当竞争和著作权侵权，分别判决厦门某公司、某润滑油公司、郑州某公司立即停止不正当竞争行为，某润滑油公司变更企业名称，厦门某公司、某润滑油公司共同赔偿卢克伊尔公司80万元，郑州某公司对上述赔偿数额在2万元内承担连带赔偿责任;厦门某公司、某润滑油公司、郑州某公司立即停止侵犯卢克伊尔公司著作权的行为，厦门某公司、某润滑油公司共同赔偿卢克伊尔公司50万元，郑州某公司对上述赔偿数额在2万元内承担连带赔偿责任。厦门某公司、某润滑油公司对两案均不服，向河南省高级人民法院提起上诉。两案经河南省高级人民法院审理，均判决驳回上诉，维持原判。</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[典型意义]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t>本案是案情较为复杂的涉外“傍名牌”案件，包含擅自使用外国企业知名商品特有包装、装潢的不正当竞争、虚假宣传的不正当竞争、侵害他人企业名称的不正当竞争等多种不正当竞争行为以及侵害著作权行为。经营者在产品包装、产品宣传、选择字号时，应当在本行业内充分尽到注意义务，对国际知名企业的外文企业名称、中文企业名称以及知名商品特有包装、装潢均要合理避让，不得对商品来源作虚假宣传或者引人误解的宣传，不得通过投机取巧、搭便车、擅自利用他人的品牌效应等行为损害他人合法权益，不得擅自在产品包装、经营场所、广告宣传中使用、复制、发行他人作品，否则将构成不正当竞争或者著作权侵权，必须承担相应的法律责任。本案对外国企业知识产权的依法保护，彰显了河南法院加强知识产权保护，平等维护中外权利人合法权益，营造</w:t>
      </w:r>
      <w:bookmarkStart w:id="3" w:name="_GoBack"/>
      <w:bookmarkEnd w:id="3"/>
      <w:r>
        <w:rPr>
          <w:rFonts w:hint="eastAsia" w:ascii="仿宋_GB2312" w:hAnsi="仿宋_GB2312" w:eastAsia="仿宋_GB2312" w:cs="仿宋_GB2312"/>
          <w:sz w:val="32"/>
          <w:szCs w:val="32"/>
          <w:lang w:eastAsia="zh-CN"/>
        </w:rPr>
        <w:t>法治化</w:t>
      </w:r>
      <w:r>
        <w:rPr>
          <w:rFonts w:hint="eastAsia" w:ascii="仿宋_GB2312" w:hAnsi="仿宋_GB2312" w:eastAsia="仿宋_GB2312" w:cs="仿宋_GB2312"/>
          <w:sz w:val="32"/>
          <w:szCs w:val="32"/>
        </w:rPr>
        <w:t>、国际化营商环境的决心。</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四、不正当竞争类案件：</w:t>
      </w:r>
      <w:r>
        <w:rPr>
          <w:rFonts w:hint="eastAsia" w:ascii="黑体" w:hAnsi="黑体" w:eastAsia="黑体" w:cs="黑体"/>
          <w:sz w:val="32"/>
          <w:szCs w:val="32"/>
        </w:rPr>
        <w:t>博柏利有限公司诉杭州法蔻进出口贸易有限公司、义乌商旅投资发展有限公司侵害商标及不正当竞争纠纷案</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[案情摘要]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博柏利有限公司(BURBERRY LIMITED，以下简称博柏利公司)在第18类行李箱、钱包等商品，第25类服装等商品，第35类服装服饰零售店的商业管理等服务类别上注册有“BURBERRY”系列文字商标。“BURBERRY”商品商标具有较高知名度，曾被认定为驰名商标，并被收录于全国重点商标保护名录。博柏利公司将独特格子设计使用在店面装饰设计，并在背景上采用白色大写“BURBERRY”标识，博柏利公司主张前述的整体营业形象属于知名商品特有包装装潢。义乌商旅投资发展有限公司(以下简称商旅公司)在浙江省义乌市开办有“义乌之心”商场，杭州法蔻进出口贸易有限公司(以下简称法蔻公司)在该商场开设了“BURBERRY”专卖店，该店内外墙均采用格子图案作为背景，并在背景上采用“BURBERRY”标识，其橱窗亦采用多个格子图案木制构件作为装饰，店内商品洗标、英文吊牌、购物袋均印有大字体“BURBERRY”标识;商品另附有合格证，外部标注“FEACOME”标识、内部说明文字中标注“BURBERRY”品牌及法蔻公司为经销商。博柏利公司认为法蔻公司和商旅公司使用“BURBERRY”标识的行为侵害其商品及服务类别上的三项商标权和企业名称权，商旅公司模仿其有一定影响的专卖店装潢，构成不正当竞争，遂向杭州市中级人民法院起诉，请求判令两公司停止侵害并连带赔偿损失510 万元。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中级人民法院经审理认为，关于涉案商标侵权指控，本案并无证据证明法蔻公司所销售的涉案商品为假冒商品，其进口并在国内二次销售商品本身及包装带有“BURBERRY”商标的正牌商品，未违反法律法规的强制性规定，亦未割裂商品商标与博柏利公司之间的固定联系，且法蔻公司及商旅公司对涉案商品商标的使用属于合理使用，故二者未侵害涉案商品商标权。法蔻公司在第35类服务类别上使用了与博柏利公司相同的商标标识，且其在商品合格证和贵宾卡上标注自己的商标与企业名称的行为既未予以明示，亦未以消费者容易注意到的方式给出，不足以改变前述“Burberry”商标不合理使用的性质，故法蔻公司侵害了涉案服务商标权。关于企业名称权侵权指控，因店铺装潢中的“Burberry”标识已依据“BURBERRY”服务商标得到保护，且无证据证明博柏利公司企业名称本身具有的知名度，故其该项指控缺乏事实和法律依据。由于“BURBERRY”专卖店均具有一致的整体营业形象风格，该风格系博柏利公司投入人力物力开发形成并通过长期、广泛的使用而固定，足以使相关消费者将该装潢与博柏利公司之间建立起唯一性的直接联系。法蔻公司涉案店铺使用了博柏利公司店铺的主要设计元素，两者整体风格一致，足以导致消费者的混淆，已构成不正当竞争。商旅公司对于涉及商业销售领域常见知识产权事项应负有注意义务，其有能力及义务在法蔻公司入驻时，考察法蔻公司的商标授权情况，并将法蔻公司的店铺装潢与其商标授权情况相比对。本案中商旅公司在应当知道法蔻公司不具有商标授权的情况下，仍然以提供场地和收款开票等方式协助法蔻公司开展侵权经营，其与法蔻公司共同实施了侵权行为，二者应承担连带赔偿责任。综上，杭州市中级人民法院判决法蔻公司立即停止对服务商标权的侵害及不正当竞争行为，法蔻公司与商旅公司连带赔偿博柏利公司经济损失及合理费用共计50万元。一审宣判后，当事人均不服，上诉于浙江省高级人民法院。经审理，浙江省高级人民法院判决驳回上诉，维持原判。</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[典型意义]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kern w:val="0"/>
          <w:sz w:val="32"/>
          <w:szCs w:val="32"/>
          <w:lang w:val="en-US" w:eastAsia="zh-CN" w:bidi="ar"/>
        </w:rPr>
      </w:pPr>
      <w:r>
        <w:rPr>
          <w:rFonts w:hint="eastAsia" w:ascii="仿宋_GB2312" w:hAnsi="仿宋_GB2312" w:eastAsia="仿宋_GB2312" w:cs="仿宋_GB2312"/>
          <w:sz w:val="32"/>
          <w:szCs w:val="32"/>
        </w:rPr>
        <w:t>本案涉及在平行进口商品的转售过程中使用他人商标是否构成侵权的认定问题。本案裁判对该问题进行了详实阐述，明晰了平行进口商品转售过程中使用他人商标的行为边界，并明确认定具有一定显著性和知名度的店铺装潢属于受不正当竞争法保护的“有一定影响的商品装潢”。案件裁判有效制止了不当利用他人商誉的行为，维护了公平的外贸营商环境。此外，本案还明确经营者应承担符合其从事的行业要求的相应注意义务，对于规范相关市场主体行为，引导行业健康有序发展具有积极意义。</w:t>
      </w:r>
      <w:bookmarkEnd w:id="0"/>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72BE"/>
    <w:rsid w:val="00335D51"/>
    <w:rsid w:val="00544A7B"/>
    <w:rsid w:val="00D03437"/>
    <w:rsid w:val="01C40E42"/>
    <w:rsid w:val="023A60BA"/>
    <w:rsid w:val="02C259F8"/>
    <w:rsid w:val="02C65D4F"/>
    <w:rsid w:val="031A1DDA"/>
    <w:rsid w:val="03E9581C"/>
    <w:rsid w:val="041071E1"/>
    <w:rsid w:val="045B776B"/>
    <w:rsid w:val="05D227E4"/>
    <w:rsid w:val="06DC1AC6"/>
    <w:rsid w:val="06DD5EAD"/>
    <w:rsid w:val="06EC10C0"/>
    <w:rsid w:val="07594809"/>
    <w:rsid w:val="07794465"/>
    <w:rsid w:val="08965384"/>
    <w:rsid w:val="090A7DC1"/>
    <w:rsid w:val="093D4A6F"/>
    <w:rsid w:val="0961624E"/>
    <w:rsid w:val="099831D0"/>
    <w:rsid w:val="09A015BC"/>
    <w:rsid w:val="0AB33CB7"/>
    <w:rsid w:val="0AFC71FF"/>
    <w:rsid w:val="0B42367E"/>
    <w:rsid w:val="0B767AC1"/>
    <w:rsid w:val="0B951A2D"/>
    <w:rsid w:val="0BF26A6E"/>
    <w:rsid w:val="0C3F0A2C"/>
    <w:rsid w:val="0C7569BD"/>
    <w:rsid w:val="0DA92444"/>
    <w:rsid w:val="0E204612"/>
    <w:rsid w:val="0E2662FA"/>
    <w:rsid w:val="0E486695"/>
    <w:rsid w:val="0ED42F7F"/>
    <w:rsid w:val="0F707AFB"/>
    <w:rsid w:val="0FA0259C"/>
    <w:rsid w:val="10B71039"/>
    <w:rsid w:val="11DC2AB7"/>
    <w:rsid w:val="133029A7"/>
    <w:rsid w:val="134758CD"/>
    <w:rsid w:val="14C11F87"/>
    <w:rsid w:val="155B5497"/>
    <w:rsid w:val="156D126D"/>
    <w:rsid w:val="15802E15"/>
    <w:rsid w:val="16AA7B7F"/>
    <w:rsid w:val="170B4305"/>
    <w:rsid w:val="17375396"/>
    <w:rsid w:val="181D789D"/>
    <w:rsid w:val="18C22FF9"/>
    <w:rsid w:val="19A72F48"/>
    <w:rsid w:val="1AA951C7"/>
    <w:rsid w:val="1B0E0807"/>
    <w:rsid w:val="1B252D6D"/>
    <w:rsid w:val="1BAE6456"/>
    <w:rsid w:val="1BB502B3"/>
    <w:rsid w:val="1C8629DB"/>
    <w:rsid w:val="1D6210C5"/>
    <w:rsid w:val="1D8D5340"/>
    <w:rsid w:val="1EC16F34"/>
    <w:rsid w:val="1F6463D1"/>
    <w:rsid w:val="1FCB38C4"/>
    <w:rsid w:val="20130924"/>
    <w:rsid w:val="201700CE"/>
    <w:rsid w:val="20944801"/>
    <w:rsid w:val="215C4CFE"/>
    <w:rsid w:val="21B54D2E"/>
    <w:rsid w:val="21B776EB"/>
    <w:rsid w:val="230468A9"/>
    <w:rsid w:val="23D507D0"/>
    <w:rsid w:val="24007DD3"/>
    <w:rsid w:val="24314D30"/>
    <w:rsid w:val="24324F59"/>
    <w:rsid w:val="25995FEF"/>
    <w:rsid w:val="25DB7ACC"/>
    <w:rsid w:val="262E62BB"/>
    <w:rsid w:val="27204E83"/>
    <w:rsid w:val="277B5BA2"/>
    <w:rsid w:val="286968E5"/>
    <w:rsid w:val="29A57351"/>
    <w:rsid w:val="2A837343"/>
    <w:rsid w:val="2C394D9A"/>
    <w:rsid w:val="2C40784B"/>
    <w:rsid w:val="2CD15BC6"/>
    <w:rsid w:val="2CDD63B5"/>
    <w:rsid w:val="2DBE15E8"/>
    <w:rsid w:val="2E3821AA"/>
    <w:rsid w:val="305278D0"/>
    <w:rsid w:val="309714E4"/>
    <w:rsid w:val="33B715BB"/>
    <w:rsid w:val="35405CBD"/>
    <w:rsid w:val="360B5561"/>
    <w:rsid w:val="3692798D"/>
    <w:rsid w:val="370034E6"/>
    <w:rsid w:val="383B5AF6"/>
    <w:rsid w:val="384F5DE5"/>
    <w:rsid w:val="387570FB"/>
    <w:rsid w:val="38C17F99"/>
    <w:rsid w:val="38ED5BA7"/>
    <w:rsid w:val="3A071959"/>
    <w:rsid w:val="3A5507BD"/>
    <w:rsid w:val="3ADC4FAC"/>
    <w:rsid w:val="3AFE7AE4"/>
    <w:rsid w:val="3D2A67DE"/>
    <w:rsid w:val="3D3C47F5"/>
    <w:rsid w:val="3EDA7405"/>
    <w:rsid w:val="3F6C5DA4"/>
    <w:rsid w:val="4087327D"/>
    <w:rsid w:val="40EE2489"/>
    <w:rsid w:val="4167324D"/>
    <w:rsid w:val="416F146F"/>
    <w:rsid w:val="4348259C"/>
    <w:rsid w:val="43F233F4"/>
    <w:rsid w:val="445A291C"/>
    <w:rsid w:val="459C25B7"/>
    <w:rsid w:val="45D701A7"/>
    <w:rsid w:val="463F40FE"/>
    <w:rsid w:val="47507944"/>
    <w:rsid w:val="475E3ACB"/>
    <w:rsid w:val="48582EC9"/>
    <w:rsid w:val="4A430B42"/>
    <w:rsid w:val="4A80674A"/>
    <w:rsid w:val="4B00793D"/>
    <w:rsid w:val="4B205CB8"/>
    <w:rsid w:val="4B982EB2"/>
    <w:rsid w:val="4BCF1BD3"/>
    <w:rsid w:val="4C4B4009"/>
    <w:rsid w:val="4C6F489D"/>
    <w:rsid w:val="4CCA2ECA"/>
    <w:rsid w:val="4CE46721"/>
    <w:rsid w:val="4F4C770A"/>
    <w:rsid w:val="4F5B51BF"/>
    <w:rsid w:val="4FB1207A"/>
    <w:rsid w:val="4FB53B12"/>
    <w:rsid w:val="50566EAB"/>
    <w:rsid w:val="50FA5AB2"/>
    <w:rsid w:val="52E01065"/>
    <w:rsid w:val="55050AD8"/>
    <w:rsid w:val="55882A37"/>
    <w:rsid w:val="55AE545B"/>
    <w:rsid w:val="55B72E1D"/>
    <w:rsid w:val="55F00ECF"/>
    <w:rsid w:val="55F35A52"/>
    <w:rsid w:val="577537F5"/>
    <w:rsid w:val="57E835DC"/>
    <w:rsid w:val="5B0E2ECD"/>
    <w:rsid w:val="5B680C6C"/>
    <w:rsid w:val="5BCB5B01"/>
    <w:rsid w:val="5C166F07"/>
    <w:rsid w:val="5D633B36"/>
    <w:rsid w:val="5E21721F"/>
    <w:rsid w:val="5EF17565"/>
    <w:rsid w:val="5F051921"/>
    <w:rsid w:val="5FBA7779"/>
    <w:rsid w:val="60B47E7C"/>
    <w:rsid w:val="620750A7"/>
    <w:rsid w:val="631378DC"/>
    <w:rsid w:val="633318D0"/>
    <w:rsid w:val="6366546C"/>
    <w:rsid w:val="63875325"/>
    <w:rsid w:val="65E45409"/>
    <w:rsid w:val="68224AC5"/>
    <w:rsid w:val="68976BA7"/>
    <w:rsid w:val="68AA1A63"/>
    <w:rsid w:val="697F1F5D"/>
    <w:rsid w:val="6A8F42B2"/>
    <w:rsid w:val="6CB7768B"/>
    <w:rsid w:val="6CE445B9"/>
    <w:rsid w:val="6D3336F8"/>
    <w:rsid w:val="6E03370F"/>
    <w:rsid w:val="6E87575A"/>
    <w:rsid w:val="6ED46A40"/>
    <w:rsid w:val="6EE51A24"/>
    <w:rsid w:val="6F781E1B"/>
    <w:rsid w:val="6F8711C6"/>
    <w:rsid w:val="6F991541"/>
    <w:rsid w:val="703A272F"/>
    <w:rsid w:val="703C2D09"/>
    <w:rsid w:val="70503970"/>
    <w:rsid w:val="70770D0B"/>
    <w:rsid w:val="71E02F5D"/>
    <w:rsid w:val="71E34472"/>
    <w:rsid w:val="72CC18F9"/>
    <w:rsid w:val="72D000BD"/>
    <w:rsid w:val="7340172C"/>
    <w:rsid w:val="73B42724"/>
    <w:rsid w:val="743D4348"/>
    <w:rsid w:val="75821690"/>
    <w:rsid w:val="75977EBA"/>
    <w:rsid w:val="761328B8"/>
    <w:rsid w:val="761F5E64"/>
    <w:rsid w:val="76377B1F"/>
    <w:rsid w:val="767B14F5"/>
    <w:rsid w:val="78246CD5"/>
    <w:rsid w:val="78424EF6"/>
    <w:rsid w:val="785959C9"/>
    <w:rsid w:val="787B57CA"/>
    <w:rsid w:val="79554E68"/>
    <w:rsid w:val="7958325A"/>
    <w:rsid w:val="79694E5A"/>
    <w:rsid w:val="798847B6"/>
    <w:rsid w:val="7A2626B0"/>
    <w:rsid w:val="7A6C59C3"/>
    <w:rsid w:val="7AFD6DA5"/>
    <w:rsid w:val="7C514FE3"/>
    <w:rsid w:val="7D871731"/>
    <w:rsid w:val="7E81330C"/>
    <w:rsid w:val="7EEE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2024-11-20T07:55:00Z</dcterms:created>
  <dc:creator>lenovo</dc:creator>
  <cp:lastModifiedBy>麦浩萍</cp:lastModifiedBy>
  <cp:lastPrinted>2024-11-25T03:12:00Z</cp:lastPrinted>
  <dcterms:modified xsi:type="dcterms:W3CDTF">2025-10-17T03:39:22Z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097D07F51E4243A4B7EEF81006FBC5BE</vt:lpwstr>
  </property>
</Properties>
</file>