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5B3EB">
      <w:pPr>
        <w:keepNext/>
        <w:keepLines/>
        <w:pageBreakBefore w:val="0"/>
        <w:widowControl w:val="0"/>
        <w:kinsoku/>
        <w:wordWrap/>
        <w:overflowPunct/>
        <w:topLinePunct w:val="0"/>
        <w:autoSpaceDE/>
        <w:autoSpaceDN/>
        <w:bidi w:val="0"/>
        <w:spacing w:before="0" w:beforeLines="0" w:beforeAutospacing="0" w:after="0" w:afterLines="0" w:afterAutospacing="0" w:line="600" w:lineRule="exact"/>
        <w:jc w:val="left"/>
        <w:textAlignment w:val="auto"/>
        <w:outlineLvl w:val="0"/>
        <w:rPr>
          <w:rFonts w:hint="eastAsia" w:ascii="方正小标宋_GBK" w:hAnsi="方正小标宋简体" w:eastAsia="方正小标宋_GBK" w:cs="方正小标宋简体"/>
          <w:sz w:val="44"/>
          <w:szCs w:val="44"/>
          <w:highlight w:val="none"/>
        </w:rPr>
      </w:pPr>
      <w:bookmarkStart w:id="0" w:name="OLE_LINK1"/>
      <w:bookmarkStart w:id="1" w:name="OLE_LINK5"/>
      <w:bookmarkStart w:id="5" w:name="_GoBack"/>
      <w:bookmarkEnd w:id="5"/>
      <w:r>
        <w:rPr>
          <w:rFonts w:hint="eastAsia" w:ascii="仿宋_GB2312" w:hAnsi="仿宋_GB2312" w:eastAsia="仿宋_GB2312" w:cs="仿宋_GB2312"/>
          <w:b w:val="0"/>
          <w:bCs/>
          <w:color w:val="auto"/>
          <w:kern w:val="44"/>
          <w:sz w:val="32"/>
          <w:szCs w:val="32"/>
          <w:lang w:val="en-US" w:eastAsia="zh-CN" w:bidi="ar-SA"/>
        </w:rPr>
        <w:t>附件1：</w:t>
      </w:r>
    </w:p>
    <w:p w14:paraId="6FB6A089">
      <w:pPr>
        <w:spacing w:line="600" w:lineRule="exact"/>
        <w:jc w:val="center"/>
        <w:rPr>
          <w:rFonts w:hint="eastAsia" w:ascii="方正小标宋_GBK" w:hAnsi="方正小标宋简体" w:eastAsia="方正小标宋_GBK" w:cs="方正小标宋简体"/>
          <w:sz w:val="44"/>
          <w:szCs w:val="44"/>
          <w:highlight w:val="none"/>
        </w:rPr>
      </w:pPr>
    </w:p>
    <w:p w14:paraId="6FC06845">
      <w:pPr>
        <w:spacing w:line="600" w:lineRule="exact"/>
        <w:jc w:val="center"/>
        <w:rPr>
          <w:rFonts w:hint="eastAsia" w:ascii="方正小标宋_GBK" w:hAnsi="方正小标宋简体" w:eastAsia="方正小标宋_GBK" w:cs="方正小标宋简体"/>
          <w:sz w:val="44"/>
          <w:szCs w:val="44"/>
          <w:highlight w:val="none"/>
          <w:lang w:val="en-US" w:eastAsia="zh-CN"/>
        </w:rPr>
      </w:pPr>
      <w:r>
        <w:rPr>
          <w:rFonts w:hint="eastAsia" w:ascii="方正小标宋_GBK" w:hAnsi="方正小标宋简体" w:eastAsia="方正小标宋_GBK" w:cs="方正小标宋简体"/>
          <w:sz w:val="44"/>
          <w:szCs w:val="44"/>
          <w:highlight w:val="none"/>
        </w:rPr>
        <w:t>连平县</w:t>
      </w:r>
      <w:r>
        <w:rPr>
          <w:rFonts w:hint="eastAsia" w:ascii="方正小标宋_GBK" w:hAnsi="方正小标宋简体" w:eastAsia="方正小标宋_GBK" w:cs="方正小标宋简体"/>
          <w:sz w:val="44"/>
          <w:szCs w:val="44"/>
          <w:highlight w:val="none"/>
          <w:lang w:val="en-US" w:eastAsia="zh-CN"/>
        </w:rPr>
        <w:t>公交行业财政综合补贴</w:t>
      </w:r>
      <w:bookmarkEnd w:id="0"/>
    </w:p>
    <w:p w14:paraId="5DB84BFC">
      <w:pPr>
        <w:spacing w:line="600" w:lineRule="exact"/>
        <w:jc w:val="center"/>
        <w:rPr>
          <w:rFonts w:hint="default" w:ascii="方正小标宋_GBK" w:hAnsi="方正小标宋简体" w:eastAsia="方正小标宋_GBK" w:cs="方正小标宋简体"/>
          <w:bCs/>
          <w:sz w:val="44"/>
          <w:szCs w:val="44"/>
          <w:highlight w:val="none"/>
          <w:lang w:val="en-US" w:eastAsia="zh-CN"/>
        </w:rPr>
      </w:pPr>
      <w:r>
        <w:rPr>
          <w:rFonts w:hint="eastAsia" w:ascii="方正小标宋_GBK" w:hAnsi="方正小标宋简体" w:eastAsia="方正小标宋_GBK" w:cs="方正小标宋简体"/>
          <w:sz w:val="44"/>
          <w:szCs w:val="44"/>
          <w:highlight w:val="none"/>
        </w:rPr>
        <w:t>暂行办法</w:t>
      </w:r>
      <w:r>
        <w:rPr>
          <w:rFonts w:hint="eastAsia" w:ascii="方正小标宋_GBK" w:hAnsi="方正小标宋简体" w:eastAsia="方正小标宋_GBK" w:cs="方正小标宋简体"/>
          <w:sz w:val="44"/>
          <w:szCs w:val="44"/>
          <w:highlight w:val="none"/>
          <w:lang w:eastAsia="zh-CN"/>
        </w:rPr>
        <w:t>（</w:t>
      </w:r>
      <w:r>
        <w:rPr>
          <w:rFonts w:hint="eastAsia" w:ascii="方正小标宋_GBK" w:hAnsi="方正小标宋简体" w:eastAsia="方正小标宋_GBK" w:cs="方正小标宋简体"/>
          <w:bCs/>
          <w:sz w:val="44"/>
          <w:szCs w:val="44"/>
          <w:highlight w:val="none"/>
          <w:lang w:val="en-US" w:eastAsia="zh-CN"/>
        </w:rPr>
        <w:t>征求意见稿</w:t>
      </w:r>
      <w:r>
        <w:rPr>
          <w:rFonts w:hint="eastAsia" w:ascii="方正小标宋_GBK" w:hAnsi="方正小标宋简体" w:eastAsia="方正小标宋_GBK" w:cs="方正小标宋简体"/>
          <w:sz w:val="44"/>
          <w:szCs w:val="44"/>
          <w:highlight w:val="none"/>
          <w:lang w:eastAsia="zh-CN"/>
        </w:rPr>
        <w:t>）</w:t>
      </w:r>
    </w:p>
    <w:p w14:paraId="3A0296C5">
      <w:pPr>
        <w:spacing w:line="600" w:lineRule="exact"/>
        <w:jc w:val="center"/>
        <w:rPr>
          <w:rFonts w:hint="eastAsia" w:ascii="方正小标宋_GBK" w:hAnsi="方正小标宋简体" w:eastAsia="方正小标宋_GBK" w:cs="方正小标宋简体"/>
          <w:bCs/>
          <w:sz w:val="44"/>
          <w:szCs w:val="44"/>
          <w:highlight w:val="none"/>
          <w:lang w:eastAsia="zh-CN"/>
        </w:rPr>
      </w:pPr>
    </w:p>
    <w:p w14:paraId="30B3B43D">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第一章  总则</w:t>
      </w:r>
    </w:p>
    <w:p w14:paraId="6C96FBE7">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第一条</w:t>
      </w: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 xml:space="preserve">  </w:t>
      </w:r>
      <w:bookmarkStart w:id="2" w:name="OLE_LINK4"/>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为保障我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城乡公共交通平稳运行，促进公共客运行业健康持续发展，加强节能减排与环境保护</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规范和加强公共交通财政补贴资金管理，</w:t>
      </w:r>
      <w:bookmarkEnd w:id="2"/>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根据</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《城市公共交通条例》（国令第793号）、</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《关于推进城市公共交通健康可持续发展的若干意见》（交运发〔2023〕144号）</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、《广东省人民政府关于城市优先发展公共交通的实施意见》（粤府〔2013〕120号）、</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《国务院办公厅关于印发新能源汽车产业发展规划（2021—2035年）的通知》（国办发</w:t>
      </w:r>
      <w:bookmarkStart w:id="3" w:name="OLE_LINK3"/>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〔2020〕39号</w:t>
      </w:r>
      <w:bookmarkEnd w:id="3"/>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）、广东省交通运输厅关于印发城市公共交通基本出行服务保障规范的通知（粤交〔2025〕9号）等文件精神，结合我县实际，制定本办法。</w:t>
      </w:r>
    </w:p>
    <w:p w14:paraId="2DEA755C">
      <w:pPr>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第二条</w:t>
      </w: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本办法适用于</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政府对投入</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县城及</w:t>
      </w:r>
      <w:bookmarkStart w:id="4" w:name="OLE_LINK2"/>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工业园区和周边镇村</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运营的新能源公</w:t>
      </w:r>
      <w:r>
        <w:rPr>
          <w:rFonts w:hint="eastAsia" w:ascii="方正仿宋_GBK" w:hAnsi="方正仿宋_GBK" w:eastAsia="方正仿宋_GBK" w:cs="方正仿宋_GBK"/>
          <w:color w:val="000000" w:themeColor="text1"/>
          <w:sz w:val="32"/>
          <w:szCs w:val="32"/>
          <w14:textFill>
            <w14:solidFill>
              <w14:schemeClr w14:val="tx1"/>
            </w14:solidFill>
          </w14:textFill>
        </w:rPr>
        <w:t>交车</w:t>
      </w:r>
      <w:bookmarkEnd w:id="4"/>
      <w:r>
        <w:rPr>
          <w:rFonts w:hint="eastAsia" w:ascii="方正仿宋_GBK" w:hAnsi="方正仿宋_GBK" w:eastAsia="方正仿宋_GBK" w:cs="方正仿宋_GBK"/>
          <w:color w:val="000000" w:themeColor="text1"/>
          <w:sz w:val="32"/>
          <w:szCs w:val="32"/>
          <w14:textFill>
            <w14:solidFill>
              <w14:schemeClr w14:val="tx1"/>
            </w14:solidFill>
          </w14:textFill>
        </w:rPr>
        <w:t>进行综合补贴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含新能源公交车亏损补贴、冷僻线路运营补贴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以及公交企业实行对老年人、中小学生、现役军人和残疾人群体的优惠等补贴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5A313D2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本办法所称新能源公交车是指</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依法注</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册</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且经</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交通运输部门</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核准</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公共交通相关许可的公交特许经营企业</w:t>
      </w:r>
      <w:r>
        <w:rPr>
          <w:rFonts w:hint="eastAsia" w:ascii="方正仿宋_GBK" w:hAnsi="方正仿宋_GBK" w:eastAsia="方正仿宋_GBK" w:cs="方正仿宋_GBK"/>
          <w:color w:val="000000" w:themeColor="text1"/>
          <w:sz w:val="32"/>
          <w:szCs w:val="32"/>
          <w14:textFill>
            <w14:solidFill>
              <w14:schemeClr w14:val="tx1"/>
            </w14:solidFill>
          </w14:textFill>
        </w:rPr>
        <w:t>所拥有的正常运营的新能源纯电动公交车。</w:t>
      </w:r>
    </w:p>
    <w:p w14:paraId="383BC4D1">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第三条</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企业申领新能源公交车综合补贴，其所申报</w:t>
      </w:r>
      <w:r>
        <w:rPr>
          <w:rFonts w:hint="eastAsia" w:ascii="方正仿宋_GBK" w:hAnsi="方正仿宋_GBK" w:eastAsia="方正仿宋_GBK" w:cs="方正仿宋_GBK"/>
          <w:color w:val="000000" w:themeColor="text1"/>
          <w:sz w:val="32"/>
          <w:szCs w:val="32"/>
          <w14:textFill>
            <w14:solidFill>
              <w14:schemeClr w14:val="tx1"/>
            </w14:solidFill>
          </w14:textFill>
        </w:rPr>
        <w:t>车辆</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单车年运营</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总</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里程不</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得少</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于</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2.5</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万公里（含</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2.5</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万公里）</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对符合条件的，按</w:t>
      </w:r>
      <w:r>
        <w:rPr>
          <w:rFonts w:hint="eastAsia" w:ascii="方正仿宋_GBK" w:hAnsi="方正仿宋_GBK" w:eastAsia="方正仿宋_GBK" w:cs="方正仿宋_GBK"/>
          <w:color w:val="000000" w:themeColor="text1"/>
          <w:sz w:val="32"/>
          <w:szCs w:val="32"/>
          <w14:textFill>
            <w14:solidFill>
              <w14:schemeClr w14:val="tx1"/>
            </w14:solidFill>
          </w14:textFill>
        </w:rPr>
        <w:t>规定运行轨迹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行</w:t>
      </w:r>
      <w:r>
        <w:rPr>
          <w:rFonts w:hint="eastAsia" w:ascii="方正仿宋_GBK" w:hAnsi="方正仿宋_GBK" w:eastAsia="方正仿宋_GBK" w:cs="方正仿宋_GBK"/>
          <w:color w:val="000000" w:themeColor="text1"/>
          <w:sz w:val="32"/>
          <w:szCs w:val="32"/>
          <w14:textFill>
            <w14:solidFill>
              <w14:schemeClr w14:val="tx1"/>
            </w14:solidFill>
          </w14:textFill>
        </w:rPr>
        <w:t>驶的公里数予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以</w:t>
      </w:r>
      <w:r>
        <w:rPr>
          <w:rFonts w:hint="eastAsia" w:ascii="方正仿宋_GBK" w:hAnsi="方正仿宋_GBK" w:eastAsia="方正仿宋_GBK" w:cs="方正仿宋_GBK"/>
          <w:color w:val="000000" w:themeColor="text1"/>
          <w:sz w:val="32"/>
          <w:szCs w:val="32"/>
          <w14:textFill>
            <w14:solidFill>
              <w14:schemeClr w14:val="tx1"/>
            </w14:solidFill>
          </w14:textFill>
        </w:rPr>
        <w:t>补贴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，对不符合运营里程条件的车辆不再列入补贴范围内</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0DE4322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第四条</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新能源公交车运营综合补贴按照公开、公正、合理的原则进行。</w:t>
      </w:r>
    </w:p>
    <w:p w14:paraId="78FAD271">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第五条</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交通运输主</w:t>
      </w:r>
      <w:r>
        <w:rPr>
          <w:rFonts w:hint="eastAsia" w:ascii="方正仿宋_GBK" w:hAnsi="方正仿宋_GBK" w:eastAsia="方正仿宋_GBK" w:cs="方正仿宋_GBK"/>
          <w:color w:val="000000" w:themeColor="text1"/>
          <w:sz w:val="32"/>
          <w:szCs w:val="32"/>
          <w14:textFill>
            <w14:solidFill>
              <w14:schemeClr w14:val="tx1"/>
            </w14:solidFill>
          </w14:textFill>
        </w:rPr>
        <w:t>管部</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门负责</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新能源</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公交</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运营</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综合补贴资金的预算编制；组</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织企业申</w:t>
      </w:r>
      <w:r>
        <w:rPr>
          <w:rFonts w:hint="eastAsia" w:ascii="方正仿宋_GBK" w:hAnsi="方正仿宋_GBK" w:eastAsia="方正仿宋_GBK" w:cs="方正仿宋_GBK"/>
          <w:color w:val="000000" w:themeColor="text1"/>
          <w:sz w:val="32"/>
          <w:szCs w:val="32"/>
          <w14:textFill>
            <w14:solidFill>
              <w14:schemeClr w14:val="tx1"/>
            </w14:solidFill>
          </w14:textFill>
        </w:rPr>
        <w:t>请补贴资金并进行审核、资金请拨等工作；负责对公交企业进行运营和服务质量考核。</w:t>
      </w:r>
    </w:p>
    <w:p w14:paraId="4FDBF71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财政主</w:t>
      </w:r>
      <w:r>
        <w:rPr>
          <w:rFonts w:hint="eastAsia" w:ascii="方正仿宋_GBK" w:hAnsi="方正仿宋_GBK" w:eastAsia="方正仿宋_GBK" w:cs="方正仿宋_GBK"/>
          <w:color w:val="000000" w:themeColor="text1"/>
          <w:sz w:val="32"/>
          <w:szCs w:val="32"/>
          <w14:textFill>
            <w14:solidFill>
              <w14:schemeClr w14:val="tx1"/>
            </w14:solidFill>
          </w14:textFill>
        </w:rPr>
        <w:t>管部门负</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责将</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新能源</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公交</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运营</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综合补贴资金纳入年度财政预算，及时做好资金的安排和拨付工作。</w:t>
      </w:r>
    </w:p>
    <w:p w14:paraId="32BE416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发展和改革主管部门负责公交行业</w:t>
      </w:r>
      <w:r>
        <w:rPr>
          <w:rFonts w:hint="eastAsia" w:ascii="方正仿宋_GBK" w:hAnsi="方正仿宋_GBK" w:eastAsia="方正仿宋_GBK" w:cs="方正仿宋_GBK"/>
          <w:sz w:val="32"/>
          <w:szCs w:val="32"/>
          <w:lang w:val="en-US" w:eastAsia="zh-CN"/>
        </w:rPr>
        <w:t>发改部门</w:t>
      </w:r>
      <w:r>
        <w:rPr>
          <w:rFonts w:hint="eastAsia" w:ascii="方正仿宋_GBK" w:hAnsi="方正仿宋_GBK" w:eastAsia="方正仿宋_GBK" w:cs="方正仿宋_GBK"/>
          <w:sz w:val="32"/>
          <w:szCs w:val="32"/>
        </w:rPr>
        <w:t>有关政策性补贴的审核、分配工作。</w:t>
      </w:r>
    </w:p>
    <w:p w14:paraId="376A42B8">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 xml:space="preserve">第二章 </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综合补贴标准及拨付程序</w:t>
      </w:r>
    </w:p>
    <w:p w14:paraId="6BE8831B">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val="0"/>
          <w:color w:val="000000" w:themeColor="text1"/>
          <w:sz w:val="32"/>
          <w:szCs w:val="32"/>
          <w:highlight w:val="none"/>
          <w:u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第六条</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 xml:space="preserve"> 县城及工业园区和周边镇村公交</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财政</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综合</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补贴资金</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，总规模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不超过280万元/年,且超出年度财政补贴资金总规模后，超出部分不再给予补贴</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1C1DB119">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第七条</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新能源公交车综合补贴标准</w:t>
      </w:r>
    </w:p>
    <w:p w14:paraId="0B999BC5">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补贴数额=补贴标准×按规定的运行轨迹实际行驶的公里数。</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参考其他</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县区</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公交车运营补贴标准，结合我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以前年度财政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补贴</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实际情况</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及山区县城冷僻线路多</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，综合补贴</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标准确定为</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1.75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元/公里。</w:t>
      </w:r>
    </w:p>
    <w:p w14:paraId="633B368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按规定的运行轨迹实际行驶的公里数是指</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公交公司在</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政府规定的线路上所有正常运营的新能源公交车行驶的公里数总和。</w:t>
      </w:r>
    </w:p>
    <w:p w14:paraId="0C53A73A">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第八条</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新能源公交车综合补贴资金拨付程序如下：</w:t>
      </w:r>
    </w:p>
    <w:p w14:paraId="476A68D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县财政部门于年初</w:t>
      </w:r>
      <w:r>
        <w:rPr>
          <w:rFonts w:hint="eastAsia" w:ascii="方正仿宋_GBK" w:hAnsi="方正仿宋_GBK" w:eastAsia="方正仿宋_GBK" w:cs="方正仿宋_GBK"/>
          <w:color w:val="000000" w:themeColor="text1"/>
          <w:sz w:val="32"/>
          <w:szCs w:val="32"/>
          <w14:textFill>
            <w14:solidFill>
              <w14:schemeClr w14:val="tx1"/>
            </w14:solidFill>
          </w14:textFill>
        </w:rPr>
        <w:t>将年度新能源公交车综合补贴列入本级财政预算。</w:t>
      </w:r>
    </w:p>
    <w:p w14:paraId="10841B5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公交特许经营企业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根据运行情况</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向县交通</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运输</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部门提出</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资金</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拨</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付</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申请，县</w:t>
      </w:r>
      <w:r>
        <w:rPr>
          <w:rFonts w:hint="eastAsia" w:ascii="方正仿宋_GBK" w:hAnsi="方正仿宋_GBK" w:eastAsia="方正仿宋_GBK" w:cs="方正仿宋_GBK"/>
          <w:color w:val="000000" w:themeColor="text1"/>
          <w:sz w:val="32"/>
          <w:szCs w:val="32"/>
          <w14:textFill>
            <w14:solidFill>
              <w14:schemeClr w14:val="tx1"/>
            </w14:solidFill>
          </w14:textFill>
        </w:rPr>
        <w:t>财政部门根据县交通运输部门复核情况</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拨付新能源</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公交</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运营</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综合补贴资金。</w:t>
      </w:r>
    </w:p>
    <w:p w14:paraId="275D419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次年第一季度，县交通运输局对公交特许经营企业上</w:t>
      </w:r>
      <w:r>
        <w:rPr>
          <w:rFonts w:hint="eastAsia" w:ascii="方正仿宋_GBK" w:hAnsi="方正仿宋_GBK" w:eastAsia="方正仿宋_GBK" w:cs="方正仿宋_GBK"/>
          <w:color w:val="000000" w:themeColor="text1"/>
          <w:sz w:val="32"/>
          <w:szCs w:val="32"/>
          <w14:textFill>
            <w14:solidFill>
              <w14:schemeClr w14:val="tx1"/>
            </w14:solidFill>
          </w14:textFill>
        </w:rPr>
        <w:t>年度新能源公交车实际运营公路里程进行复核，结合县交通运输部门对新能源公交车服务质量考核结果和新能源公交车实际运行情况以及新能源运行公里数，运行轨迹（广东省交通运输厅运行平台数据），对上一年度公交特许经营企业新能源公交车年度财政补贴进行清算。</w:t>
      </w:r>
    </w:p>
    <w:p w14:paraId="6F6C5784">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第三章  监督与管理</w:t>
      </w:r>
    </w:p>
    <w:p w14:paraId="1EE60EDB">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第九条</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 xml:space="preserve">  县</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交通运输部门负责对公交特许经营企业</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的</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客运服务质量进行考核，考核结果与年度新能源公交车运营综合补贴直接挂钩。服务质量考核主要包括运营管理、安全管理、社会评价、附加分等。</w:t>
      </w:r>
    </w:p>
    <w:p w14:paraId="19E1C12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服务质量考核每年可根据城市发展需要对考核指标体系进行适当调整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并在本补贴暂行办法适用的补贴期内</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监督公交特许经营企业确保公交线路的正常运营。</w:t>
      </w:r>
    </w:p>
    <w:p w14:paraId="652BED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第十条</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公交特许经营企业应当自觉接受相关部门的监督，将新能源公交车运营业务单独建账，独立核算；从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运营里程、发</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车班次、行车安全、设备配置、充电量、客运量</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等方面制定新能源公交车使用激励机制，提高新能源公交车的使用效率和效益。</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县工业园区管委会及工厂协助对工业园区和周边镇村</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运营的新能源公交车</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进行服务质量考核评价。</w:t>
      </w:r>
    </w:p>
    <w:p w14:paraId="05121E86">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第十一条</w:t>
      </w: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 xml:space="preserve"> 县</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财政部门对</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新能源</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公交</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运营</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综合补贴资金使用进行指导和监督。</w:t>
      </w:r>
    </w:p>
    <w:p w14:paraId="03BC60F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第十二条</w:t>
      </w: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公交特许经营企业存在违法违规行为的</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停止拨付违规项目的补贴资金。对负有直接责任的人员</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按照相关规定追究责任</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涉嫌犯罪的</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移交司法</w:t>
      </w:r>
      <w:r>
        <w:rPr>
          <w:rFonts w:hint="eastAsia" w:ascii="方正仿宋_GBK" w:hAnsi="方正仿宋_GBK" w:eastAsia="方正仿宋_GBK" w:cs="方正仿宋_GBK"/>
          <w:color w:val="000000" w:themeColor="text1"/>
          <w:sz w:val="32"/>
          <w:szCs w:val="32"/>
          <w14:textFill>
            <w14:solidFill>
              <w14:schemeClr w14:val="tx1"/>
            </w14:solidFill>
          </w14:textFill>
        </w:rPr>
        <w:t>机关依法追究其刑事责任。</w:t>
      </w:r>
    </w:p>
    <w:p w14:paraId="75AE8B67">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第十三条</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公交特许经营企业应根</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据</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人民政府</w:t>
      </w:r>
      <w:r>
        <w:rPr>
          <w:rFonts w:hint="eastAsia" w:ascii="方正仿宋_GBK" w:hAnsi="方正仿宋_GBK" w:eastAsia="方正仿宋_GBK" w:cs="方正仿宋_GBK"/>
          <w:color w:val="000000" w:themeColor="text1"/>
          <w:sz w:val="32"/>
          <w:szCs w:val="32"/>
          <w14:textFill>
            <w14:solidFill>
              <w14:schemeClr w14:val="tx1"/>
            </w14:solidFill>
          </w14:textFill>
        </w:rPr>
        <w:t>的要求优化或新开线路并随着城市的提质扩容来满足市民的出行需求。</w:t>
      </w:r>
    </w:p>
    <w:p w14:paraId="7A634B4A">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第四章</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公交运行规划范围</w:t>
      </w:r>
    </w:p>
    <w:p w14:paraId="1CF2433B">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第十四条</w:t>
      </w: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在连平县人民政府批复的公交路线范围内运营，包括元善镇（镇中心城区及周边村），忠信镇，油溪镇，高莞镇，三角镇，大湖镇，绣缎镇。</w:t>
      </w:r>
    </w:p>
    <w:p w14:paraId="50BF91AE">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第五章</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附则</w:t>
      </w:r>
    </w:p>
    <w:p w14:paraId="12A5428A">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themeColor="text1"/>
          <w:sz w:val="32"/>
          <w:szCs w:val="32"/>
          <w:highlight w:val="yellow"/>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第十五条</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本办法由</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交通运输部门</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sz w:val="32"/>
          <w:szCs w:val="32"/>
        </w:rPr>
        <w:t>财政部门</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负责解释。</w:t>
      </w:r>
    </w:p>
    <w:p w14:paraId="1C75B464">
      <w:pPr>
        <w:pageBreakBefore w:val="0"/>
        <w:widowControl w:val="0"/>
        <w:kinsoku/>
        <w:wordWrap/>
        <w:overflowPunct/>
        <w:topLinePunct w:val="0"/>
        <w:autoSpaceDE/>
        <w:autoSpaceDN/>
        <w:bidi w:val="0"/>
        <w:adjustRightInd/>
        <w:snapToGrid/>
        <w:spacing w:line="560" w:lineRule="exact"/>
        <w:ind w:firstLine="643" w:firstLineChars="200"/>
        <w:textAlignment w:val="auto"/>
        <w:rPr>
          <w:b w:val="0"/>
          <w:bCs w:val="0"/>
          <w:color w:val="000000" w:themeColor="text1"/>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第十六条</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本办</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法适用的补贴期为202</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年至202</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年</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度</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w:t>
      </w:r>
      <w:bookmarkEnd w:id="1"/>
    </w:p>
    <w:p w14:paraId="3D767D14">
      <w:pPr>
        <w:rPr>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510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A11EB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9A11EB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85044"/>
    <w:rsid w:val="09A07E35"/>
    <w:rsid w:val="09C84A80"/>
    <w:rsid w:val="0ABC24BF"/>
    <w:rsid w:val="0BF9024D"/>
    <w:rsid w:val="0C515779"/>
    <w:rsid w:val="103333DF"/>
    <w:rsid w:val="10885044"/>
    <w:rsid w:val="10950A62"/>
    <w:rsid w:val="16A00B0B"/>
    <w:rsid w:val="16E153C8"/>
    <w:rsid w:val="19443A31"/>
    <w:rsid w:val="1FA625E3"/>
    <w:rsid w:val="20C46296"/>
    <w:rsid w:val="24083C76"/>
    <w:rsid w:val="2BCE6BE4"/>
    <w:rsid w:val="2CF36A55"/>
    <w:rsid w:val="2CFD6A8C"/>
    <w:rsid w:val="30686DE9"/>
    <w:rsid w:val="308E7B30"/>
    <w:rsid w:val="315273B7"/>
    <w:rsid w:val="35854164"/>
    <w:rsid w:val="36312234"/>
    <w:rsid w:val="37701805"/>
    <w:rsid w:val="3954752E"/>
    <w:rsid w:val="3D915FEE"/>
    <w:rsid w:val="3E1E5079"/>
    <w:rsid w:val="4075439B"/>
    <w:rsid w:val="4771031B"/>
    <w:rsid w:val="4C0A7A15"/>
    <w:rsid w:val="4C471746"/>
    <w:rsid w:val="4D722754"/>
    <w:rsid w:val="4FA9769F"/>
    <w:rsid w:val="60955D63"/>
    <w:rsid w:val="644F652F"/>
    <w:rsid w:val="713A3198"/>
    <w:rsid w:val="73230949"/>
    <w:rsid w:val="7BF368DE"/>
    <w:rsid w:val="7F5E3C13"/>
    <w:rsid w:val="7FBB50C9"/>
    <w:rsid w:val="D6FF9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连平县交通运输局</Company>
  <Pages>4</Pages>
  <Words>1839</Words>
  <Characters>1879</Characters>
  <Lines>0</Lines>
  <Paragraphs>0</Paragraphs>
  <TotalTime>1</TotalTime>
  <ScaleCrop>false</ScaleCrop>
  <LinksUpToDate>false</LinksUpToDate>
  <CharactersWithSpaces>1925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2025-10-21T10:18:00Z</dcterms:created>
  <dc:creator>LENOVO</dc:creator>
  <cp:lastModifiedBy>刘波</cp:lastModifiedBy>
  <cp:lastPrinted>2026-04-29T08:01:00Z</cp:lastPrinted>
  <dcterms:modified xsi:type="dcterms:W3CDTF">2026-05-21T00:52:44Z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FC6C36E3A8B6405D9B8CD167AC0CDF8C_13</vt:lpwstr>
  </property>
  <property fmtid="{D5CDD505-2E9C-101B-9397-08002B2CF9AE}" pid="4" name="KSOTemplateDocerSaveRecord">
    <vt:lpwstr>eyJoZGlkIjoiZjNkZGQ5MGNhMzcxMTUzNTQ1YjE1MTI0MTJhOGE2NjgiLCJ1c2VySWQiOiIxMTQyMzAzMjY1In0=</vt:lpwstr>
  </property>
</Properties>
</file>