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360" w:lineRule="auto"/>
        <w:ind w:firstLine="0" w:firstLineChars="0"/>
        <w:rPr>
          <w:rFonts w:hint="eastAsia" w:ascii="黑体" w:hAnsi="黑体" w:eastAsia="黑体" w:cs="黑体"/>
          <w:b/>
          <w:bCs/>
          <w:color w:val="auto"/>
          <w:sz w:val="36"/>
          <w:szCs w:val="36"/>
          <w:highlight w:val="none"/>
          <w:lang w:val="en-US" w:eastAsia="zh-CN"/>
        </w:rPr>
      </w:pPr>
    </w:p>
    <w:p>
      <w:pPr>
        <w:shd w:val="clear" w:color="auto" w:fill="auto"/>
        <w:spacing w:line="360" w:lineRule="auto"/>
        <w:ind w:firstLine="0" w:firstLineChars="0"/>
        <w:rPr>
          <w:rFonts w:hint="eastAsia" w:ascii="黑体" w:hAnsi="黑体" w:eastAsia="黑体" w:cs="黑体"/>
          <w:b/>
          <w:bCs/>
          <w:color w:val="auto"/>
          <w:sz w:val="36"/>
          <w:szCs w:val="36"/>
          <w:highlight w:val="none"/>
          <w:lang w:val="en-US" w:eastAsia="zh-CN"/>
        </w:rPr>
      </w:pPr>
    </w:p>
    <w:p>
      <w:pPr>
        <w:shd w:val="clear" w:color="auto" w:fill="auto"/>
        <w:spacing w:line="360" w:lineRule="auto"/>
        <w:ind w:firstLine="0" w:firstLineChars="0"/>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连平县能源发展“十四五”规划</w:t>
      </w: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8"/>
          <w:szCs w:val="48"/>
          <w:highlight w:val="none"/>
          <w:lang w:val="en-US" w:eastAsia="zh-CN"/>
        </w:rPr>
      </w:pPr>
    </w:p>
    <w:p>
      <w:pPr>
        <w:spacing w:line="360" w:lineRule="auto"/>
        <w:ind w:firstLine="640"/>
        <w:rPr>
          <w:rFonts w:hint="eastAsia" w:ascii="Times New Roman" w:hAnsi="Times New Roman"/>
          <w:color w:val="auto"/>
          <w:sz w:val="32"/>
          <w:lang w:val="en-US" w:eastAsia="zh-CN"/>
        </w:rPr>
      </w:pPr>
    </w:p>
    <w:p>
      <w:pPr>
        <w:pStyle w:val="2"/>
        <w:rPr>
          <w:rFonts w:hint="eastAsia"/>
          <w:color w:val="auto"/>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pStyle w:val="2"/>
        <w:rPr>
          <w:rFonts w:hint="eastAsia" w:ascii="Times New Roman" w:hAnsi="Times New Roman"/>
          <w:color w:val="auto"/>
          <w:sz w:val="32"/>
          <w:lang w:val="en-US" w:eastAsia="zh-CN"/>
        </w:rPr>
      </w:pPr>
    </w:p>
    <w:p>
      <w:pPr>
        <w:rPr>
          <w:rFonts w:hint="eastAsia"/>
          <w:color w:val="auto"/>
          <w:lang w:val="en-US" w:eastAsia="zh-CN"/>
        </w:rPr>
      </w:pPr>
    </w:p>
    <w:p>
      <w:pPr>
        <w:spacing w:line="360" w:lineRule="auto"/>
        <w:ind w:firstLine="640"/>
        <w:rPr>
          <w:rFonts w:hint="eastAsia" w:ascii="Times New Roman" w:hAnsi="Times New Roman"/>
          <w:color w:val="auto"/>
          <w:sz w:val="32"/>
          <w:lang w:val="en-US" w:eastAsia="zh-CN"/>
        </w:rPr>
      </w:pPr>
    </w:p>
    <w:p>
      <w:pPr>
        <w:spacing w:line="360" w:lineRule="auto"/>
        <w:ind w:firstLine="640"/>
        <w:rPr>
          <w:rFonts w:hint="eastAsia" w:ascii="Times New Roman" w:hAnsi="Times New Roman"/>
          <w:color w:val="auto"/>
          <w:sz w:val="32"/>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楷体" w:hAnsi="楷体" w:eastAsia="楷体" w:cs="楷体"/>
          <w:b/>
          <w:bCs/>
          <w:color w:val="auto"/>
          <w:sz w:val="36"/>
          <w:szCs w:val="36"/>
          <w:highlight w:val="none"/>
          <w:lang w:val="en-US" w:eastAsia="zh-CN"/>
        </w:rPr>
        <w:t>二〇二三年九月</w:t>
      </w:r>
    </w:p>
    <w:sdt>
      <w:sdtPr>
        <w:rPr>
          <w:rFonts w:hint="eastAsia" w:ascii="楷体" w:hAnsi="楷体" w:eastAsia="楷体" w:cs="楷体"/>
          <w:b/>
          <w:bCs/>
          <w:color w:val="auto"/>
          <w:kern w:val="2"/>
          <w:sz w:val="40"/>
          <w:szCs w:val="40"/>
          <w:highlight w:val="none"/>
          <w:lang w:val="en-US" w:eastAsia="zh-CN" w:bidi="ar-SA"/>
        </w:rPr>
        <w:id w:val="147482746"/>
        <w15:color w:val="DBDBDB"/>
        <w:docPartObj>
          <w:docPartGallery w:val="Table of Contents"/>
          <w:docPartUnique/>
        </w:docPartObj>
      </w:sdtPr>
      <w:sdtEndPr>
        <w:rPr>
          <w:rFonts w:hint="eastAsia" w:ascii="楷体" w:hAnsi="楷体" w:eastAsia="楷体" w:cs="楷体"/>
          <w:b/>
          <w:bCs/>
          <w:color w:val="auto"/>
          <w:kern w:val="2"/>
          <w:sz w:val="36"/>
          <w:szCs w:val="36"/>
          <w:highlight w:val="none"/>
          <w:lang w:val="en-US" w:eastAsia="zh-CN" w:bidi="ar-SA"/>
        </w:rPr>
      </w:sdtEndPr>
      <w:sdtContent>
        <w:p>
          <w:pPr>
            <w:keepNext w:val="0"/>
            <w:keepLines w:val="0"/>
            <w:pageBreakBefore/>
            <w:widowControl w:val="0"/>
            <w:shd w:val="clea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楷体" w:hAnsi="楷体" w:eastAsia="楷体" w:cs="楷体"/>
              <w:b/>
              <w:bCs/>
              <w:color w:val="auto"/>
              <w:sz w:val="40"/>
              <w:szCs w:val="40"/>
              <w:highlight w:val="none"/>
            </w:rPr>
          </w:pPr>
          <w:r>
            <w:rPr>
              <w:rFonts w:hint="eastAsia" w:ascii="楷体" w:hAnsi="楷体" w:eastAsia="楷体" w:cs="楷体"/>
              <w:b/>
              <w:bCs/>
              <w:color w:val="auto"/>
              <w:sz w:val="40"/>
              <w:szCs w:val="40"/>
              <w:highlight w:val="none"/>
            </w:rPr>
            <w:t>目</w:t>
          </w:r>
          <w:r>
            <w:rPr>
              <w:rFonts w:hint="eastAsia" w:ascii="楷体" w:hAnsi="楷体" w:eastAsia="楷体" w:cs="楷体"/>
              <w:b/>
              <w:bCs/>
              <w:color w:val="auto"/>
              <w:sz w:val="40"/>
              <w:szCs w:val="40"/>
              <w:highlight w:val="none"/>
              <w:lang w:val="en-US" w:eastAsia="zh-CN"/>
            </w:rPr>
            <w:t xml:space="preserve">  </w:t>
          </w:r>
          <w:r>
            <w:rPr>
              <w:rFonts w:hint="eastAsia" w:ascii="楷体" w:hAnsi="楷体" w:eastAsia="楷体" w:cs="楷体"/>
              <w:b/>
              <w:bCs/>
              <w:color w:val="auto"/>
              <w:sz w:val="40"/>
              <w:szCs w:val="40"/>
              <w:highlight w:val="none"/>
            </w:rPr>
            <w:t>录</w:t>
          </w:r>
        </w:p>
        <w:p>
          <w:pPr>
            <w:pStyle w:val="13"/>
            <w:tabs>
              <w:tab w:val="right" w:leader="dot" w:pos="8306"/>
            </w:tabs>
            <w:rPr>
              <w:color w:val="auto"/>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_Toc1999 </w:instrText>
          </w:r>
          <w:r>
            <w:rPr>
              <w:color w:val="auto"/>
              <w:highlight w:val="none"/>
            </w:rPr>
            <w:fldChar w:fldCharType="separate"/>
          </w:r>
          <w:r>
            <w:rPr>
              <w:rFonts w:hint="eastAsia" w:ascii="Times New Roman" w:hAnsi="Times New Roman" w:cs="Times New Roman"/>
              <w:color w:val="auto"/>
              <w:highlight w:val="none"/>
              <w:lang w:val="en-US" w:eastAsia="zh-CN"/>
            </w:rPr>
            <w:t>前 言</w:t>
          </w:r>
          <w:r>
            <w:rPr>
              <w:color w:val="auto"/>
            </w:rPr>
            <w:tab/>
          </w:r>
          <w:r>
            <w:rPr>
              <w:color w:val="auto"/>
            </w:rPr>
            <w:fldChar w:fldCharType="begin"/>
          </w:r>
          <w:r>
            <w:rPr>
              <w:color w:val="auto"/>
            </w:rPr>
            <w:instrText xml:space="preserve"> PAGEREF _Toc1999 \h </w:instrText>
          </w:r>
          <w:r>
            <w:rPr>
              <w:color w:val="auto"/>
            </w:rPr>
            <w:fldChar w:fldCharType="separate"/>
          </w:r>
          <w:r>
            <w:rPr>
              <w:color w:val="auto"/>
            </w:rPr>
            <w:t>1</w:t>
          </w:r>
          <w:r>
            <w:rPr>
              <w:color w:val="auto"/>
            </w:rPr>
            <w:fldChar w:fldCharType="end"/>
          </w:r>
          <w:r>
            <w:rPr>
              <w:color w:val="auto"/>
              <w:highlight w:val="none"/>
            </w:rPr>
            <w:fldChar w:fldCharType="end"/>
          </w:r>
        </w:p>
        <w:p>
          <w:pPr>
            <w:pStyle w:val="13"/>
            <w:tabs>
              <w:tab w:val="right" w:leader="dot" w:pos="8306"/>
            </w:tabs>
            <w:rPr>
              <w:color w:val="auto"/>
            </w:rPr>
          </w:pPr>
          <w:r>
            <w:rPr>
              <w:color w:val="auto"/>
              <w:highlight w:val="none"/>
            </w:rPr>
            <w:fldChar w:fldCharType="begin"/>
          </w:r>
          <w:r>
            <w:rPr>
              <w:color w:val="auto"/>
              <w:highlight w:val="none"/>
            </w:rPr>
            <w:instrText xml:space="preserve"> HYPERLINK \l _Toc249 </w:instrText>
          </w:r>
          <w:r>
            <w:rPr>
              <w:color w:val="auto"/>
              <w:highlight w:val="none"/>
            </w:rPr>
            <w:fldChar w:fldCharType="separate"/>
          </w:r>
          <w:r>
            <w:rPr>
              <w:rFonts w:hint="eastAsia" w:ascii="Times New Roman" w:hAnsi="Times New Roman" w:cs="Times New Roman"/>
              <w:color w:val="auto"/>
              <w:highlight w:val="none"/>
              <w:lang w:val="en-US" w:eastAsia="zh-CN"/>
            </w:rPr>
            <w:t>第一章 发展基础</w:t>
          </w:r>
          <w:r>
            <w:rPr>
              <w:color w:val="auto"/>
            </w:rPr>
            <w:tab/>
          </w:r>
          <w:r>
            <w:rPr>
              <w:color w:val="auto"/>
            </w:rPr>
            <w:fldChar w:fldCharType="begin"/>
          </w:r>
          <w:r>
            <w:rPr>
              <w:color w:val="auto"/>
            </w:rPr>
            <w:instrText xml:space="preserve"> PAGEREF _Toc249 \h </w:instrText>
          </w:r>
          <w:r>
            <w:rPr>
              <w:color w:val="auto"/>
            </w:rPr>
            <w:fldChar w:fldCharType="separate"/>
          </w:r>
          <w:r>
            <w:rPr>
              <w:color w:val="auto"/>
            </w:rPr>
            <w:t>2</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_Toc2537 </w:instrText>
          </w:r>
          <w:r>
            <w:rPr>
              <w:color w:val="auto"/>
              <w:highlight w:val="none"/>
            </w:rPr>
            <w:fldChar w:fldCharType="separate"/>
          </w:r>
          <w:r>
            <w:rPr>
              <w:rFonts w:hint="eastAsia"/>
              <w:color w:val="auto"/>
              <w:highlight w:val="none"/>
              <w:lang w:val="en-US" w:eastAsia="zh-CN"/>
            </w:rPr>
            <w:t>第一节 发展现状</w:t>
          </w:r>
          <w:r>
            <w:rPr>
              <w:color w:val="auto"/>
            </w:rPr>
            <w:tab/>
          </w:r>
          <w:r>
            <w:rPr>
              <w:color w:val="auto"/>
            </w:rPr>
            <w:fldChar w:fldCharType="begin"/>
          </w:r>
          <w:r>
            <w:rPr>
              <w:color w:val="auto"/>
            </w:rPr>
            <w:instrText xml:space="preserve"> PAGEREF _Toc2537 \h </w:instrText>
          </w:r>
          <w:r>
            <w:rPr>
              <w:color w:val="auto"/>
            </w:rPr>
            <w:fldChar w:fldCharType="separate"/>
          </w:r>
          <w:r>
            <w:rPr>
              <w:color w:val="auto"/>
            </w:rPr>
            <w:t>2</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_Toc8191 </w:instrText>
          </w:r>
          <w:r>
            <w:rPr>
              <w:color w:val="auto"/>
              <w:highlight w:val="none"/>
            </w:rPr>
            <w:fldChar w:fldCharType="separate"/>
          </w:r>
          <w:r>
            <w:rPr>
              <w:rFonts w:hint="eastAsia"/>
              <w:color w:val="auto"/>
              <w:highlight w:val="none"/>
              <w:lang w:val="en-US" w:eastAsia="zh-CN"/>
            </w:rPr>
            <w:t>第二节 存在问题</w:t>
          </w:r>
          <w:r>
            <w:rPr>
              <w:color w:val="auto"/>
            </w:rPr>
            <w:tab/>
          </w:r>
          <w:r>
            <w:rPr>
              <w:color w:val="auto"/>
            </w:rPr>
            <w:fldChar w:fldCharType="begin"/>
          </w:r>
          <w:r>
            <w:rPr>
              <w:color w:val="auto"/>
            </w:rPr>
            <w:instrText xml:space="preserve"> PAGEREF _Toc8191 \h </w:instrText>
          </w:r>
          <w:r>
            <w:rPr>
              <w:color w:val="auto"/>
            </w:rPr>
            <w:fldChar w:fldCharType="separate"/>
          </w:r>
          <w:r>
            <w:rPr>
              <w:color w:val="auto"/>
            </w:rPr>
            <w:t>5</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_Toc24699 </w:instrText>
          </w:r>
          <w:r>
            <w:rPr>
              <w:color w:val="auto"/>
              <w:highlight w:val="none"/>
            </w:rPr>
            <w:fldChar w:fldCharType="separate"/>
          </w:r>
          <w:r>
            <w:rPr>
              <w:rFonts w:hint="eastAsia"/>
              <w:color w:val="auto"/>
              <w:highlight w:val="none"/>
              <w:lang w:val="en-US" w:eastAsia="zh-CN"/>
            </w:rPr>
            <w:t>第三节 发展环境</w:t>
          </w:r>
          <w:r>
            <w:rPr>
              <w:color w:val="auto"/>
            </w:rPr>
            <w:tab/>
          </w:r>
          <w:r>
            <w:rPr>
              <w:color w:val="auto"/>
            </w:rPr>
            <w:fldChar w:fldCharType="begin"/>
          </w:r>
          <w:r>
            <w:rPr>
              <w:color w:val="auto"/>
            </w:rPr>
            <w:instrText xml:space="preserve"> PAGEREF _Toc24699 \h </w:instrText>
          </w:r>
          <w:r>
            <w:rPr>
              <w:color w:val="auto"/>
            </w:rPr>
            <w:fldChar w:fldCharType="separate"/>
          </w:r>
          <w:r>
            <w:rPr>
              <w:color w:val="auto"/>
            </w:rPr>
            <w:t>6</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_Toc5762 </w:instrText>
          </w:r>
          <w:r>
            <w:rPr>
              <w:color w:val="auto"/>
              <w:highlight w:val="none"/>
            </w:rPr>
            <w:fldChar w:fldCharType="separate"/>
          </w:r>
          <w:r>
            <w:rPr>
              <w:rFonts w:hint="eastAsia"/>
              <w:color w:val="auto"/>
              <w:highlight w:val="none"/>
              <w:lang w:val="en-US" w:eastAsia="zh-CN"/>
            </w:rPr>
            <w:t>第四节 发展机遇</w:t>
          </w:r>
          <w:r>
            <w:rPr>
              <w:color w:val="auto"/>
            </w:rPr>
            <w:tab/>
          </w:r>
          <w:r>
            <w:rPr>
              <w:color w:val="auto"/>
            </w:rPr>
            <w:fldChar w:fldCharType="begin"/>
          </w:r>
          <w:r>
            <w:rPr>
              <w:color w:val="auto"/>
            </w:rPr>
            <w:instrText xml:space="preserve"> PAGEREF _Toc5762 \h </w:instrText>
          </w:r>
          <w:r>
            <w:rPr>
              <w:color w:val="auto"/>
            </w:rPr>
            <w:fldChar w:fldCharType="separate"/>
          </w:r>
          <w:r>
            <w:rPr>
              <w:color w:val="auto"/>
            </w:rPr>
            <w:t>8</w:t>
          </w:r>
          <w:r>
            <w:rPr>
              <w:color w:val="auto"/>
            </w:rPr>
            <w:fldChar w:fldCharType="end"/>
          </w:r>
          <w:r>
            <w:rPr>
              <w:color w:val="auto"/>
              <w:highlight w:val="none"/>
            </w:rPr>
            <w:fldChar w:fldCharType="end"/>
          </w:r>
        </w:p>
        <w:p>
          <w:pPr>
            <w:pStyle w:val="13"/>
            <w:tabs>
              <w:tab w:val="right" w:leader="dot" w:pos="8306"/>
            </w:tabs>
            <w:rPr>
              <w:color w:val="auto"/>
            </w:rPr>
          </w:pPr>
          <w:r>
            <w:rPr>
              <w:color w:val="auto"/>
              <w:highlight w:val="none"/>
            </w:rPr>
            <w:fldChar w:fldCharType="begin"/>
          </w:r>
          <w:r>
            <w:rPr>
              <w:color w:val="auto"/>
              <w:highlight w:val="none"/>
            </w:rPr>
            <w:instrText xml:space="preserve"> HYPERLINK \l _Toc20203 </w:instrText>
          </w:r>
          <w:r>
            <w:rPr>
              <w:color w:val="auto"/>
              <w:highlight w:val="none"/>
            </w:rPr>
            <w:fldChar w:fldCharType="separate"/>
          </w:r>
          <w:r>
            <w:rPr>
              <w:rFonts w:hint="eastAsia"/>
              <w:color w:val="auto"/>
              <w:highlight w:val="none"/>
              <w:lang w:val="en-US" w:eastAsia="zh-CN"/>
            </w:rPr>
            <w:t>第二章 总体要求</w:t>
          </w:r>
          <w:r>
            <w:rPr>
              <w:color w:val="auto"/>
            </w:rPr>
            <w:tab/>
          </w:r>
          <w:r>
            <w:rPr>
              <w:color w:val="auto"/>
            </w:rPr>
            <w:fldChar w:fldCharType="begin"/>
          </w:r>
          <w:r>
            <w:rPr>
              <w:color w:val="auto"/>
            </w:rPr>
            <w:instrText xml:space="preserve"> PAGEREF _Toc20203 \h </w:instrText>
          </w:r>
          <w:r>
            <w:rPr>
              <w:color w:val="auto"/>
            </w:rPr>
            <w:fldChar w:fldCharType="separate"/>
          </w:r>
          <w:r>
            <w:rPr>
              <w:color w:val="auto"/>
            </w:rPr>
            <w:t>10</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_Toc4965 </w:instrText>
          </w:r>
          <w:r>
            <w:rPr>
              <w:color w:val="auto"/>
              <w:highlight w:val="none"/>
            </w:rPr>
            <w:fldChar w:fldCharType="separate"/>
          </w:r>
          <w:r>
            <w:rPr>
              <w:rFonts w:hint="eastAsia"/>
              <w:color w:val="auto"/>
              <w:highlight w:val="none"/>
              <w:lang w:val="en-US" w:eastAsia="zh-CN"/>
            </w:rPr>
            <w:t>第一节 指导思想</w:t>
          </w:r>
          <w:r>
            <w:rPr>
              <w:color w:val="auto"/>
            </w:rPr>
            <w:tab/>
          </w:r>
          <w:r>
            <w:rPr>
              <w:color w:val="auto"/>
            </w:rPr>
            <w:fldChar w:fldCharType="begin"/>
          </w:r>
          <w:r>
            <w:rPr>
              <w:color w:val="auto"/>
            </w:rPr>
            <w:instrText xml:space="preserve"> PAGEREF _Toc4965 \h </w:instrText>
          </w:r>
          <w:r>
            <w:rPr>
              <w:color w:val="auto"/>
            </w:rPr>
            <w:fldChar w:fldCharType="separate"/>
          </w:r>
          <w:r>
            <w:rPr>
              <w:color w:val="auto"/>
            </w:rPr>
            <w:t>10</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_Toc17730 </w:instrText>
          </w:r>
          <w:r>
            <w:rPr>
              <w:color w:val="auto"/>
              <w:highlight w:val="none"/>
            </w:rPr>
            <w:fldChar w:fldCharType="separate"/>
          </w:r>
          <w:r>
            <w:rPr>
              <w:rFonts w:hint="eastAsia"/>
              <w:color w:val="auto"/>
              <w:highlight w:val="none"/>
              <w:lang w:val="en-US" w:eastAsia="zh-CN"/>
            </w:rPr>
            <w:t>第二节 基本原则</w:t>
          </w:r>
          <w:r>
            <w:rPr>
              <w:color w:val="auto"/>
            </w:rPr>
            <w:tab/>
          </w:r>
          <w:r>
            <w:rPr>
              <w:color w:val="auto"/>
            </w:rPr>
            <w:fldChar w:fldCharType="begin"/>
          </w:r>
          <w:r>
            <w:rPr>
              <w:color w:val="auto"/>
            </w:rPr>
            <w:instrText xml:space="preserve"> PAGEREF _Toc17730 \h </w:instrText>
          </w:r>
          <w:r>
            <w:rPr>
              <w:color w:val="auto"/>
            </w:rPr>
            <w:fldChar w:fldCharType="separate"/>
          </w:r>
          <w:r>
            <w:rPr>
              <w:color w:val="auto"/>
            </w:rPr>
            <w:t>10</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_Toc6269 </w:instrText>
          </w:r>
          <w:r>
            <w:rPr>
              <w:color w:val="auto"/>
              <w:highlight w:val="none"/>
            </w:rPr>
            <w:fldChar w:fldCharType="separate"/>
          </w:r>
          <w:r>
            <w:rPr>
              <w:rFonts w:hint="eastAsia"/>
              <w:color w:val="auto"/>
              <w:highlight w:val="none"/>
              <w:lang w:val="en-US" w:eastAsia="zh-CN"/>
            </w:rPr>
            <w:t>第三节 规划目标</w:t>
          </w:r>
          <w:r>
            <w:rPr>
              <w:color w:val="auto"/>
            </w:rPr>
            <w:tab/>
          </w:r>
          <w:r>
            <w:rPr>
              <w:color w:val="auto"/>
            </w:rPr>
            <w:fldChar w:fldCharType="begin"/>
          </w:r>
          <w:r>
            <w:rPr>
              <w:color w:val="auto"/>
            </w:rPr>
            <w:instrText xml:space="preserve"> PAGEREF _Toc6269 \h </w:instrText>
          </w:r>
          <w:r>
            <w:rPr>
              <w:color w:val="auto"/>
            </w:rPr>
            <w:fldChar w:fldCharType="separate"/>
          </w:r>
          <w:r>
            <w:rPr>
              <w:color w:val="auto"/>
            </w:rPr>
            <w:t>11</w:t>
          </w:r>
          <w:r>
            <w:rPr>
              <w:color w:val="auto"/>
            </w:rPr>
            <w:fldChar w:fldCharType="end"/>
          </w:r>
          <w:r>
            <w:rPr>
              <w:color w:val="auto"/>
              <w:highlight w:val="none"/>
            </w:rPr>
            <w:fldChar w:fldCharType="end"/>
          </w:r>
        </w:p>
        <w:p>
          <w:pPr>
            <w:pStyle w:val="13"/>
            <w:tabs>
              <w:tab w:val="right" w:leader="dot" w:pos="8306"/>
            </w:tabs>
            <w:rPr>
              <w:color w:val="auto"/>
            </w:rPr>
          </w:pPr>
          <w:r>
            <w:rPr>
              <w:color w:val="auto"/>
              <w:highlight w:val="none"/>
            </w:rPr>
            <w:fldChar w:fldCharType="begin"/>
          </w:r>
          <w:r>
            <w:rPr>
              <w:color w:val="auto"/>
              <w:highlight w:val="none"/>
            </w:rPr>
            <w:instrText xml:space="preserve"> HYPERLINK \l _Toc28742 </w:instrText>
          </w:r>
          <w:r>
            <w:rPr>
              <w:color w:val="auto"/>
              <w:highlight w:val="none"/>
            </w:rPr>
            <w:fldChar w:fldCharType="separate"/>
          </w:r>
          <w:r>
            <w:rPr>
              <w:rFonts w:hint="eastAsia"/>
              <w:color w:val="auto"/>
              <w:highlight w:val="none"/>
              <w:lang w:val="en-US" w:eastAsia="zh-CN"/>
            </w:rPr>
            <w:t>第三章 主要任务</w:t>
          </w:r>
          <w:r>
            <w:rPr>
              <w:color w:val="auto"/>
            </w:rPr>
            <w:tab/>
          </w:r>
          <w:r>
            <w:rPr>
              <w:color w:val="auto"/>
            </w:rPr>
            <w:fldChar w:fldCharType="begin"/>
          </w:r>
          <w:r>
            <w:rPr>
              <w:color w:val="auto"/>
            </w:rPr>
            <w:instrText xml:space="preserve"> PAGEREF _Toc28742 \h </w:instrText>
          </w:r>
          <w:r>
            <w:rPr>
              <w:color w:val="auto"/>
            </w:rPr>
            <w:fldChar w:fldCharType="separate"/>
          </w:r>
          <w:r>
            <w:rPr>
              <w:color w:val="auto"/>
            </w:rPr>
            <w:t>13</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_Toc4270 </w:instrText>
          </w:r>
          <w:r>
            <w:rPr>
              <w:color w:val="auto"/>
              <w:highlight w:val="none"/>
            </w:rPr>
            <w:fldChar w:fldCharType="separate"/>
          </w:r>
          <w:r>
            <w:rPr>
              <w:rFonts w:hint="eastAsia"/>
              <w:color w:val="auto"/>
              <w:highlight w:val="none"/>
              <w:lang w:val="en-US" w:eastAsia="zh-CN"/>
            </w:rPr>
            <w:t>第一节 促进农村清洁能源健康发展</w:t>
          </w:r>
          <w:r>
            <w:rPr>
              <w:color w:val="auto"/>
            </w:rPr>
            <w:tab/>
          </w:r>
          <w:r>
            <w:rPr>
              <w:color w:val="auto"/>
            </w:rPr>
            <w:fldChar w:fldCharType="begin"/>
          </w:r>
          <w:r>
            <w:rPr>
              <w:color w:val="auto"/>
            </w:rPr>
            <w:instrText xml:space="preserve"> PAGEREF _Toc4270 \h </w:instrText>
          </w:r>
          <w:r>
            <w:rPr>
              <w:color w:val="auto"/>
            </w:rPr>
            <w:fldChar w:fldCharType="separate"/>
          </w:r>
          <w:r>
            <w:rPr>
              <w:color w:val="auto"/>
            </w:rPr>
            <w:t>13</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_Toc9115 </w:instrText>
          </w:r>
          <w:r>
            <w:rPr>
              <w:color w:val="auto"/>
              <w:highlight w:val="none"/>
            </w:rPr>
            <w:fldChar w:fldCharType="separate"/>
          </w:r>
          <w:r>
            <w:rPr>
              <w:rFonts w:hint="eastAsia"/>
              <w:color w:val="auto"/>
              <w:highlight w:val="none"/>
              <w:lang w:val="en-US" w:eastAsia="zh-CN"/>
            </w:rPr>
            <w:t>第二节 建设安全可靠、智能高效电网</w:t>
          </w:r>
          <w:r>
            <w:rPr>
              <w:color w:val="auto"/>
            </w:rPr>
            <w:tab/>
          </w:r>
          <w:r>
            <w:rPr>
              <w:color w:val="auto"/>
            </w:rPr>
            <w:fldChar w:fldCharType="begin"/>
          </w:r>
          <w:r>
            <w:rPr>
              <w:color w:val="auto"/>
            </w:rPr>
            <w:instrText xml:space="preserve"> PAGEREF _Toc9115 \h </w:instrText>
          </w:r>
          <w:r>
            <w:rPr>
              <w:color w:val="auto"/>
            </w:rPr>
            <w:fldChar w:fldCharType="separate"/>
          </w:r>
          <w:r>
            <w:rPr>
              <w:color w:val="auto"/>
            </w:rPr>
            <w:t>15</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_Toc3096 </w:instrText>
          </w:r>
          <w:r>
            <w:rPr>
              <w:color w:val="auto"/>
              <w:highlight w:val="none"/>
            </w:rPr>
            <w:fldChar w:fldCharType="separate"/>
          </w:r>
          <w:r>
            <w:rPr>
              <w:rFonts w:hint="eastAsia"/>
              <w:color w:val="auto"/>
              <w:highlight w:val="none"/>
              <w:lang w:val="en-US" w:eastAsia="zh-CN"/>
            </w:rPr>
            <w:t>第三节 保障重点领域合理用能</w:t>
          </w:r>
          <w:r>
            <w:rPr>
              <w:color w:val="auto"/>
            </w:rPr>
            <w:tab/>
          </w:r>
          <w:r>
            <w:rPr>
              <w:color w:val="auto"/>
            </w:rPr>
            <w:fldChar w:fldCharType="begin"/>
          </w:r>
          <w:r>
            <w:rPr>
              <w:color w:val="auto"/>
            </w:rPr>
            <w:instrText xml:space="preserve"> PAGEREF _Toc3096 \h </w:instrText>
          </w:r>
          <w:r>
            <w:rPr>
              <w:color w:val="auto"/>
            </w:rPr>
            <w:fldChar w:fldCharType="separate"/>
          </w:r>
          <w:r>
            <w:rPr>
              <w:color w:val="auto"/>
            </w:rPr>
            <w:t>16</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_Toc13761 </w:instrText>
          </w:r>
          <w:r>
            <w:rPr>
              <w:color w:val="auto"/>
              <w:highlight w:val="none"/>
            </w:rPr>
            <w:fldChar w:fldCharType="separate"/>
          </w:r>
          <w:r>
            <w:rPr>
              <w:rFonts w:hint="eastAsia"/>
              <w:color w:val="auto"/>
              <w:highlight w:val="none"/>
              <w:lang w:val="en-US" w:eastAsia="zh-CN"/>
            </w:rPr>
            <w:t>第四节 强化节能减排约束指标</w:t>
          </w:r>
          <w:r>
            <w:rPr>
              <w:color w:val="auto"/>
            </w:rPr>
            <w:tab/>
          </w:r>
          <w:r>
            <w:rPr>
              <w:color w:val="auto"/>
            </w:rPr>
            <w:fldChar w:fldCharType="begin"/>
          </w:r>
          <w:r>
            <w:rPr>
              <w:color w:val="auto"/>
            </w:rPr>
            <w:instrText xml:space="preserve"> PAGEREF _Toc13761 \h </w:instrText>
          </w:r>
          <w:r>
            <w:rPr>
              <w:color w:val="auto"/>
            </w:rPr>
            <w:fldChar w:fldCharType="separate"/>
          </w:r>
          <w:r>
            <w:rPr>
              <w:color w:val="auto"/>
            </w:rPr>
            <w:t>17</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_Toc31379 </w:instrText>
          </w:r>
          <w:r>
            <w:rPr>
              <w:color w:val="auto"/>
              <w:highlight w:val="none"/>
            </w:rPr>
            <w:fldChar w:fldCharType="separate"/>
          </w:r>
          <w:r>
            <w:rPr>
              <w:rFonts w:hint="eastAsia"/>
              <w:color w:val="auto"/>
              <w:highlight w:val="none"/>
              <w:lang w:val="en-US" w:eastAsia="zh-CN"/>
            </w:rPr>
            <w:t>第五节 增强能源运输储备能力</w:t>
          </w:r>
          <w:r>
            <w:rPr>
              <w:color w:val="auto"/>
            </w:rPr>
            <w:tab/>
          </w:r>
          <w:r>
            <w:rPr>
              <w:color w:val="auto"/>
            </w:rPr>
            <w:fldChar w:fldCharType="begin"/>
          </w:r>
          <w:r>
            <w:rPr>
              <w:color w:val="auto"/>
            </w:rPr>
            <w:instrText xml:space="preserve"> PAGEREF _Toc31379 \h </w:instrText>
          </w:r>
          <w:r>
            <w:rPr>
              <w:color w:val="auto"/>
            </w:rPr>
            <w:fldChar w:fldCharType="separate"/>
          </w:r>
          <w:r>
            <w:rPr>
              <w:color w:val="auto"/>
            </w:rPr>
            <w:t>19</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_Toc25895 </w:instrText>
          </w:r>
          <w:r>
            <w:rPr>
              <w:color w:val="auto"/>
              <w:highlight w:val="none"/>
            </w:rPr>
            <w:fldChar w:fldCharType="separate"/>
          </w:r>
          <w:r>
            <w:rPr>
              <w:rFonts w:hint="eastAsia"/>
              <w:color w:val="auto"/>
              <w:highlight w:val="none"/>
              <w:lang w:val="en-US" w:eastAsia="zh-CN"/>
            </w:rPr>
            <w:t>第六节 推进能源科技创新发展</w:t>
          </w:r>
          <w:r>
            <w:rPr>
              <w:color w:val="auto"/>
            </w:rPr>
            <w:tab/>
          </w:r>
          <w:r>
            <w:rPr>
              <w:color w:val="auto"/>
            </w:rPr>
            <w:fldChar w:fldCharType="begin"/>
          </w:r>
          <w:r>
            <w:rPr>
              <w:color w:val="auto"/>
            </w:rPr>
            <w:instrText xml:space="preserve"> PAGEREF _Toc25895 \h </w:instrText>
          </w:r>
          <w:r>
            <w:rPr>
              <w:color w:val="auto"/>
            </w:rPr>
            <w:fldChar w:fldCharType="separate"/>
          </w:r>
          <w:r>
            <w:rPr>
              <w:color w:val="auto"/>
            </w:rPr>
            <w:t>20</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_Toc16128 </w:instrText>
          </w:r>
          <w:r>
            <w:rPr>
              <w:color w:val="auto"/>
              <w:highlight w:val="none"/>
            </w:rPr>
            <w:fldChar w:fldCharType="separate"/>
          </w:r>
          <w:r>
            <w:rPr>
              <w:rFonts w:hint="eastAsia"/>
              <w:color w:val="auto"/>
              <w:highlight w:val="none"/>
              <w:lang w:val="en-US" w:eastAsia="zh-CN"/>
            </w:rPr>
            <w:t>第七节 建设环保清洁、绿色低碳电源</w:t>
          </w:r>
          <w:r>
            <w:rPr>
              <w:color w:val="auto"/>
            </w:rPr>
            <w:tab/>
          </w:r>
          <w:r>
            <w:rPr>
              <w:color w:val="auto"/>
            </w:rPr>
            <w:fldChar w:fldCharType="begin"/>
          </w:r>
          <w:r>
            <w:rPr>
              <w:color w:val="auto"/>
            </w:rPr>
            <w:instrText xml:space="preserve"> PAGEREF _Toc16128 \h </w:instrText>
          </w:r>
          <w:r>
            <w:rPr>
              <w:color w:val="auto"/>
            </w:rPr>
            <w:fldChar w:fldCharType="separate"/>
          </w:r>
          <w:r>
            <w:rPr>
              <w:color w:val="auto"/>
            </w:rPr>
            <w:t>22</w:t>
          </w:r>
          <w:r>
            <w:rPr>
              <w:color w:val="auto"/>
            </w:rPr>
            <w:fldChar w:fldCharType="end"/>
          </w:r>
          <w:r>
            <w:rPr>
              <w:color w:val="auto"/>
              <w:highlight w:val="none"/>
            </w:rPr>
            <w:fldChar w:fldCharType="end"/>
          </w:r>
        </w:p>
        <w:p>
          <w:pPr>
            <w:pStyle w:val="13"/>
            <w:tabs>
              <w:tab w:val="right" w:leader="dot" w:pos="8306"/>
            </w:tabs>
            <w:rPr>
              <w:color w:val="auto"/>
            </w:rPr>
          </w:pPr>
          <w:r>
            <w:rPr>
              <w:color w:val="auto"/>
              <w:highlight w:val="none"/>
            </w:rPr>
            <w:fldChar w:fldCharType="begin"/>
          </w:r>
          <w:r>
            <w:rPr>
              <w:color w:val="auto"/>
              <w:highlight w:val="none"/>
            </w:rPr>
            <w:instrText xml:space="preserve"> HYPERLINK \l _Toc22185 </w:instrText>
          </w:r>
          <w:r>
            <w:rPr>
              <w:color w:val="auto"/>
              <w:highlight w:val="none"/>
            </w:rPr>
            <w:fldChar w:fldCharType="separate"/>
          </w:r>
          <w:r>
            <w:rPr>
              <w:rFonts w:hint="eastAsia"/>
              <w:color w:val="auto"/>
              <w:highlight w:val="none"/>
              <w:lang w:val="en-US" w:eastAsia="zh-CN"/>
            </w:rPr>
            <w:t>第四章 保障措施</w:t>
          </w:r>
          <w:r>
            <w:rPr>
              <w:color w:val="auto"/>
            </w:rPr>
            <w:tab/>
          </w:r>
          <w:r>
            <w:rPr>
              <w:color w:val="auto"/>
            </w:rPr>
            <w:fldChar w:fldCharType="begin"/>
          </w:r>
          <w:r>
            <w:rPr>
              <w:color w:val="auto"/>
            </w:rPr>
            <w:instrText xml:space="preserve"> PAGEREF _Toc22185 \h </w:instrText>
          </w:r>
          <w:r>
            <w:rPr>
              <w:color w:val="auto"/>
            </w:rPr>
            <w:fldChar w:fldCharType="separate"/>
          </w:r>
          <w:r>
            <w:rPr>
              <w:color w:val="auto"/>
            </w:rPr>
            <w:t>23</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_Toc2624 </w:instrText>
          </w:r>
          <w:r>
            <w:rPr>
              <w:color w:val="auto"/>
              <w:highlight w:val="none"/>
            </w:rPr>
            <w:fldChar w:fldCharType="separate"/>
          </w:r>
          <w:r>
            <w:rPr>
              <w:rFonts w:hint="eastAsia"/>
              <w:color w:val="auto"/>
              <w:highlight w:val="none"/>
              <w:lang w:val="en-US" w:eastAsia="zh-CN"/>
            </w:rPr>
            <w:t xml:space="preserve">第一节 </w:t>
          </w:r>
          <w:r>
            <w:rPr>
              <w:rFonts w:hint="default"/>
              <w:color w:val="auto"/>
              <w:highlight w:val="none"/>
              <w:lang w:val="en-US" w:eastAsia="zh-CN"/>
            </w:rPr>
            <w:t>强化规划指导衔接</w:t>
          </w:r>
          <w:r>
            <w:rPr>
              <w:color w:val="auto"/>
            </w:rPr>
            <w:tab/>
          </w:r>
          <w:r>
            <w:rPr>
              <w:color w:val="auto"/>
            </w:rPr>
            <w:fldChar w:fldCharType="begin"/>
          </w:r>
          <w:r>
            <w:rPr>
              <w:color w:val="auto"/>
            </w:rPr>
            <w:instrText xml:space="preserve"> PAGEREF _Toc2624 \h </w:instrText>
          </w:r>
          <w:r>
            <w:rPr>
              <w:color w:val="auto"/>
            </w:rPr>
            <w:fldChar w:fldCharType="separate"/>
          </w:r>
          <w:r>
            <w:rPr>
              <w:color w:val="auto"/>
            </w:rPr>
            <w:t>23</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_Toc310 </w:instrText>
          </w:r>
          <w:r>
            <w:rPr>
              <w:color w:val="auto"/>
              <w:highlight w:val="none"/>
            </w:rPr>
            <w:fldChar w:fldCharType="separate"/>
          </w:r>
          <w:r>
            <w:rPr>
              <w:rFonts w:hint="eastAsia"/>
              <w:color w:val="auto"/>
              <w:highlight w:val="none"/>
              <w:lang w:val="en-US" w:eastAsia="zh-CN"/>
            </w:rPr>
            <w:t>第二节 加强</w:t>
          </w:r>
          <w:r>
            <w:rPr>
              <w:rFonts w:hint="default"/>
              <w:color w:val="auto"/>
              <w:highlight w:val="none"/>
              <w:lang w:val="en-US" w:eastAsia="zh-CN"/>
            </w:rPr>
            <w:t>政策制度支持</w:t>
          </w:r>
          <w:r>
            <w:rPr>
              <w:color w:val="auto"/>
            </w:rPr>
            <w:tab/>
          </w:r>
          <w:r>
            <w:rPr>
              <w:color w:val="auto"/>
            </w:rPr>
            <w:fldChar w:fldCharType="begin"/>
          </w:r>
          <w:r>
            <w:rPr>
              <w:color w:val="auto"/>
            </w:rPr>
            <w:instrText xml:space="preserve"> PAGEREF _Toc310 \h </w:instrText>
          </w:r>
          <w:r>
            <w:rPr>
              <w:color w:val="auto"/>
            </w:rPr>
            <w:fldChar w:fldCharType="separate"/>
          </w:r>
          <w:r>
            <w:rPr>
              <w:color w:val="auto"/>
            </w:rPr>
            <w:t>23</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_Toc8914 </w:instrText>
          </w:r>
          <w:r>
            <w:rPr>
              <w:color w:val="auto"/>
              <w:highlight w:val="none"/>
            </w:rPr>
            <w:fldChar w:fldCharType="separate"/>
          </w:r>
          <w:r>
            <w:rPr>
              <w:rFonts w:hint="eastAsia"/>
              <w:color w:val="auto"/>
              <w:highlight w:val="none"/>
              <w:lang w:val="en-US" w:eastAsia="zh-CN"/>
            </w:rPr>
            <w:t xml:space="preserve">第三节 </w:t>
          </w:r>
          <w:r>
            <w:rPr>
              <w:rFonts w:hint="default"/>
              <w:color w:val="auto"/>
              <w:highlight w:val="none"/>
              <w:lang w:val="en-US" w:eastAsia="zh-CN"/>
            </w:rPr>
            <w:t>强化人才队伍建设</w:t>
          </w:r>
          <w:r>
            <w:rPr>
              <w:color w:val="auto"/>
            </w:rPr>
            <w:tab/>
          </w:r>
          <w:r>
            <w:rPr>
              <w:color w:val="auto"/>
            </w:rPr>
            <w:fldChar w:fldCharType="begin"/>
          </w:r>
          <w:r>
            <w:rPr>
              <w:color w:val="auto"/>
            </w:rPr>
            <w:instrText xml:space="preserve"> PAGEREF _Toc8914 \h </w:instrText>
          </w:r>
          <w:r>
            <w:rPr>
              <w:color w:val="auto"/>
            </w:rPr>
            <w:fldChar w:fldCharType="separate"/>
          </w:r>
          <w:r>
            <w:rPr>
              <w:color w:val="auto"/>
            </w:rPr>
            <w:t>24</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_Toc14195 </w:instrText>
          </w:r>
          <w:r>
            <w:rPr>
              <w:color w:val="auto"/>
              <w:highlight w:val="none"/>
            </w:rPr>
            <w:fldChar w:fldCharType="separate"/>
          </w:r>
          <w:r>
            <w:rPr>
              <w:rFonts w:hint="eastAsia"/>
              <w:color w:val="auto"/>
              <w:highlight w:val="none"/>
              <w:lang w:val="en-US" w:eastAsia="zh-CN"/>
            </w:rPr>
            <w:t xml:space="preserve">第四节 </w:t>
          </w:r>
          <w:r>
            <w:rPr>
              <w:rFonts w:hint="default"/>
              <w:color w:val="auto"/>
              <w:highlight w:val="none"/>
              <w:lang w:val="en-US" w:eastAsia="zh-CN"/>
            </w:rPr>
            <w:t>强化任务推进落实</w:t>
          </w:r>
          <w:r>
            <w:rPr>
              <w:color w:val="auto"/>
            </w:rPr>
            <w:tab/>
          </w:r>
          <w:r>
            <w:rPr>
              <w:color w:val="auto"/>
            </w:rPr>
            <w:fldChar w:fldCharType="begin"/>
          </w:r>
          <w:r>
            <w:rPr>
              <w:color w:val="auto"/>
            </w:rPr>
            <w:instrText xml:space="preserve"> PAGEREF _Toc14195 \h </w:instrText>
          </w:r>
          <w:r>
            <w:rPr>
              <w:color w:val="auto"/>
            </w:rPr>
            <w:fldChar w:fldCharType="separate"/>
          </w:r>
          <w:r>
            <w:rPr>
              <w:color w:val="auto"/>
            </w:rPr>
            <w:t>24</w:t>
          </w:r>
          <w:r>
            <w:rPr>
              <w:color w:val="auto"/>
            </w:rPr>
            <w:fldChar w:fldCharType="end"/>
          </w:r>
          <w:r>
            <w:rPr>
              <w:color w:val="auto"/>
              <w:highlight w:val="none"/>
            </w:rPr>
            <w:fldChar w:fldCharType="end"/>
          </w:r>
        </w:p>
        <w:p>
          <w:pPr>
            <w:pStyle w:val="9"/>
            <w:tabs>
              <w:tab w:val="right" w:leader="dot" w:pos="8306"/>
            </w:tabs>
            <w:rPr>
              <w:color w:val="auto"/>
            </w:rPr>
          </w:pPr>
          <w:r>
            <w:rPr>
              <w:color w:val="auto"/>
              <w:highlight w:val="none"/>
            </w:rPr>
            <w:fldChar w:fldCharType="begin"/>
          </w:r>
          <w:r>
            <w:rPr>
              <w:color w:val="auto"/>
              <w:highlight w:val="none"/>
            </w:rPr>
            <w:instrText xml:space="preserve"> HYPERLINK \l _Toc9826 </w:instrText>
          </w:r>
          <w:r>
            <w:rPr>
              <w:color w:val="auto"/>
              <w:highlight w:val="none"/>
            </w:rPr>
            <w:fldChar w:fldCharType="separate"/>
          </w:r>
          <w:r>
            <w:rPr>
              <w:rFonts w:hint="eastAsia"/>
              <w:color w:val="auto"/>
              <w:highlight w:val="none"/>
              <w:lang w:val="en-US" w:eastAsia="zh-CN"/>
            </w:rPr>
            <w:t>第五节 加强</w:t>
          </w:r>
          <w:r>
            <w:rPr>
              <w:rFonts w:hint="default"/>
              <w:color w:val="auto"/>
              <w:highlight w:val="none"/>
              <w:lang w:val="en-US" w:eastAsia="zh-CN"/>
            </w:rPr>
            <w:t>能源统计监测</w:t>
          </w:r>
          <w:r>
            <w:rPr>
              <w:color w:val="auto"/>
            </w:rPr>
            <w:tab/>
          </w:r>
          <w:r>
            <w:rPr>
              <w:color w:val="auto"/>
            </w:rPr>
            <w:fldChar w:fldCharType="begin"/>
          </w:r>
          <w:r>
            <w:rPr>
              <w:color w:val="auto"/>
            </w:rPr>
            <w:instrText xml:space="preserve"> PAGEREF _Toc9826 \h </w:instrText>
          </w:r>
          <w:r>
            <w:rPr>
              <w:color w:val="auto"/>
            </w:rPr>
            <w:fldChar w:fldCharType="separate"/>
          </w:r>
          <w:r>
            <w:rPr>
              <w:color w:val="auto"/>
            </w:rPr>
            <w:t>24</w:t>
          </w:r>
          <w:r>
            <w:rPr>
              <w:color w:val="auto"/>
            </w:rPr>
            <w:fldChar w:fldCharType="end"/>
          </w:r>
          <w:r>
            <w:rPr>
              <w:color w:val="auto"/>
              <w:highlight w:val="none"/>
            </w:rPr>
            <w:fldChar w:fldCharType="end"/>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r>
            <w:rPr>
              <w:color w:val="auto"/>
              <w:highlight w:val="none"/>
            </w:rPr>
            <w:fldChar w:fldCharType="end"/>
          </w:r>
        </w:p>
      </w:sdtContent>
    </w:sdt>
    <w:p>
      <w:pPr>
        <w:pStyle w:val="5"/>
        <w:shd w:val="clear"/>
        <w:bidi w:val="0"/>
        <w:rPr>
          <w:rFonts w:hint="eastAsia"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5"/>
        <w:shd w:val="clear"/>
        <w:bidi w:val="0"/>
        <w:rPr>
          <w:rFonts w:hint="eastAsia" w:ascii="Times New Roman" w:hAnsi="Times New Roman" w:cs="Times New Roman"/>
          <w:b w:val="0"/>
          <w:bCs/>
          <w:color w:val="auto"/>
          <w:highlight w:val="none"/>
          <w:lang w:val="en-US" w:eastAsia="zh-CN"/>
        </w:rPr>
      </w:pPr>
      <w:bookmarkStart w:id="0" w:name="_Toc7219"/>
      <w:bookmarkStart w:id="1" w:name="_Toc1999"/>
      <w:bookmarkStart w:id="2" w:name="_Toc21694"/>
      <w:bookmarkStart w:id="3" w:name="_Toc23532"/>
      <w:bookmarkStart w:id="4" w:name="_Toc15547"/>
      <w:bookmarkStart w:id="5" w:name="_Toc11419"/>
      <w:r>
        <w:rPr>
          <w:rFonts w:hint="eastAsia" w:ascii="Times New Roman" w:hAnsi="Times New Roman" w:cs="Times New Roman"/>
          <w:b w:val="0"/>
          <w:bCs/>
          <w:color w:val="auto"/>
          <w:highlight w:val="none"/>
          <w:lang w:val="en-US" w:eastAsia="zh-CN"/>
        </w:rPr>
        <w:t>前  言</w:t>
      </w:r>
      <w:bookmarkEnd w:id="0"/>
      <w:bookmarkEnd w:id="1"/>
      <w:bookmarkEnd w:id="2"/>
      <w:bookmarkEnd w:id="3"/>
      <w:bookmarkEnd w:id="4"/>
      <w:bookmarkEnd w:id="5"/>
    </w:p>
    <w:p>
      <w:pPr>
        <w:shd w:val="clear"/>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十四五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时期（2021</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2025年）是我国全面建成小康社会、实现第一个百年奋斗目标之后，乘势而上开启全面建设社会主义现代化国家新征程、向第二个百年奋斗目标进军的第一个五年，</w:t>
      </w:r>
      <w:r>
        <w:rPr>
          <w:rFonts w:hint="default" w:ascii="Times New Roman" w:hAnsi="Times New Roman" w:eastAsia="仿宋" w:cs="Times New Roman"/>
          <w:color w:val="auto"/>
          <w:sz w:val="32"/>
          <w:szCs w:val="32"/>
          <w:highlight w:val="none"/>
        </w:rPr>
        <w:t>是贯彻落实习近平总书记关于推动能源消费革命，抑制不合理能源消费；推动能源供给革命，建立多元供应体系；推动能源技术革命，带动产业升级；推动能源体制革命，打通能源发展快</w:t>
      </w:r>
      <w:r>
        <w:rPr>
          <w:rFonts w:hint="default" w:ascii="Times New Roman" w:hAnsi="Times New Roman" w:eastAsia="仿宋" w:cs="Times New Roman"/>
          <w:color w:val="auto"/>
          <w:sz w:val="32"/>
          <w:szCs w:val="32"/>
          <w:highlight w:val="none"/>
        </w:rPr>
        <w:fldChar w:fldCharType="begin"/>
      </w:r>
      <w:r>
        <w:rPr>
          <w:rFonts w:hint="default" w:ascii="Times New Roman" w:hAnsi="Times New Roman" w:eastAsia="仿宋" w:cs="Times New Roman"/>
          <w:color w:val="auto"/>
          <w:sz w:val="32"/>
          <w:szCs w:val="32"/>
          <w:highlight w:val="none"/>
        </w:rPr>
        <w:instrText xml:space="preserve"> HYPERLINK "http://auto.ifeng.com/" \t "http://finance.ifeng.com/a/20141231/_blank" </w:instrText>
      </w:r>
      <w:r>
        <w:rPr>
          <w:rFonts w:hint="default" w:ascii="Times New Roman" w:hAnsi="Times New Roman" w:eastAsia="仿宋" w:cs="Times New Roman"/>
          <w:color w:val="auto"/>
          <w:sz w:val="32"/>
          <w:szCs w:val="32"/>
          <w:highlight w:val="none"/>
        </w:rPr>
        <w:fldChar w:fldCharType="separate"/>
      </w:r>
      <w:r>
        <w:rPr>
          <w:rFonts w:hint="default" w:ascii="Times New Roman" w:hAnsi="Times New Roman" w:eastAsia="仿宋" w:cs="Times New Roman"/>
          <w:color w:val="auto"/>
          <w:sz w:val="32"/>
          <w:szCs w:val="32"/>
          <w:highlight w:val="none"/>
        </w:rPr>
        <w:t>车</w:t>
      </w:r>
      <w:r>
        <w:rPr>
          <w:rFonts w:hint="default" w:ascii="Times New Roman" w:hAnsi="Times New Roman" w:eastAsia="仿宋" w:cs="Times New Roman"/>
          <w:color w:val="auto"/>
          <w:sz w:val="32"/>
          <w:szCs w:val="32"/>
          <w:highlight w:val="none"/>
        </w:rPr>
        <w:fldChar w:fldCharType="end"/>
      </w:r>
      <w:r>
        <w:rPr>
          <w:rFonts w:hint="default" w:ascii="Times New Roman" w:hAnsi="Times New Roman" w:eastAsia="仿宋" w:cs="Times New Roman"/>
          <w:color w:val="auto"/>
          <w:sz w:val="32"/>
          <w:szCs w:val="32"/>
          <w:highlight w:val="none"/>
        </w:rPr>
        <w:t>道</w:t>
      </w:r>
      <w:r>
        <w:rPr>
          <w:rFonts w:hint="default" w:ascii="Times New Roman" w:hAnsi="Times New Roman" w:eastAsia="仿宋" w:cs="Times New Roman"/>
          <w:color w:val="auto"/>
          <w:sz w:val="32"/>
          <w:szCs w:val="32"/>
          <w:highlight w:val="none"/>
          <w:lang w:eastAsia="zh-CN"/>
        </w:rPr>
        <w:t>的关键时期。</w:t>
      </w:r>
      <w:r>
        <w:rPr>
          <w:rFonts w:hint="default" w:ascii="Times New Roman" w:hAnsi="Times New Roman" w:eastAsia="仿宋" w:cs="Times New Roman"/>
          <w:color w:val="auto"/>
          <w:sz w:val="32"/>
          <w:szCs w:val="32"/>
          <w:highlight w:val="none"/>
        </w:rPr>
        <w:t>能源是国民经济和社会发展的重要物质基础</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安全稳定的能源供应是城市功能正常</w:t>
      </w:r>
      <w:r>
        <w:rPr>
          <w:rFonts w:hint="default" w:ascii="Times New Roman" w:hAnsi="Times New Roman" w:eastAsia="仿宋" w:cs="Times New Roman"/>
          <w:color w:val="auto"/>
          <w:sz w:val="32"/>
          <w:szCs w:val="32"/>
          <w:highlight w:val="none"/>
          <w:lang w:val="en-US" w:eastAsia="zh-CN"/>
        </w:rPr>
        <w:t>运转和人民生活水平提高的基本保障</w:t>
      </w:r>
      <w:r>
        <w:rPr>
          <w:rFonts w:hint="eastAsia" w:ascii="Times New Roman" w:hAnsi="Times New Roman" w:cs="Times New Roman"/>
          <w:color w:val="auto"/>
          <w:sz w:val="32"/>
          <w:szCs w:val="32"/>
          <w:highlight w:val="none"/>
          <w:lang w:val="en-US" w:eastAsia="zh-CN"/>
        </w:rPr>
        <w:t>。我</w:t>
      </w:r>
      <w:r>
        <w:rPr>
          <w:rFonts w:hint="default" w:ascii="Times New Roman" w:hAnsi="Times New Roman" w:eastAsia="仿宋" w:cs="Times New Roman"/>
          <w:color w:val="auto"/>
          <w:sz w:val="32"/>
          <w:szCs w:val="32"/>
          <w:highlight w:val="none"/>
          <w:lang w:eastAsia="zh-CN"/>
        </w:rPr>
        <w:t>县</w:t>
      </w:r>
      <w:r>
        <w:rPr>
          <w:rFonts w:hint="eastAsia" w:ascii="Times New Roman" w:hAnsi="Times New Roman" w:cs="Times New Roman"/>
          <w:color w:val="auto"/>
          <w:sz w:val="32"/>
          <w:szCs w:val="32"/>
          <w:highlight w:val="none"/>
          <w:lang w:val="en-US" w:eastAsia="zh-CN"/>
        </w:rPr>
        <w:t>积极响应广东省委、省政府关于构建“一核一带一区”区域发展新格局号召，在充分认识河源市委、市政府对</w:t>
      </w:r>
      <w:r>
        <w:rPr>
          <w:rFonts w:hint="default" w:ascii="Times New Roman" w:hAnsi="Times New Roman" w:eastAsia="仿宋" w:cs="Times New Roman"/>
          <w:color w:val="auto"/>
          <w:sz w:val="32"/>
          <w:szCs w:val="32"/>
          <w:highlight w:val="none"/>
          <w:lang w:eastAsia="zh-CN"/>
        </w:rPr>
        <w:t>连平</w:t>
      </w:r>
      <w:r>
        <w:rPr>
          <w:rFonts w:hint="default" w:ascii="Times New Roman" w:hAnsi="Times New Roman" w:cs="Times New Roman"/>
          <w:color w:val="auto"/>
          <w:sz w:val="32"/>
          <w:szCs w:val="32"/>
          <w:highlight w:val="none"/>
          <w:lang w:val="en-US" w:eastAsia="zh-CN"/>
        </w:rPr>
        <w:t>的发展定位</w:t>
      </w:r>
      <w:r>
        <w:rPr>
          <w:rFonts w:hint="eastAsia" w:ascii="Times New Roman" w:hAnsi="Times New Roman" w:cs="Times New Roman"/>
          <w:color w:val="auto"/>
          <w:sz w:val="32"/>
          <w:szCs w:val="32"/>
          <w:highlight w:val="none"/>
          <w:lang w:val="en-US" w:eastAsia="zh-CN"/>
        </w:rPr>
        <w:t>以及连平</w:t>
      </w:r>
      <w:r>
        <w:rPr>
          <w:rFonts w:hint="default" w:ascii="Times New Roman" w:hAnsi="Times New Roman" w:cs="Times New Roman"/>
          <w:color w:val="auto"/>
          <w:sz w:val="32"/>
          <w:szCs w:val="32"/>
          <w:highlight w:val="none"/>
          <w:lang w:val="en-US" w:eastAsia="zh-CN"/>
        </w:rPr>
        <w:t>客观实际</w:t>
      </w:r>
      <w:r>
        <w:rPr>
          <w:rFonts w:hint="eastAsia" w:ascii="Times New Roman" w:hAnsi="Times New Roman" w:cs="Times New Roman"/>
          <w:color w:val="auto"/>
          <w:sz w:val="32"/>
          <w:szCs w:val="32"/>
          <w:highlight w:val="none"/>
          <w:lang w:val="en-US" w:eastAsia="zh-CN"/>
        </w:rPr>
        <w:t>的基础上</w:t>
      </w:r>
      <w:r>
        <w:rPr>
          <w:rFonts w:hint="default" w:ascii="Times New Roman" w:hAnsi="Times New Roman" w:cs="Times New Roman"/>
          <w:color w:val="auto"/>
          <w:sz w:val="32"/>
          <w:szCs w:val="32"/>
          <w:highlight w:val="none"/>
          <w:lang w:val="en-US" w:eastAsia="zh-CN"/>
        </w:rPr>
        <w:t>，根据《</w:t>
      </w:r>
      <w:r>
        <w:rPr>
          <w:rFonts w:hint="eastAsia" w:ascii="Times New Roman" w:hAnsi="Times New Roman" w:cs="Times New Roman"/>
          <w:color w:val="auto"/>
          <w:sz w:val="32"/>
          <w:szCs w:val="32"/>
          <w:highlight w:val="none"/>
          <w:lang w:val="en-US" w:eastAsia="zh-CN"/>
        </w:rPr>
        <w:t>河源市</w:t>
      </w:r>
      <w:r>
        <w:rPr>
          <w:rFonts w:hint="default" w:ascii="Times New Roman" w:hAnsi="Times New Roman" w:cs="Times New Roman"/>
          <w:color w:val="auto"/>
          <w:sz w:val="32"/>
          <w:szCs w:val="32"/>
          <w:highlight w:val="none"/>
          <w:lang w:val="en-US" w:eastAsia="zh-CN"/>
        </w:rPr>
        <w:t>能源发展</w:t>
      </w:r>
      <w:r>
        <w:rPr>
          <w:rFonts w:hint="eastAsia" w:ascii="Times New Roman" w:hAnsi="Times New Roman" w:cs="Times New Roman"/>
          <w:color w:val="auto"/>
          <w:sz w:val="32"/>
          <w:szCs w:val="32"/>
          <w:highlight w:val="none"/>
          <w:lang w:val="en-US" w:eastAsia="zh-CN"/>
        </w:rPr>
        <w:t>“十四五”</w:t>
      </w:r>
      <w:r>
        <w:rPr>
          <w:rFonts w:hint="default" w:ascii="Times New Roman" w:hAnsi="Times New Roman" w:cs="Times New Roman"/>
          <w:color w:val="auto"/>
          <w:sz w:val="32"/>
          <w:szCs w:val="32"/>
          <w:highlight w:val="none"/>
          <w:lang w:val="en-US" w:eastAsia="zh-CN"/>
        </w:rPr>
        <w:t>规划》和《连平县国民经济和社会发展第十四个五年规划和二〇三五年远景目标纲要》精神，特编制本规划。</w:t>
      </w:r>
    </w:p>
    <w:p>
      <w:pPr>
        <w:shd w:val="clear"/>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本规划是未来五年</w:t>
      </w:r>
      <w:r>
        <w:rPr>
          <w:rFonts w:hint="eastAsia" w:ascii="Times New Roman" w:hAnsi="Times New Roman" w:cs="Times New Roman"/>
          <w:color w:val="auto"/>
          <w:sz w:val="32"/>
          <w:szCs w:val="32"/>
          <w:highlight w:val="none"/>
          <w:lang w:val="en-US" w:eastAsia="zh-CN"/>
        </w:rPr>
        <w:t>连平县</w:t>
      </w:r>
      <w:r>
        <w:rPr>
          <w:rFonts w:hint="default" w:ascii="Times New Roman" w:hAnsi="Times New Roman" w:eastAsia="仿宋" w:cs="Times New Roman"/>
          <w:color w:val="auto"/>
          <w:sz w:val="32"/>
          <w:szCs w:val="32"/>
          <w:highlight w:val="none"/>
          <w:lang w:eastAsia="zh-CN"/>
        </w:rPr>
        <w:t>能源发展建设的行动指南，也是指导</w:t>
      </w:r>
      <w:r>
        <w:rPr>
          <w:rFonts w:hint="eastAsia" w:ascii="Times New Roman" w:hAnsi="Times New Roman" w:cs="Times New Roman"/>
          <w:color w:val="auto"/>
          <w:sz w:val="32"/>
          <w:szCs w:val="32"/>
          <w:highlight w:val="none"/>
          <w:lang w:val="en-US" w:eastAsia="zh-CN"/>
        </w:rPr>
        <w:t>连平县各镇街、部门编制实施相关年度计划的</w:t>
      </w:r>
      <w:r>
        <w:rPr>
          <w:rFonts w:hint="default" w:ascii="Times New Roman" w:hAnsi="Times New Roman" w:eastAsia="仿宋" w:cs="Times New Roman"/>
          <w:color w:val="auto"/>
          <w:sz w:val="32"/>
          <w:szCs w:val="32"/>
          <w:highlight w:val="none"/>
          <w:lang w:eastAsia="zh-CN"/>
        </w:rPr>
        <w:t>重要依据。</w:t>
      </w:r>
    </w:p>
    <w:p>
      <w:pPr>
        <w:pStyle w:val="5"/>
        <w:shd w:val="clear"/>
        <w:bidi w:val="0"/>
        <w:rPr>
          <w:rFonts w:hint="eastAsia" w:ascii="方正小标宋_GBK" w:hAnsi="方正小标宋_GBK" w:eastAsia="方正小标宋_GBK" w:cs="方正小标宋_GBK"/>
          <w:color w:val="auto"/>
          <w:highlight w:val="none"/>
          <w:lang w:val="en-US" w:eastAsia="zh-CN"/>
        </w:rPr>
      </w:pPr>
      <w:bookmarkStart w:id="6" w:name="_Toc3789"/>
      <w:bookmarkStart w:id="7" w:name="_Toc249"/>
      <w:bookmarkStart w:id="8" w:name="_Toc28608"/>
      <w:bookmarkStart w:id="9" w:name="_Toc5752"/>
      <w:bookmarkStart w:id="10" w:name="_Toc10675"/>
      <w:bookmarkStart w:id="11" w:name="_Toc29083"/>
      <w:r>
        <w:rPr>
          <w:rFonts w:hint="eastAsia" w:ascii="Times New Roman" w:hAnsi="Times New Roman" w:cs="Times New Roman"/>
          <w:color w:val="auto"/>
          <w:highlight w:val="none"/>
          <w:lang w:val="en-US" w:eastAsia="zh-CN"/>
        </w:rPr>
        <w:t>第一章 发展基础</w:t>
      </w:r>
      <w:bookmarkEnd w:id="6"/>
      <w:bookmarkEnd w:id="7"/>
      <w:bookmarkEnd w:id="8"/>
      <w:bookmarkEnd w:id="9"/>
      <w:bookmarkEnd w:id="10"/>
      <w:bookmarkEnd w:id="11"/>
    </w:p>
    <w:p>
      <w:pPr>
        <w:pStyle w:val="6"/>
        <w:shd w:val="clear"/>
        <w:bidi w:val="0"/>
        <w:rPr>
          <w:rFonts w:hint="eastAsia"/>
          <w:color w:val="auto"/>
          <w:highlight w:val="none"/>
          <w:lang w:val="en-US" w:eastAsia="zh-CN"/>
        </w:rPr>
      </w:pPr>
      <w:bookmarkStart w:id="12" w:name="_Toc20933"/>
      <w:bookmarkStart w:id="13" w:name="_Toc6488"/>
      <w:bookmarkStart w:id="14" w:name="_Toc1920"/>
      <w:bookmarkStart w:id="15" w:name="_Toc2537"/>
      <w:bookmarkStart w:id="16" w:name="_Toc693"/>
      <w:bookmarkStart w:id="17" w:name="_Toc29766"/>
      <w:r>
        <w:rPr>
          <w:rFonts w:hint="eastAsia"/>
          <w:color w:val="auto"/>
          <w:highlight w:val="none"/>
          <w:lang w:val="en-US" w:eastAsia="zh-CN"/>
        </w:rPr>
        <w:t>第一节 发展现状</w:t>
      </w:r>
      <w:bookmarkEnd w:id="12"/>
      <w:bookmarkEnd w:id="13"/>
      <w:bookmarkEnd w:id="14"/>
      <w:bookmarkEnd w:id="15"/>
      <w:bookmarkEnd w:id="16"/>
      <w:bookmarkEnd w:id="17"/>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一、电力供应能力大幅提升</w:t>
      </w:r>
    </w:p>
    <w:p>
      <w:pPr>
        <w:shd w:val="clear"/>
        <w:rPr>
          <w:rFonts w:hint="eastAsia"/>
          <w:color w:val="auto"/>
          <w:highlight w:val="none"/>
          <w:lang w:val="en-US" w:eastAsia="zh-CN"/>
        </w:rPr>
      </w:pPr>
      <w:r>
        <w:rPr>
          <w:rFonts w:hint="eastAsia"/>
          <w:b/>
          <w:bCs/>
          <w:color w:val="auto"/>
          <w:highlight w:val="none"/>
          <w:lang w:val="en-US" w:eastAsia="zh-CN"/>
        </w:rPr>
        <w:t>电网架构更加坚强。</w:t>
      </w:r>
      <w:r>
        <w:rPr>
          <w:rFonts w:hint="eastAsia"/>
          <w:color w:val="auto"/>
          <w:highlight w:val="none"/>
        </w:rPr>
        <w:t>2016年至2020年，广东电网公司在连平县电网建设投资7.1824亿元，其中110千伏投资1.899亿元，35千伏0.44亿元，10千伏2.89亿元，低压线路1.55亿元，配电自动化0.4034亿元。主网建设方面，投运了220千伏江面站输变电工程、110千伏绣缎站输变电工程、35千伏贵东站输变电工程，有效解决了连平县主网网架薄弱问题。中低压配网方面，投产了435个中低压项目，包括新增配变405台、10千伏馈线27回，解决低电压台区133个、重过载台区165个，中压线路可转供电率由56.18%提升至89.21%，配网自动化有效覆盖率为85%，为连平县振兴发展提供了有力的电力保障。</w:t>
      </w:r>
    </w:p>
    <w:p>
      <w:pPr>
        <w:shd w:val="clear"/>
        <w:rPr>
          <w:rFonts w:hint="eastAsia"/>
          <w:color w:val="auto"/>
          <w:highlight w:val="none"/>
          <w:lang w:val="en-US" w:eastAsia="zh-CN"/>
        </w:rPr>
      </w:pPr>
      <w:r>
        <w:rPr>
          <w:rFonts w:hint="eastAsia"/>
          <w:b/>
          <w:bCs/>
          <w:color w:val="auto"/>
          <w:highlight w:val="none"/>
          <w:lang w:val="en-US" w:eastAsia="zh-CN"/>
        </w:rPr>
        <w:t>农村电网改造升级持续加强。</w:t>
      </w:r>
      <w:r>
        <w:rPr>
          <w:rFonts w:hint="eastAsia"/>
          <w:color w:val="auto"/>
          <w:highlight w:val="none"/>
          <w:lang w:val="en-US" w:eastAsia="zh-CN"/>
        </w:rPr>
        <w:t>为深入实施“十三五”脱贫攻坚重点任务，改善城乡电网发展不平衡问题，连平供电局持续加强农村电网改造升级，已完成30个省定贫困村电网规划建设工作，截至2020年底已投资2100万元用于30个省定贫困村电网的初步升级改造，30个省定贫困村全部实现电网供电可靠率达到99.8%以上，综合电压合格率达到97.9%及以上，户均配变容量达到2.0千伏安及以上，满足国家相关规定要求。</w:t>
      </w:r>
    </w:p>
    <w:p>
      <w:pPr>
        <w:shd w:val="clear"/>
        <w:rPr>
          <w:rFonts w:hint="eastAsia"/>
          <w:color w:val="auto"/>
          <w:highlight w:val="none"/>
          <w:lang w:val="en-US" w:eastAsia="zh-CN"/>
        </w:rPr>
      </w:pPr>
      <w:r>
        <w:rPr>
          <w:rFonts w:hint="eastAsia"/>
          <w:b/>
          <w:bCs/>
          <w:color w:val="auto"/>
          <w:highlight w:val="none"/>
          <w:lang w:val="en-US" w:eastAsia="zh-CN"/>
        </w:rPr>
        <w:t>业扩报装更加便捷。</w:t>
      </w:r>
      <w:r>
        <w:rPr>
          <w:rFonts w:hint="eastAsia"/>
          <w:color w:val="auto"/>
          <w:highlight w:val="none"/>
          <w:lang w:val="en-US" w:eastAsia="zh-CN"/>
        </w:rPr>
        <w:t>服务政府招商引资重点项目，主动对接泥竹塘铁矿、恒大集团新建楼盘和援建美丽乡村示范区等项目的用电需求。推行用电报装业务网格化、远程化，互联网办理比例达到97.57%。简化业扩报装流程，缩短业扩报装用时，2017年以来（2016年数据无法查实），全县新增业扩报装11080户（中压193户、低压10887户），增容274125.74千伏安。中压业扩报装平均用时从144.63天缩短至33.14天，低压业扩报装平均用时从3.45天缩短至1.25天。降低客户用电成本，延伸电网投资界面至客户用地红线，投资界面延伸比率达99.79%。</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二、节能减排成效逐年改善</w:t>
      </w:r>
    </w:p>
    <w:p>
      <w:pPr>
        <w:shd w:val="clear"/>
        <w:rPr>
          <w:rFonts w:hint="eastAsia"/>
          <w:color w:val="auto"/>
          <w:highlight w:val="none"/>
          <w:lang w:val="en-US" w:eastAsia="zh-CN"/>
        </w:rPr>
      </w:pPr>
      <w:r>
        <w:rPr>
          <w:rFonts w:hint="eastAsia"/>
          <w:b/>
          <w:bCs/>
          <w:color w:val="auto"/>
          <w:highlight w:val="none"/>
          <w:lang w:val="en-US" w:eastAsia="zh-CN"/>
        </w:rPr>
        <w:t>单位GDP降能方面。</w:t>
      </w:r>
      <w:r>
        <w:rPr>
          <w:rFonts w:hint="eastAsia"/>
          <w:color w:val="auto"/>
          <w:highlight w:val="none"/>
          <w:lang w:val="en-US" w:eastAsia="zh-CN"/>
        </w:rPr>
        <w:t>“十三五”期间市下达我县的节能目标任务为单位GDP能耗下降13.5%。2016年单位GDP能耗同比上升3%，2017年单位GDP能耗同比下降4.96%，2018年前三季度我县单位GDP能耗同比下降了9.03%。单位GDP能耗逐年下降，且降幅较大，预计可完成“十三五”期间市下达我县的节能目标任务。</w:t>
      </w:r>
    </w:p>
    <w:p>
      <w:pPr>
        <w:shd w:val="clear"/>
        <w:rPr>
          <w:rFonts w:hint="eastAsia"/>
          <w:color w:val="auto"/>
          <w:highlight w:val="none"/>
          <w:lang w:val="en-US" w:eastAsia="zh-CN"/>
        </w:rPr>
      </w:pPr>
      <w:r>
        <w:rPr>
          <w:rFonts w:hint="eastAsia"/>
          <w:b/>
          <w:bCs/>
          <w:color w:val="auto"/>
          <w:highlight w:val="none"/>
          <w:lang w:val="en-US" w:eastAsia="zh-CN"/>
        </w:rPr>
        <w:t>清洁生产方面。</w:t>
      </w:r>
      <w:r>
        <w:rPr>
          <w:rFonts w:hint="eastAsia"/>
          <w:color w:val="auto"/>
          <w:highlight w:val="none"/>
          <w:lang w:val="en-US" w:eastAsia="zh-CN"/>
        </w:rPr>
        <w:t>2016年完成了对珠江矿业公司的清洁生产审核认定工作；2017年我县清洁生产任务为2家企业，已对泥竹塘铁矿和昕隆实业开展了清洁生产审核认定工作；2018年市下达我县重点企业清洁生产审核完成任务为4家，推动4家重点企业（连平县中建混凝土有限公司、连平县耀文电子有限公司、连平县新旺鑫混凝土有限公司、连平县昕隆实业有限公司)开展清洁生产，通过验收率100%；2019年通过清洁生产验收企业7家；2020年通过清洁生产验收企业7家。</w:t>
      </w:r>
    </w:p>
    <w:p>
      <w:pPr>
        <w:shd w:val="clear"/>
        <w:spacing w:before="157" w:beforeLines="50"/>
        <w:rPr>
          <w:rFonts w:hint="eastAsia"/>
          <w:color w:val="auto"/>
          <w:highlight w:val="none"/>
          <w:lang w:val="en-US" w:eastAsia="zh-CN"/>
        </w:rPr>
      </w:pPr>
      <w:r>
        <w:rPr>
          <w:rFonts w:hint="eastAsia"/>
          <w:b/>
          <w:bCs/>
          <w:color w:val="auto"/>
          <w:highlight w:val="none"/>
          <w:lang w:val="en-US" w:eastAsia="zh-CN"/>
        </w:rPr>
        <w:t>重点用能单位节能监督方面。</w:t>
      </w:r>
      <w:r>
        <w:rPr>
          <w:rFonts w:hint="eastAsia"/>
          <w:color w:val="auto"/>
          <w:highlight w:val="none"/>
          <w:lang w:val="en-US" w:eastAsia="zh-CN"/>
        </w:rPr>
        <w:t>严格对我县重点用能单位（包括连平县粤盛兴钢铁实业有限公司（已关停）、广东大顶矿业股份有限公司、连平县昕隆实业有限公司、连平县华丰钢铁有限公司、河源铁研电子科技有限公司、连平县中建旋窑水泥有限公司）进行节能监督，引导企业转变经营观念、加强节能管理、提高能源利用效率，督促企业开展节能降耗工作并取得一定成效。</w:t>
      </w:r>
    </w:p>
    <w:p>
      <w:pPr>
        <w:shd w:val="clear"/>
        <w:rPr>
          <w:rFonts w:hint="eastAsia"/>
          <w:color w:val="auto"/>
          <w:highlight w:val="none"/>
          <w:lang w:val="en-US" w:eastAsia="zh-CN"/>
        </w:rPr>
      </w:pPr>
      <w:r>
        <w:rPr>
          <w:rFonts w:hint="eastAsia"/>
          <w:b/>
          <w:bCs/>
          <w:color w:val="auto"/>
          <w:highlight w:val="none"/>
          <w:lang w:val="en-US" w:eastAsia="zh-CN"/>
        </w:rPr>
        <w:t>电机能效提升方面。</w:t>
      </w:r>
      <w:r>
        <w:rPr>
          <w:rFonts w:hint="eastAsia"/>
          <w:color w:val="auto"/>
          <w:highlight w:val="none"/>
          <w:lang w:val="en-US" w:eastAsia="zh-CN"/>
        </w:rPr>
        <w:t>对连平县中建旋窖水泥有限公司等企业开展了电机能效提升工作，累计完成新装节能电机约3300千瓦。</w:t>
      </w:r>
    </w:p>
    <w:p>
      <w:pPr>
        <w:shd w:val="clear"/>
        <w:rPr>
          <w:rFonts w:hint="eastAsia"/>
          <w:color w:val="auto"/>
          <w:highlight w:val="none"/>
          <w:lang w:val="en-US" w:eastAsia="zh-CN"/>
        </w:rPr>
      </w:pPr>
      <w:r>
        <w:rPr>
          <w:rFonts w:hint="eastAsia"/>
          <w:b/>
          <w:bCs/>
          <w:color w:val="auto"/>
          <w:highlight w:val="none"/>
          <w:lang w:val="en-US" w:eastAsia="zh-CN"/>
        </w:rPr>
        <w:t>节能宣传方面。</w:t>
      </w:r>
      <w:r>
        <w:rPr>
          <w:rFonts w:hint="eastAsia"/>
          <w:color w:val="auto"/>
          <w:highlight w:val="none"/>
          <w:lang w:val="en-US" w:eastAsia="zh-CN"/>
        </w:rPr>
        <w:t>开展“节能宣传周”活动，通过投放节能宣传车进企业、进乡镇增强我县企业和群众的节能意识，印发了《清洁生产促进法》《广东省节约能源条例》等发放给我县企业进行阅读和学习，增强企业的节能意识，推动我县实现绿色发展。</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三、新能源进一步发展</w:t>
      </w:r>
    </w:p>
    <w:p>
      <w:pPr>
        <w:shd w:val="clear"/>
        <w:rPr>
          <w:rFonts w:hint="default"/>
          <w:b w:val="0"/>
          <w:bCs w:val="0"/>
          <w:color w:val="auto"/>
          <w:highlight w:val="none"/>
          <w:lang w:val="en-US" w:eastAsia="zh-CN"/>
        </w:rPr>
      </w:pPr>
      <w:r>
        <w:rPr>
          <w:rFonts w:hint="eastAsia"/>
          <w:b/>
          <w:bCs/>
          <w:color w:val="auto"/>
          <w:highlight w:val="none"/>
          <w:lang w:val="en-US" w:eastAsia="zh-CN"/>
        </w:rPr>
        <w:t>水电方面。</w:t>
      </w:r>
      <w:r>
        <w:rPr>
          <w:rFonts w:hint="eastAsia"/>
          <w:color w:val="auto"/>
          <w:highlight w:val="none"/>
        </w:rPr>
        <w:t>2016年至2020年，我县新增小水电2宗，装机880KW，分别是油溪镇竹杆坪水电站，装机400KW，2017年投产；塘村水电站，装机480WK，2018年投产。我县</w:t>
      </w:r>
      <w:r>
        <w:rPr>
          <w:rFonts w:hint="eastAsia"/>
          <w:color w:val="auto"/>
          <w:highlight w:val="none"/>
          <w:lang w:eastAsia="zh-CN"/>
        </w:rPr>
        <w:t>“</w:t>
      </w:r>
      <w:r>
        <w:rPr>
          <w:rFonts w:hint="eastAsia"/>
          <w:color w:val="auto"/>
          <w:highlight w:val="none"/>
        </w:rPr>
        <w:t>十三五</w:t>
      </w:r>
      <w:r>
        <w:rPr>
          <w:rFonts w:hint="eastAsia"/>
          <w:color w:val="auto"/>
          <w:highlight w:val="none"/>
          <w:lang w:eastAsia="zh-CN"/>
        </w:rPr>
        <w:t>”</w:t>
      </w:r>
      <w:r>
        <w:rPr>
          <w:rFonts w:hint="eastAsia"/>
          <w:color w:val="auto"/>
          <w:highlight w:val="none"/>
        </w:rPr>
        <w:t>农村水电增效扩容改造项目共3宗水电站（河头一级电站、河头二级电站、龙联水电站），改造前装机容量14640千瓦，改造后装机容量为18120千瓦。其中河头一级电站改造前装机容量6000千瓦，改造后装机容量7000千瓦；河头二级电站改造前装机容量7500千瓦，改造后装机容量9600千瓦；龙联水电站改造前装机容量1140千瓦，改造后装机容量1520千瓦。</w:t>
      </w:r>
    </w:p>
    <w:p>
      <w:pPr>
        <w:shd w:val="clear"/>
        <w:rPr>
          <w:rFonts w:hint="eastAsia"/>
          <w:color w:val="auto"/>
          <w:highlight w:val="none"/>
          <w:lang w:val="en-US" w:eastAsia="zh-CN"/>
        </w:rPr>
      </w:pPr>
      <w:r>
        <w:rPr>
          <w:rFonts w:hint="eastAsia"/>
          <w:b/>
          <w:bCs/>
          <w:color w:val="auto"/>
          <w:highlight w:val="none"/>
          <w:lang w:val="en-US" w:eastAsia="zh-CN"/>
        </w:rPr>
        <w:t>新能源交通方面。</w:t>
      </w:r>
      <w:r>
        <w:rPr>
          <w:rFonts w:hint="default"/>
          <w:color w:val="auto"/>
          <w:highlight w:val="none"/>
          <w:lang w:val="en-US" w:eastAsia="zh-CN"/>
        </w:rPr>
        <w:t>新能源汽车配套充电设施更加完善。</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期间，连平供电局助力新能源汽车发展，不断完善配套充电设施建设。</w:t>
      </w:r>
      <w:r>
        <w:rPr>
          <w:rFonts w:hint="eastAsia"/>
          <w:color w:val="auto"/>
          <w:highlight w:val="none"/>
          <w:lang w:val="en-US" w:eastAsia="zh-CN"/>
        </w:rPr>
        <w:t>截至2019年底</w:t>
      </w:r>
      <w:r>
        <w:rPr>
          <w:rFonts w:hint="default"/>
          <w:color w:val="auto"/>
          <w:highlight w:val="none"/>
          <w:lang w:val="en-US" w:eastAsia="zh-CN"/>
        </w:rPr>
        <w:t>，共建设10个充电桩站点43台充电桩，其中连平县政府17台、大湖镇政府2台、油溪镇政府2台、河源忠信（粤赣）高速服务区8台、中央连平县工作委员会旧址2台、连平县圣迹苍岩旅游区2台、连平供电局2台、油溪供电所2台、内莞供电所4台、三角供电所2台。</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四、部分地区实现管道天然气供应</w:t>
      </w:r>
    </w:p>
    <w:p>
      <w:pPr>
        <w:shd w:val="clear"/>
        <w:rPr>
          <w:rFonts w:hint="eastAsia"/>
          <w:color w:val="auto"/>
          <w:highlight w:val="none"/>
          <w:lang w:val="en-US" w:eastAsia="zh-CN"/>
        </w:rPr>
      </w:pPr>
      <w:r>
        <w:rPr>
          <w:rFonts w:hint="eastAsia"/>
          <w:color w:val="auto"/>
          <w:highlight w:val="none"/>
          <w:lang w:val="en-US" w:eastAsia="zh-CN"/>
        </w:rPr>
        <w:t>引进连平新奥燃气有限公司在连平县生态工业园和县城内建设连平新奥LNG气化站，工业园气化站2017年正式通气投产。园区内已铺设燃气管网逾10公里，并连接到忠信镇；县城2020年1月已通天然气，目前市政管道已从富民新区铺设至老城区，计划2021年10月前覆盖完县城主要干道，实现了企业生产、居民生活用能需求得到全面满足。</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五、城乡居民用能条件显著改善</w:t>
      </w:r>
    </w:p>
    <w:p>
      <w:pPr>
        <w:shd w:val="clear"/>
        <w:rPr>
          <w:rFonts w:hint="eastAsia"/>
          <w:color w:val="auto"/>
          <w:highlight w:val="none"/>
          <w:lang w:val="en-US" w:eastAsia="zh-CN"/>
        </w:rPr>
      </w:pPr>
      <w:r>
        <w:rPr>
          <w:rFonts w:hint="eastAsia"/>
          <w:color w:val="auto"/>
          <w:highlight w:val="none"/>
          <w:lang w:val="en-US" w:eastAsia="zh-CN"/>
        </w:rPr>
        <w:t>电网设备过载、供电“卡脖子”及低电压等问题得到有效整治，供电能力进一步提高，城乡居民用电质量和可靠性大幅提升。</w:t>
      </w:r>
    </w:p>
    <w:p>
      <w:pPr>
        <w:pStyle w:val="6"/>
        <w:shd w:val="clear"/>
        <w:bidi w:val="0"/>
        <w:rPr>
          <w:rFonts w:hint="eastAsia"/>
          <w:color w:val="auto"/>
          <w:highlight w:val="none"/>
          <w:lang w:val="en-US" w:eastAsia="zh-CN"/>
        </w:rPr>
      </w:pPr>
      <w:bookmarkStart w:id="18" w:name="_Toc21807"/>
      <w:bookmarkStart w:id="19" w:name="_Toc5277"/>
      <w:bookmarkStart w:id="20" w:name="_Toc12097"/>
      <w:bookmarkStart w:id="21" w:name="_Toc20884"/>
      <w:bookmarkStart w:id="22" w:name="_Toc8191"/>
      <w:bookmarkStart w:id="23" w:name="_Toc24958"/>
      <w:r>
        <w:rPr>
          <w:rFonts w:hint="eastAsia"/>
          <w:color w:val="auto"/>
          <w:highlight w:val="none"/>
          <w:lang w:val="en-US" w:eastAsia="zh-CN"/>
        </w:rPr>
        <w:t>第二节 存在问题</w:t>
      </w:r>
      <w:bookmarkEnd w:id="18"/>
      <w:bookmarkEnd w:id="19"/>
      <w:bookmarkEnd w:id="20"/>
      <w:bookmarkEnd w:id="21"/>
      <w:bookmarkEnd w:id="22"/>
      <w:bookmarkEnd w:id="23"/>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一、能源消费结构没有根本性转变</w:t>
      </w:r>
    </w:p>
    <w:p>
      <w:pPr>
        <w:shd w:val="clear"/>
        <w:rPr>
          <w:rFonts w:hint="default"/>
          <w:color w:val="auto"/>
          <w:highlight w:val="none"/>
          <w:lang w:val="en-US" w:eastAsia="zh-CN"/>
        </w:rPr>
      </w:pPr>
      <w:r>
        <w:rPr>
          <w:rFonts w:hint="eastAsia"/>
          <w:color w:val="auto"/>
          <w:highlight w:val="none"/>
          <w:lang w:val="en-US" w:eastAsia="zh-CN"/>
        </w:rPr>
        <w:t>我县煤炭消费比重仍然偏高，调整降低煤炭使用比重难度大；管道天然气供应仅能通达县生态工业园，天然气使用率偏低；陆上风电、太阳能光伏发电开发建设难以提速。</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二、电网建设征地青赔、线路和变电站的选址困难</w:t>
      </w:r>
    </w:p>
    <w:p>
      <w:pPr>
        <w:shd w:val="clear"/>
        <w:bidi w:val="0"/>
        <w:rPr>
          <w:rFonts w:hint="eastAsia"/>
          <w:color w:val="auto"/>
          <w:highlight w:val="none"/>
          <w:lang w:val="en-US" w:eastAsia="zh-CN"/>
        </w:rPr>
      </w:pPr>
      <w:r>
        <w:rPr>
          <w:rFonts w:hint="eastAsia"/>
          <w:color w:val="auto"/>
          <w:highlight w:val="none"/>
          <w:lang w:val="en-US" w:eastAsia="zh-CN"/>
        </w:rPr>
        <w:t>与其他建设项目相比，电网建设和改造的项目布点多、线路跨度大、涉及青赔、征地拆迁的范围广，势必会遇到更多的问题和困难。随着城市化进程的加快，土地资源的日益紧张，土地保护意识增强，不利于电力的发展建设，征地拆迁、青苗补偿、站点线路选址困难重重，电网建设严重滞后。这一系列问题导致个别片区存在用电难，部分偏远地区电压偏低，影响生产生活用电需求。</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三、节能减排和环境保护压力大</w:t>
      </w:r>
    </w:p>
    <w:p>
      <w:pPr>
        <w:shd w:val="clear"/>
        <w:rPr>
          <w:rFonts w:hint="eastAsia"/>
          <w:color w:val="auto"/>
          <w:highlight w:val="none"/>
          <w:lang w:val="en-US" w:eastAsia="zh-CN"/>
        </w:rPr>
      </w:pPr>
      <w:r>
        <w:rPr>
          <w:rFonts w:hint="eastAsia"/>
          <w:color w:val="auto"/>
          <w:highlight w:val="none"/>
          <w:lang w:val="en-US" w:eastAsia="zh-CN"/>
        </w:rPr>
        <w:t>当前我县正处于工业化、城市化的高速发展时期，经济增长、生活水平提高与能源消费和环境保护之间的矛盾持续激化。受经济增长幅度影响，实行煤炭总量控制难度较大，节能减排和环境保护压力大。</w:t>
      </w:r>
    </w:p>
    <w:p>
      <w:pPr>
        <w:pStyle w:val="6"/>
        <w:shd w:val="clear"/>
        <w:bidi w:val="0"/>
        <w:rPr>
          <w:rFonts w:hint="default"/>
          <w:color w:val="auto"/>
          <w:highlight w:val="none"/>
          <w:lang w:val="en-US" w:eastAsia="zh-CN"/>
        </w:rPr>
      </w:pPr>
      <w:bookmarkStart w:id="24" w:name="_Toc3632"/>
      <w:bookmarkStart w:id="25" w:name="_Toc27893"/>
      <w:bookmarkStart w:id="26" w:name="_Toc30545"/>
      <w:bookmarkStart w:id="27" w:name="_Toc24699"/>
      <w:bookmarkStart w:id="28" w:name="_Toc8211"/>
      <w:bookmarkStart w:id="29" w:name="_Toc12825"/>
      <w:r>
        <w:rPr>
          <w:rFonts w:hint="eastAsia"/>
          <w:color w:val="auto"/>
          <w:highlight w:val="none"/>
          <w:lang w:val="en-US" w:eastAsia="zh-CN"/>
        </w:rPr>
        <w:t>第三节 发展环境</w:t>
      </w:r>
      <w:bookmarkEnd w:id="24"/>
      <w:bookmarkEnd w:id="25"/>
      <w:bookmarkEnd w:id="26"/>
      <w:bookmarkEnd w:id="27"/>
      <w:bookmarkEnd w:id="28"/>
      <w:bookmarkEnd w:id="29"/>
    </w:p>
    <w:p>
      <w:pPr>
        <w:shd w:val="clear"/>
        <w:bidi w:val="0"/>
        <w:rPr>
          <w:rFonts w:hint="eastAsia"/>
          <w:color w:val="auto"/>
          <w:highlight w:val="none"/>
          <w:lang w:val="en-US" w:eastAsia="zh-CN"/>
        </w:rPr>
      </w:pPr>
      <w:r>
        <w:rPr>
          <w:rFonts w:hint="eastAsia" w:ascii="Times New Roman" w:hAnsi="Times New Roman"/>
          <w:b/>
          <w:bCs/>
          <w:color w:val="auto"/>
          <w:highlight w:val="none"/>
          <w:lang w:val="en-US" w:eastAsia="zh-CN"/>
        </w:rPr>
        <w:t>从国际看</w:t>
      </w:r>
      <w:r>
        <w:rPr>
          <w:rFonts w:hint="eastAsia"/>
          <w:b/>
          <w:bCs/>
          <w:color w:val="auto"/>
          <w:highlight w:val="none"/>
          <w:lang w:val="en-US" w:eastAsia="zh-CN"/>
        </w:rPr>
        <w:t>：</w:t>
      </w:r>
      <w:r>
        <w:rPr>
          <w:rFonts w:hint="eastAsia" w:ascii="Times New Roman" w:hAnsi="Times New Roman"/>
          <w:color w:val="auto"/>
          <w:highlight w:val="none"/>
          <w:lang w:val="en-US" w:eastAsia="zh-CN"/>
        </w:rPr>
        <w:t>世界主要资源的储量（石油、天然气、煤炭）在地理分布上的不平衡性使得所有国家间的能源相互依存更为紧密。大部分工业发达国家的资源储量接近枯竭，一些国家的高能耗经济对能源的需求急剧增长，日益严峻的环境问题也成为能源发展一大制约。随着科技发展及环境意识逐渐深入人心，风能、太阳能及天然气等清洁能源开始进入人们视野，世界能源机构开始向高效、清洁、低碳、多元、可持续的方向发展。</w:t>
      </w:r>
      <w:r>
        <w:rPr>
          <w:rFonts w:hint="default"/>
          <w:color w:val="auto"/>
          <w:highlight w:val="none"/>
          <w:lang w:val="en-US" w:eastAsia="zh-CN"/>
        </w:rPr>
        <w:t>欧洲各国政府相继列出放弃煤电的时间表</w:t>
      </w:r>
      <w:r>
        <w:rPr>
          <w:rFonts w:hint="eastAsia"/>
          <w:color w:val="auto"/>
          <w:highlight w:val="none"/>
          <w:lang w:val="en-US" w:eastAsia="zh-CN"/>
        </w:rPr>
        <w:t>，</w:t>
      </w:r>
      <w:r>
        <w:rPr>
          <w:rFonts w:hint="default"/>
          <w:color w:val="auto"/>
          <w:highlight w:val="none"/>
          <w:lang w:val="en-US" w:eastAsia="zh-CN"/>
        </w:rPr>
        <w:t>英国</w:t>
      </w:r>
      <w:r>
        <w:rPr>
          <w:rFonts w:hint="eastAsia"/>
          <w:color w:val="auto"/>
          <w:highlight w:val="none"/>
          <w:lang w:val="en-US" w:eastAsia="zh-CN"/>
        </w:rPr>
        <w:t>、</w:t>
      </w:r>
      <w:r>
        <w:rPr>
          <w:rFonts w:hint="default"/>
          <w:color w:val="auto"/>
          <w:highlight w:val="none"/>
          <w:lang w:val="en-US" w:eastAsia="zh-CN"/>
        </w:rPr>
        <w:t>法国</w:t>
      </w:r>
      <w:r>
        <w:rPr>
          <w:rFonts w:hint="eastAsia"/>
          <w:color w:val="auto"/>
          <w:highlight w:val="none"/>
          <w:lang w:val="en-US" w:eastAsia="zh-CN"/>
        </w:rPr>
        <w:t>、</w:t>
      </w:r>
      <w:r>
        <w:rPr>
          <w:rFonts w:hint="default"/>
          <w:color w:val="auto"/>
          <w:highlight w:val="none"/>
          <w:lang w:val="en-US" w:eastAsia="zh-CN"/>
        </w:rPr>
        <w:t>西班牙</w:t>
      </w:r>
      <w:r>
        <w:rPr>
          <w:rFonts w:hint="eastAsia"/>
          <w:color w:val="auto"/>
          <w:highlight w:val="none"/>
          <w:lang w:val="en-US" w:eastAsia="zh-CN"/>
        </w:rPr>
        <w:t>、</w:t>
      </w:r>
      <w:r>
        <w:rPr>
          <w:rFonts w:hint="default"/>
          <w:color w:val="auto"/>
          <w:highlight w:val="none"/>
          <w:lang w:val="en-US" w:eastAsia="zh-CN"/>
        </w:rPr>
        <w:t>荷兰</w:t>
      </w:r>
      <w:r>
        <w:rPr>
          <w:rFonts w:hint="eastAsia"/>
          <w:color w:val="auto"/>
          <w:highlight w:val="none"/>
          <w:lang w:val="en-US" w:eastAsia="zh-CN"/>
        </w:rPr>
        <w:t>等均计划在</w:t>
      </w:r>
      <w:r>
        <w:rPr>
          <w:rFonts w:hint="default"/>
          <w:color w:val="auto"/>
          <w:highlight w:val="none"/>
          <w:lang w:val="en-US" w:eastAsia="zh-CN"/>
        </w:rPr>
        <w:t>2030年</w:t>
      </w:r>
      <w:r>
        <w:rPr>
          <w:rFonts w:hint="eastAsia"/>
          <w:color w:val="auto"/>
          <w:highlight w:val="none"/>
          <w:lang w:val="en-US" w:eastAsia="zh-CN"/>
        </w:rPr>
        <w:t>前</w:t>
      </w:r>
      <w:r>
        <w:rPr>
          <w:rFonts w:hint="default"/>
          <w:color w:val="auto"/>
          <w:highlight w:val="none"/>
          <w:lang w:val="en-US" w:eastAsia="zh-CN"/>
        </w:rPr>
        <w:t>关闭所有煤电设施</w:t>
      </w:r>
      <w:r>
        <w:rPr>
          <w:rFonts w:hint="eastAsia"/>
          <w:color w:val="auto"/>
          <w:highlight w:val="none"/>
          <w:lang w:val="en-US" w:eastAsia="zh-CN"/>
        </w:rPr>
        <w:t>、</w:t>
      </w:r>
      <w:r>
        <w:rPr>
          <w:rFonts w:hint="default"/>
          <w:color w:val="auto"/>
          <w:highlight w:val="none"/>
          <w:lang w:val="en-US" w:eastAsia="zh-CN"/>
        </w:rPr>
        <w:t>禁止使用煤炭发电。</w:t>
      </w:r>
    </w:p>
    <w:p>
      <w:pPr>
        <w:shd w:val="clear"/>
        <w:rPr>
          <w:rFonts w:hint="eastAsia" w:eastAsia="仿宋"/>
          <w:color w:val="auto"/>
          <w:highlight w:val="none"/>
          <w:lang w:val="en-US" w:eastAsia="zh-CN"/>
        </w:rPr>
      </w:pPr>
      <w:r>
        <w:rPr>
          <w:rFonts w:hint="eastAsia"/>
          <w:b/>
          <w:bCs/>
          <w:color w:val="auto"/>
          <w:highlight w:val="none"/>
          <w:lang w:val="en-US" w:eastAsia="zh-CN"/>
        </w:rPr>
        <w:t>从国内看：</w:t>
      </w:r>
      <w:r>
        <w:rPr>
          <w:rFonts w:hint="eastAsia"/>
          <w:color w:val="auto"/>
          <w:highlight w:val="none"/>
          <w:lang w:val="en-US" w:eastAsia="zh-CN"/>
        </w:rPr>
        <w:t>中</w:t>
      </w:r>
      <w:r>
        <w:rPr>
          <w:rFonts w:hint="eastAsia" w:ascii="Times New Roman" w:hAnsi="Times New Roman"/>
          <w:color w:val="auto"/>
          <w:highlight w:val="none"/>
          <w:lang w:val="en-US" w:eastAsia="zh-CN"/>
        </w:rPr>
        <w:t>国是一个资源大国，拥有较为丰富的化石能源资源，其中主要为煤炭，其保有资源量列世界第三位，但人均能源资源拥有量在世界上处于较低水平。自党的十八大提出“推动能源生产和消费革命”方针以来，我国加快了能源结构调整，</w:t>
      </w:r>
      <w:r>
        <w:rPr>
          <w:rFonts w:hint="eastAsia"/>
          <w:color w:val="auto"/>
          <w:highlight w:val="none"/>
        </w:rPr>
        <w:t>积极应对</w:t>
      </w:r>
      <w:r>
        <w:rPr>
          <w:rFonts w:hint="eastAsia"/>
          <w:color w:val="auto"/>
          <w:highlight w:val="none"/>
          <w:lang w:eastAsia="zh-CN"/>
        </w:rPr>
        <w:t>全球</w:t>
      </w:r>
      <w:r>
        <w:rPr>
          <w:rFonts w:hint="eastAsia"/>
          <w:color w:val="auto"/>
          <w:highlight w:val="none"/>
        </w:rPr>
        <w:t>气候变化</w:t>
      </w:r>
      <w:r>
        <w:rPr>
          <w:rFonts w:hint="eastAsia"/>
          <w:color w:val="auto"/>
          <w:highlight w:val="none"/>
          <w:lang w:eastAsia="zh-CN"/>
        </w:rPr>
        <w:t>并采取减排政策，承诺</w:t>
      </w:r>
      <w:r>
        <w:rPr>
          <w:rFonts w:hint="eastAsia"/>
          <w:color w:val="auto"/>
          <w:highlight w:val="none"/>
        </w:rPr>
        <w:t>二氧化碳排放至</w:t>
      </w:r>
      <w:r>
        <w:rPr>
          <w:color w:val="auto"/>
          <w:highlight w:val="none"/>
        </w:rPr>
        <w:t>2030</w:t>
      </w:r>
      <w:r>
        <w:rPr>
          <w:rFonts w:hint="eastAsia"/>
          <w:color w:val="auto"/>
          <w:highlight w:val="none"/>
        </w:rPr>
        <w:t>年左右达到峰值并争取尽早达峰，单位国内生产总值二氧化碳排放比</w:t>
      </w:r>
      <w:r>
        <w:rPr>
          <w:color w:val="auto"/>
          <w:highlight w:val="none"/>
        </w:rPr>
        <w:t>2005</w:t>
      </w:r>
      <w:r>
        <w:rPr>
          <w:rFonts w:hint="eastAsia"/>
          <w:color w:val="auto"/>
          <w:highlight w:val="none"/>
        </w:rPr>
        <w:t>年下降</w:t>
      </w:r>
      <w:r>
        <w:rPr>
          <w:color w:val="auto"/>
          <w:highlight w:val="none"/>
        </w:rPr>
        <w:t>60</w:t>
      </w:r>
      <w:r>
        <w:rPr>
          <w:rFonts w:hint="eastAsia"/>
          <w:color w:val="auto"/>
          <w:highlight w:val="none"/>
        </w:rPr>
        <w:t>％</w:t>
      </w:r>
      <w:r>
        <w:rPr>
          <w:color w:val="auto"/>
          <w:highlight w:val="none"/>
        </w:rPr>
        <w:t>-65</w:t>
      </w:r>
      <w:r>
        <w:rPr>
          <w:rFonts w:hint="eastAsia"/>
          <w:color w:val="auto"/>
          <w:highlight w:val="none"/>
        </w:rPr>
        <w:t>％，非化石能源占一次能源消费比重达到</w:t>
      </w:r>
      <w:r>
        <w:rPr>
          <w:color w:val="auto"/>
          <w:highlight w:val="none"/>
        </w:rPr>
        <w:t>20</w:t>
      </w:r>
      <w:r>
        <w:rPr>
          <w:rFonts w:hint="eastAsia"/>
          <w:color w:val="auto"/>
          <w:highlight w:val="none"/>
        </w:rPr>
        <w:t>％左右</w:t>
      </w:r>
      <w:r>
        <w:rPr>
          <w:rFonts w:hint="eastAsia"/>
          <w:color w:val="auto"/>
          <w:highlight w:val="none"/>
          <w:lang w:eastAsia="zh-CN"/>
        </w:rPr>
        <w:t>。</w:t>
      </w:r>
    </w:p>
    <w:p>
      <w:pPr>
        <w:shd w:val="clear"/>
        <w:rPr>
          <w:rFonts w:hint="default" w:ascii="Times New Roman" w:hAnsi="Times New Roman" w:eastAsia="仿宋" w:cstheme="minorBidi"/>
          <w:color w:val="auto"/>
          <w:kern w:val="2"/>
          <w:sz w:val="32"/>
          <w:szCs w:val="24"/>
          <w:highlight w:val="none"/>
          <w:lang w:val="en-US" w:eastAsia="zh-CN" w:bidi="ar-SA"/>
        </w:rPr>
      </w:pPr>
      <w:r>
        <w:rPr>
          <w:rFonts w:hint="eastAsia"/>
          <w:b/>
          <w:bCs/>
          <w:color w:val="auto"/>
          <w:highlight w:val="none"/>
          <w:lang w:val="en-US" w:eastAsia="zh-CN"/>
        </w:rPr>
        <w:t>从省内看：</w:t>
      </w:r>
      <w:r>
        <w:rPr>
          <w:rFonts w:hint="default" w:ascii="Times New Roman" w:hAnsi="Times New Roman" w:eastAsia="仿宋" w:cstheme="minorBidi"/>
          <w:color w:val="auto"/>
          <w:kern w:val="2"/>
          <w:sz w:val="32"/>
          <w:szCs w:val="24"/>
          <w:highlight w:val="none"/>
          <w:lang w:val="en-US" w:eastAsia="zh-CN" w:bidi="ar-SA"/>
        </w:rPr>
        <w:t>广东省是我国能源供应链末端的省份，一次能源匮乏，能源自给率低，煤炭、原油、天然气等能源十分依赖外部供应</w:t>
      </w:r>
      <w:r>
        <w:rPr>
          <w:rFonts w:hint="eastAsia" w:cstheme="minorBidi"/>
          <w:color w:val="auto"/>
          <w:kern w:val="2"/>
          <w:sz w:val="32"/>
          <w:szCs w:val="24"/>
          <w:highlight w:val="none"/>
          <w:lang w:val="en-US" w:eastAsia="zh-CN" w:bidi="ar-SA"/>
        </w:rPr>
        <w:t>。随着</w:t>
      </w:r>
      <w:r>
        <w:rPr>
          <w:rFonts w:hint="default" w:ascii="Times New Roman" w:hAnsi="Times New Roman" w:eastAsia="仿宋" w:cstheme="minorBidi"/>
          <w:color w:val="auto"/>
          <w:kern w:val="2"/>
          <w:sz w:val="32"/>
          <w:szCs w:val="24"/>
          <w:highlight w:val="none"/>
          <w:lang w:val="en-US" w:eastAsia="zh-CN" w:bidi="ar-SA"/>
        </w:rPr>
        <w:t>能源结构调整</w:t>
      </w:r>
      <w:r>
        <w:rPr>
          <w:rFonts w:hint="eastAsia" w:cstheme="minorBidi"/>
          <w:color w:val="auto"/>
          <w:kern w:val="2"/>
          <w:sz w:val="32"/>
          <w:szCs w:val="24"/>
          <w:highlight w:val="none"/>
          <w:lang w:val="en-US" w:eastAsia="zh-CN" w:bidi="ar-SA"/>
        </w:rPr>
        <w:t>好</w:t>
      </w:r>
      <w:r>
        <w:rPr>
          <w:rFonts w:hint="default" w:ascii="Times New Roman" w:hAnsi="Times New Roman" w:eastAsia="仿宋" w:cstheme="minorBidi"/>
          <w:color w:val="auto"/>
          <w:kern w:val="2"/>
          <w:sz w:val="32"/>
          <w:szCs w:val="24"/>
          <w:highlight w:val="none"/>
          <w:lang w:val="en-US" w:eastAsia="zh-CN" w:bidi="ar-SA"/>
        </w:rPr>
        <w:t>产业结构的转型升级，广东经济发展逐步由能源密集型产业向轻工业和服务业转移，由粗放型向集约型转变。</w:t>
      </w:r>
      <w:r>
        <w:rPr>
          <w:rFonts w:hint="eastAsia" w:ascii="Times New Roman" w:hAnsi="Times New Roman" w:eastAsia="仿宋" w:cstheme="minorBidi"/>
          <w:color w:val="auto"/>
          <w:kern w:val="2"/>
          <w:sz w:val="32"/>
          <w:szCs w:val="24"/>
          <w:highlight w:val="none"/>
          <w:lang w:val="en-US" w:eastAsia="zh-CN" w:bidi="ar-SA"/>
        </w:rPr>
        <w:t>“</w:t>
      </w:r>
      <w:r>
        <w:rPr>
          <w:rFonts w:hint="default" w:ascii="Times New Roman" w:hAnsi="Times New Roman" w:eastAsia="仿宋" w:cstheme="minorBidi"/>
          <w:color w:val="auto"/>
          <w:kern w:val="2"/>
          <w:sz w:val="32"/>
          <w:szCs w:val="24"/>
          <w:highlight w:val="none"/>
          <w:lang w:val="en-US" w:eastAsia="zh-CN" w:bidi="ar-SA"/>
        </w:rPr>
        <w:t>十三五</w:t>
      </w:r>
      <w:r>
        <w:rPr>
          <w:rFonts w:hint="eastAsia" w:ascii="Times New Roman" w:hAnsi="Times New Roman" w:eastAsia="仿宋" w:cstheme="minorBidi"/>
          <w:color w:val="auto"/>
          <w:kern w:val="2"/>
          <w:sz w:val="32"/>
          <w:szCs w:val="24"/>
          <w:highlight w:val="none"/>
          <w:lang w:val="en-US" w:eastAsia="zh-CN" w:bidi="ar-SA"/>
        </w:rPr>
        <w:t>”</w:t>
      </w:r>
      <w:r>
        <w:rPr>
          <w:rFonts w:hint="default" w:ascii="Times New Roman" w:hAnsi="Times New Roman" w:eastAsia="仿宋" w:cstheme="minorBidi"/>
          <w:color w:val="auto"/>
          <w:kern w:val="2"/>
          <w:sz w:val="32"/>
          <w:szCs w:val="24"/>
          <w:highlight w:val="none"/>
          <w:lang w:val="en-US" w:eastAsia="zh-CN" w:bidi="ar-SA"/>
        </w:rPr>
        <w:t>期间，通过能源结构优化，广东省的煤炭消费占比总体呈下降趋势，天然气和新能源消费占比逐渐提高。另外</w:t>
      </w:r>
      <w:r>
        <w:rPr>
          <w:rFonts w:hint="eastAsia" w:cstheme="minorBidi"/>
          <w:color w:val="auto"/>
          <w:kern w:val="2"/>
          <w:sz w:val="32"/>
          <w:szCs w:val="24"/>
          <w:highlight w:val="none"/>
          <w:lang w:val="en-US" w:eastAsia="zh-CN" w:bidi="ar-SA"/>
        </w:rPr>
        <w:t>，</w:t>
      </w:r>
      <w:r>
        <w:rPr>
          <w:rFonts w:hint="default" w:ascii="Times New Roman" w:hAnsi="Times New Roman" w:eastAsia="仿宋" w:cstheme="minorBidi"/>
          <w:color w:val="auto"/>
          <w:kern w:val="2"/>
          <w:sz w:val="32"/>
          <w:szCs w:val="24"/>
          <w:highlight w:val="none"/>
          <w:lang w:val="en-US" w:eastAsia="zh-CN" w:bidi="ar-SA"/>
        </w:rPr>
        <w:t>通过安全高效发展核电，积极接纳省外水电，大力开发利用风电等可再生能源，因地制宜开发生物质能，提高非化石能源消费比重。</w:t>
      </w:r>
    </w:p>
    <w:p>
      <w:pPr>
        <w:pStyle w:val="2"/>
        <w:shd w:val="clear"/>
        <w:rPr>
          <w:rFonts w:hint="default"/>
          <w:color w:val="auto"/>
          <w:highlight w:val="none"/>
          <w:lang w:val="en-US" w:eastAsia="zh-CN"/>
        </w:rPr>
      </w:pPr>
      <w:r>
        <w:rPr>
          <w:rFonts w:hint="eastAsia"/>
          <w:b/>
          <w:bCs/>
          <w:color w:val="auto"/>
          <w:highlight w:val="none"/>
          <w:lang w:val="en-US" w:eastAsia="zh-CN"/>
        </w:rPr>
        <w:t>从市内看：</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以来，河源市积极推进保供应、调结构、提效率、促改革、惠民生等各项能源工作。2020年</w:t>
      </w:r>
      <w:r>
        <w:rPr>
          <w:rFonts w:hint="eastAsia"/>
          <w:color w:val="auto"/>
          <w:highlight w:val="none"/>
          <w:lang w:val="en-US" w:eastAsia="zh-CN"/>
        </w:rPr>
        <w:t>河源市</w:t>
      </w:r>
      <w:r>
        <w:rPr>
          <w:rFonts w:hint="default"/>
          <w:color w:val="auto"/>
          <w:highlight w:val="none"/>
          <w:lang w:val="en-US" w:eastAsia="zh-CN"/>
        </w:rPr>
        <w:t>煤炭、石油、天然气、一次电力及其他能源占比为39.93</w:t>
      </w:r>
      <w:r>
        <w:rPr>
          <w:rFonts w:hint="eastAsia"/>
          <w:color w:val="auto"/>
          <w:highlight w:val="none"/>
          <w:lang w:val="en-US" w:eastAsia="zh-CN"/>
        </w:rPr>
        <w:t>：</w:t>
      </w:r>
      <w:r>
        <w:rPr>
          <w:rFonts w:hint="default"/>
          <w:color w:val="auto"/>
          <w:highlight w:val="none"/>
          <w:lang w:val="en-US" w:eastAsia="zh-CN"/>
        </w:rPr>
        <w:t>18.01</w:t>
      </w:r>
      <w:r>
        <w:rPr>
          <w:rFonts w:hint="eastAsia"/>
          <w:color w:val="auto"/>
          <w:highlight w:val="none"/>
          <w:lang w:val="en-US" w:eastAsia="zh-CN"/>
        </w:rPr>
        <w:t>：</w:t>
      </w:r>
      <w:r>
        <w:rPr>
          <w:rFonts w:hint="default"/>
          <w:color w:val="auto"/>
          <w:highlight w:val="none"/>
          <w:lang w:val="en-US" w:eastAsia="zh-CN"/>
        </w:rPr>
        <w:t>1.90</w:t>
      </w:r>
      <w:r>
        <w:rPr>
          <w:rFonts w:hint="eastAsia"/>
          <w:color w:val="auto"/>
          <w:highlight w:val="none"/>
          <w:lang w:val="en-US" w:eastAsia="zh-CN"/>
        </w:rPr>
        <w:t>：</w:t>
      </w:r>
      <w:r>
        <w:rPr>
          <w:rFonts w:hint="default"/>
          <w:color w:val="auto"/>
          <w:highlight w:val="none"/>
          <w:lang w:val="en-US" w:eastAsia="zh-CN"/>
        </w:rPr>
        <w:t>40.16。能源储运设施</w:t>
      </w:r>
      <w:r>
        <w:rPr>
          <w:rFonts w:hint="eastAsia"/>
          <w:color w:val="auto"/>
          <w:highlight w:val="none"/>
          <w:lang w:val="en-US" w:eastAsia="zh-CN"/>
        </w:rPr>
        <w:t>建设方面，到2020年底，全市建成500千伏变电站1座，220千伏变电站11座，110千伏变电站58座，35千伏变电站27座，形成35千伏及以上变电容量11540.5万千伏安、线路总长度3988.4公里，电网整体供电能力充裕。能源利用效率方面，“十三五”期间，河源市单位GDP能耗累计下降16.02%，能耗强度及碳强度在北部生态发展区五市中均为第一低位。可再生能源开发方面，</w:t>
      </w:r>
      <w:r>
        <w:rPr>
          <w:rFonts w:hint="default"/>
          <w:color w:val="auto"/>
          <w:highlight w:val="none"/>
          <w:lang w:val="en-US" w:eastAsia="zh-CN"/>
        </w:rPr>
        <w:t>河源市无煤、油、气，水能资源已基本开发完毕，新能源开发潜力大，属化石能源匮乏、可再生能源相对丰富的市域。</w:t>
      </w:r>
    </w:p>
    <w:p>
      <w:pPr>
        <w:pStyle w:val="6"/>
        <w:shd w:val="clear"/>
        <w:rPr>
          <w:rFonts w:hint="eastAsia"/>
          <w:color w:val="auto"/>
          <w:highlight w:val="none"/>
          <w:lang w:val="en-US" w:eastAsia="zh-CN"/>
        </w:rPr>
      </w:pPr>
      <w:bookmarkStart w:id="30" w:name="_Toc5559"/>
      <w:bookmarkStart w:id="31" w:name="_Toc5762"/>
      <w:bookmarkStart w:id="32" w:name="_Toc15181"/>
      <w:bookmarkStart w:id="33" w:name="_Toc5974"/>
      <w:bookmarkStart w:id="34" w:name="_Toc3546"/>
      <w:bookmarkStart w:id="35" w:name="_Toc28171"/>
      <w:r>
        <w:rPr>
          <w:rFonts w:hint="eastAsia"/>
          <w:color w:val="auto"/>
          <w:highlight w:val="none"/>
          <w:lang w:val="en-US" w:eastAsia="zh-CN"/>
        </w:rPr>
        <w:t>第四节 发展机遇</w:t>
      </w:r>
      <w:bookmarkEnd w:id="30"/>
      <w:bookmarkEnd w:id="31"/>
      <w:bookmarkEnd w:id="32"/>
      <w:bookmarkEnd w:id="33"/>
      <w:bookmarkEnd w:id="34"/>
      <w:bookmarkEnd w:id="35"/>
    </w:p>
    <w:p>
      <w:pPr>
        <w:pStyle w:val="7"/>
        <w:shd w:val="clear"/>
        <w:bidi w:val="0"/>
        <w:rPr>
          <w:rFonts w:hint="eastAsia"/>
          <w:color w:val="auto"/>
          <w:sz w:val="32"/>
          <w:szCs w:val="32"/>
          <w:highlight w:val="none"/>
          <w:lang w:eastAsia="zh-CN"/>
        </w:rPr>
      </w:pPr>
      <w:r>
        <w:rPr>
          <w:rFonts w:hint="eastAsia"/>
          <w:color w:val="auto"/>
          <w:sz w:val="32"/>
          <w:szCs w:val="32"/>
          <w:highlight w:val="none"/>
          <w:lang w:val="en-US" w:eastAsia="zh-CN"/>
        </w:rPr>
        <w:t>一、</w:t>
      </w:r>
      <w:r>
        <w:rPr>
          <w:rFonts w:hint="eastAsia"/>
          <w:color w:val="auto"/>
          <w:sz w:val="32"/>
          <w:szCs w:val="32"/>
          <w:highlight w:val="none"/>
        </w:rPr>
        <w:t>粤港澳大湾区</w:t>
      </w:r>
      <w:r>
        <w:rPr>
          <w:rFonts w:hint="eastAsia"/>
          <w:color w:val="auto"/>
          <w:sz w:val="32"/>
          <w:szCs w:val="32"/>
          <w:highlight w:val="none"/>
          <w:lang w:val="en-US" w:eastAsia="zh-CN"/>
        </w:rPr>
        <w:t>建设</w:t>
      </w:r>
      <w:r>
        <w:rPr>
          <w:rFonts w:hint="eastAsia"/>
          <w:color w:val="auto"/>
          <w:sz w:val="32"/>
          <w:szCs w:val="32"/>
          <w:highlight w:val="none"/>
        </w:rPr>
        <w:t>带来重大机遇</w:t>
      </w:r>
    </w:p>
    <w:p>
      <w:pPr>
        <w:shd w:val="clear"/>
        <w:bidi w:val="0"/>
        <w:rPr>
          <w:rFonts w:hint="default"/>
          <w:color w:val="auto"/>
          <w:highlight w:val="none"/>
          <w:lang w:val="en-US" w:eastAsia="zh-CN"/>
        </w:rPr>
      </w:pPr>
      <w:r>
        <w:rPr>
          <w:rFonts w:hint="eastAsia" w:ascii="仿宋" w:hAnsi="仿宋" w:cs="仿宋"/>
          <w:color w:val="auto"/>
          <w:sz w:val="32"/>
          <w:szCs w:val="32"/>
          <w:highlight w:val="none"/>
          <w:lang w:val="en-US" w:eastAsia="zh-CN"/>
        </w:rPr>
        <w:t>粤港澳大湾区的建设，使</w:t>
      </w:r>
      <w:r>
        <w:rPr>
          <w:rFonts w:hint="eastAsia" w:ascii="仿宋" w:hAnsi="仿宋" w:eastAsia="仿宋" w:cs="仿宋"/>
          <w:color w:val="auto"/>
          <w:sz w:val="32"/>
          <w:szCs w:val="32"/>
          <w:highlight w:val="none"/>
          <w:lang w:val="en-US" w:eastAsia="zh-CN"/>
        </w:rPr>
        <w:t>泛珠三角区域</w:t>
      </w:r>
      <w:r>
        <w:rPr>
          <w:rFonts w:hint="eastAsia" w:ascii="仿宋" w:hAnsi="仿宋" w:cs="仿宋"/>
          <w:color w:val="auto"/>
          <w:sz w:val="32"/>
          <w:szCs w:val="32"/>
          <w:highlight w:val="none"/>
          <w:lang w:val="en-US" w:eastAsia="zh-CN"/>
        </w:rPr>
        <w:t>与港澳在经济、文化等各方面进行更加深入的交流，也让连平县的整体</w:t>
      </w:r>
      <w:r>
        <w:rPr>
          <w:rFonts w:hint="eastAsia" w:ascii="仿宋" w:hAnsi="仿宋" w:eastAsia="仿宋" w:cs="仿宋"/>
          <w:color w:val="auto"/>
          <w:sz w:val="32"/>
          <w:szCs w:val="32"/>
          <w:highlight w:val="none"/>
          <w:lang w:val="en-US" w:eastAsia="zh-CN"/>
        </w:rPr>
        <w:t>发展带来的重</w:t>
      </w:r>
      <w:r>
        <w:rPr>
          <w:rFonts w:hint="eastAsia" w:ascii="仿宋" w:hAnsi="仿宋" w:cs="仿宋"/>
          <w:color w:val="auto"/>
          <w:sz w:val="32"/>
          <w:szCs w:val="32"/>
          <w:highlight w:val="none"/>
          <w:lang w:val="en-US" w:eastAsia="zh-CN"/>
        </w:rPr>
        <w:t>大机遇。根据《粤港澳大湾区发展规划纲要》提出优化能源供应结构，大力发展绿色低碳能源，强化能源储运体系</w:t>
      </w:r>
      <w:r>
        <w:rPr>
          <w:rFonts w:hint="eastAsia" w:ascii="Times New Roman" w:hAnsi="Times New Roman"/>
          <w:color w:val="auto"/>
          <w:highlight w:val="none"/>
          <w:lang w:val="en-US" w:eastAsia="zh-CN"/>
        </w:rPr>
        <w:t>，</w:t>
      </w:r>
      <w:r>
        <w:rPr>
          <w:rFonts w:hint="eastAsia" w:ascii="Times New Roman" w:hAnsi="Times New Roman"/>
          <w:color w:val="auto"/>
          <w:sz w:val="32"/>
          <w:szCs w:val="32"/>
          <w:highlight w:val="none"/>
          <w:lang w:val="en-US" w:eastAsia="zh-CN"/>
        </w:rPr>
        <w:t>加快推进石化储备基地建设。连平县要积极探索粤港澳大湾区建设为能源体系发展带来的重大机遇，积极融入大湾区能源产业合作。</w:t>
      </w:r>
    </w:p>
    <w:p>
      <w:pPr>
        <w:pStyle w:val="7"/>
        <w:shd w:val="clear"/>
        <w:bidi w:val="0"/>
        <w:rPr>
          <w:rFonts w:hint="default"/>
          <w:color w:val="auto"/>
          <w:sz w:val="32"/>
          <w:szCs w:val="32"/>
          <w:highlight w:val="none"/>
          <w:lang w:val="en-US"/>
        </w:rPr>
      </w:pPr>
      <w:bookmarkStart w:id="36" w:name="_Toc26856"/>
      <w:r>
        <w:rPr>
          <w:rFonts w:hint="eastAsia"/>
          <w:color w:val="auto"/>
          <w:sz w:val="32"/>
          <w:szCs w:val="32"/>
          <w:highlight w:val="none"/>
          <w:lang w:val="en-US" w:eastAsia="zh-CN"/>
        </w:rPr>
        <w:t>二、可再生能源产业发展带来重大机遇</w:t>
      </w:r>
      <w:bookmarkEnd w:id="36"/>
    </w:p>
    <w:p>
      <w:pPr>
        <w:shd w:val="clear"/>
        <w:rPr>
          <w:rFonts w:hint="default"/>
          <w:color w:val="auto"/>
          <w:highlight w:val="none"/>
          <w:lang w:val="en-US" w:eastAsia="zh-CN"/>
        </w:rPr>
      </w:pPr>
      <w:r>
        <w:rPr>
          <w:rFonts w:hint="eastAsia" w:ascii="仿宋" w:hAnsi="仿宋" w:cs="仿宋"/>
          <w:color w:val="auto"/>
          <w:sz w:val="32"/>
          <w:szCs w:val="32"/>
          <w:highlight w:val="none"/>
          <w:lang w:val="en-US" w:eastAsia="zh-CN"/>
        </w:rPr>
        <w:t>随着社会经济发展与环保意识加强，</w:t>
      </w:r>
      <w:r>
        <w:rPr>
          <w:rFonts w:hint="eastAsia" w:ascii="仿宋" w:hAnsi="仿宋" w:eastAsia="仿宋" w:cs="仿宋"/>
          <w:color w:val="auto"/>
          <w:sz w:val="32"/>
          <w:szCs w:val="32"/>
          <w:highlight w:val="none"/>
        </w:rPr>
        <w:t>新能源与可再生能源成为世界能源发展的重点，其技术</w:t>
      </w:r>
      <w:r>
        <w:rPr>
          <w:rFonts w:hint="eastAsia" w:ascii="仿宋" w:hAnsi="仿宋" w:cs="仿宋"/>
          <w:color w:val="auto"/>
          <w:sz w:val="32"/>
          <w:szCs w:val="32"/>
          <w:highlight w:val="none"/>
          <w:lang w:val="en-US" w:eastAsia="zh-CN"/>
        </w:rPr>
        <w:t>研发工作及工程建设在经过摸索阶段后逐渐呈井喷式发展。</w:t>
      </w:r>
      <w:r>
        <w:rPr>
          <w:rFonts w:hint="eastAsia" w:ascii="仿宋" w:hAnsi="仿宋" w:eastAsia="仿宋" w:cs="仿宋"/>
          <w:color w:val="auto"/>
          <w:sz w:val="32"/>
          <w:szCs w:val="32"/>
          <w:highlight w:val="none"/>
        </w:rPr>
        <w:t>新能源与可再生能源</w:t>
      </w:r>
      <w:r>
        <w:rPr>
          <w:rFonts w:hint="eastAsia" w:ascii="仿宋" w:hAnsi="仿宋" w:cs="仿宋"/>
          <w:color w:val="auto"/>
          <w:sz w:val="32"/>
          <w:szCs w:val="32"/>
          <w:highlight w:val="none"/>
          <w:lang w:val="en-US" w:eastAsia="zh-CN"/>
        </w:rPr>
        <w:t>的利用有助于</w:t>
      </w:r>
      <w:r>
        <w:rPr>
          <w:rFonts w:hint="eastAsia" w:ascii="仿宋" w:hAnsi="仿宋" w:eastAsia="仿宋" w:cs="仿宋"/>
          <w:color w:val="auto"/>
          <w:sz w:val="32"/>
          <w:szCs w:val="32"/>
          <w:highlight w:val="none"/>
        </w:rPr>
        <w:t>提高能源自给率、优化能源结构。</w:t>
      </w:r>
      <w:r>
        <w:rPr>
          <w:rFonts w:hint="eastAsia" w:ascii="仿宋" w:hAnsi="仿宋" w:cs="仿宋"/>
          <w:color w:val="auto"/>
          <w:sz w:val="32"/>
          <w:szCs w:val="32"/>
          <w:highlight w:val="none"/>
          <w:lang w:val="en-US" w:eastAsia="zh-CN"/>
        </w:rPr>
        <w:t>连平县有丰富的可再生资源，近几年新能源</w:t>
      </w:r>
      <w:r>
        <w:rPr>
          <w:rFonts w:hint="eastAsia" w:ascii="仿宋" w:hAnsi="仿宋" w:eastAsia="仿宋" w:cs="仿宋"/>
          <w:color w:val="auto"/>
          <w:sz w:val="32"/>
          <w:szCs w:val="32"/>
          <w:highlight w:val="none"/>
        </w:rPr>
        <w:t>产业</w:t>
      </w:r>
      <w:r>
        <w:rPr>
          <w:rFonts w:hint="eastAsia" w:ascii="仿宋" w:hAnsi="仿宋" w:cs="仿宋"/>
          <w:color w:val="auto"/>
          <w:sz w:val="32"/>
          <w:szCs w:val="32"/>
          <w:highlight w:val="none"/>
          <w:lang w:val="en-US" w:eastAsia="zh-CN"/>
        </w:rPr>
        <w:t>研发及建设有一定的</w:t>
      </w:r>
      <w:r>
        <w:rPr>
          <w:rFonts w:hint="eastAsia" w:ascii="仿宋" w:hAnsi="仿宋" w:eastAsia="仿宋" w:cs="仿宋"/>
          <w:color w:val="auto"/>
          <w:sz w:val="32"/>
          <w:szCs w:val="32"/>
          <w:highlight w:val="none"/>
        </w:rPr>
        <w:t>基础，抓住</w:t>
      </w:r>
      <w:r>
        <w:rPr>
          <w:rFonts w:hint="eastAsia" w:ascii="仿宋" w:hAnsi="仿宋" w:cs="仿宋"/>
          <w:color w:val="auto"/>
          <w:sz w:val="32"/>
          <w:szCs w:val="32"/>
          <w:highlight w:val="none"/>
          <w:lang w:val="en-US" w:eastAsia="zh-CN"/>
        </w:rPr>
        <w:t>如今我国及广东省新能源产业发展</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机遇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发展壮大</w:t>
      </w:r>
      <w:r>
        <w:rPr>
          <w:rFonts w:hint="eastAsia" w:ascii="仿宋" w:hAnsi="仿宋" w:cs="仿宋"/>
          <w:color w:val="auto"/>
          <w:sz w:val="32"/>
          <w:szCs w:val="32"/>
          <w:highlight w:val="none"/>
          <w:lang w:val="en-US" w:eastAsia="zh-CN"/>
        </w:rPr>
        <w:t>连平县</w:t>
      </w:r>
      <w:r>
        <w:rPr>
          <w:rFonts w:hint="eastAsia" w:ascii="仿宋" w:hAnsi="仿宋" w:eastAsia="仿宋" w:cs="仿宋"/>
          <w:color w:val="auto"/>
          <w:sz w:val="32"/>
          <w:szCs w:val="32"/>
          <w:highlight w:val="none"/>
        </w:rPr>
        <w:t>新能源和可再生能源市场与产业</w:t>
      </w:r>
      <w:r>
        <w:rPr>
          <w:rFonts w:hint="eastAsia" w:ascii="仿宋" w:hAnsi="仿宋" w:cs="仿宋"/>
          <w:color w:val="auto"/>
          <w:sz w:val="32"/>
          <w:szCs w:val="32"/>
          <w:highlight w:val="none"/>
          <w:lang w:val="en-US" w:eastAsia="zh-CN"/>
        </w:rPr>
        <w:t>势在必行。</w:t>
      </w:r>
    </w:p>
    <w:p>
      <w:pPr>
        <w:pStyle w:val="5"/>
        <w:shd w:val="clear"/>
        <w:bidi w:val="0"/>
        <w:rPr>
          <w:rFonts w:hint="default"/>
          <w:color w:val="auto"/>
          <w:highlight w:val="none"/>
          <w:lang w:val="en-US" w:eastAsia="zh-CN"/>
        </w:rPr>
      </w:pPr>
      <w:bookmarkStart w:id="37" w:name="_Toc20203"/>
      <w:bookmarkStart w:id="38" w:name="_Toc31703"/>
      <w:bookmarkStart w:id="39" w:name="_Toc982"/>
      <w:bookmarkStart w:id="40" w:name="_Toc3114"/>
      <w:bookmarkStart w:id="41" w:name="_Toc13931"/>
      <w:bookmarkStart w:id="42" w:name="_Toc5224"/>
      <w:r>
        <w:rPr>
          <w:rFonts w:hint="eastAsia"/>
          <w:color w:val="auto"/>
          <w:highlight w:val="none"/>
          <w:lang w:val="en-US" w:eastAsia="zh-CN"/>
        </w:rPr>
        <w:t>第二章 总体要求</w:t>
      </w:r>
      <w:bookmarkEnd w:id="37"/>
      <w:bookmarkEnd w:id="38"/>
      <w:bookmarkEnd w:id="39"/>
      <w:bookmarkEnd w:id="40"/>
      <w:bookmarkEnd w:id="41"/>
      <w:bookmarkEnd w:id="42"/>
    </w:p>
    <w:p>
      <w:pPr>
        <w:pStyle w:val="6"/>
        <w:shd w:val="clear"/>
        <w:bidi w:val="0"/>
        <w:rPr>
          <w:rFonts w:hint="eastAsia"/>
          <w:color w:val="auto"/>
          <w:highlight w:val="none"/>
          <w:lang w:val="en-US" w:eastAsia="zh-CN"/>
        </w:rPr>
      </w:pPr>
      <w:bookmarkStart w:id="43" w:name="_Toc12054"/>
      <w:bookmarkStart w:id="44" w:name="_Toc17003"/>
      <w:bookmarkStart w:id="45" w:name="_Toc22492"/>
      <w:bookmarkStart w:id="46" w:name="_Toc17775"/>
      <w:bookmarkStart w:id="47" w:name="_Toc4965"/>
      <w:bookmarkStart w:id="48" w:name="_Toc19405"/>
      <w:r>
        <w:rPr>
          <w:rFonts w:hint="eastAsia"/>
          <w:color w:val="auto"/>
          <w:highlight w:val="none"/>
          <w:lang w:val="en-US" w:eastAsia="zh-CN"/>
        </w:rPr>
        <w:t>第一节 指导思想</w:t>
      </w:r>
      <w:bookmarkEnd w:id="43"/>
      <w:bookmarkEnd w:id="44"/>
      <w:bookmarkEnd w:id="45"/>
      <w:bookmarkEnd w:id="46"/>
      <w:bookmarkEnd w:id="47"/>
      <w:bookmarkEnd w:id="48"/>
    </w:p>
    <w:p>
      <w:pPr>
        <w:shd w:val="clear"/>
        <w:rPr>
          <w:rFonts w:hint="default"/>
          <w:color w:val="auto"/>
          <w:highlight w:val="none"/>
          <w:lang w:val="en-US" w:eastAsia="zh-CN"/>
        </w:rPr>
      </w:pPr>
      <w:r>
        <w:rPr>
          <w:rFonts w:hint="eastAsia"/>
          <w:color w:val="auto"/>
          <w:highlight w:val="none"/>
          <w:lang w:val="en-US" w:eastAsia="zh-CN"/>
        </w:rPr>
        <w:t>坚持以习近平新时代中国特色社会主义思想为指导，全面贯彻党的</w:t>
      </w:r>
      <w:bookmarkStart w:id="146" w:name="_GoBack"/>
      <w:r>
        <w:rPr>
          <w:rFonts w:hint="eastAsia"/>
          <w:color w:val="auto"/>
          <w:highlight w:val="none"/>
          <w:lang w:val="en-US" w:eastAsia="zh-CN"/>
        </w:rPr>
        <w:t>十九大</w:t>
      </w:r>
      <w:bookmarkEnd w:id="146"/>
      <w:r>
        <w:rPr>
          <w:rFonts w:hint="eastAsia"/>
          <w:color w:val="auto"/>
          <w:highlight w:val="none"/>
          <w:lang w:val="en-US" w:eastAsia="zh-CN"/>
        </w:rPr>
        <w:t>和二十大精神，坚决贯彻党的基本理论、基本路线、基本方略，围绕统筹推进“五位一体”总体布局，协调推进“四个全面”战略布局，响应中共广东省委、省政府关于构建“一核一带一区”区域发展新格局号召，确立“节约、清洁、安全”战略方针，遵循能源消费革命、能源供给革命、能源技术革命、能源体制革命、全方位加强国际合作战略思想，以助推河源市创建全省低碳示范城市为目标，以调整优化能源结构和能源布局为核心，以建设能源基础设施为抓手，重点推进现代智能电网建设，促进能源供应多元化，大力发展绿色清洁能源，切实提高能源供应能力，扩大能源对外合作，提高能源科技创新能力，建设的绿色低碳、安全高效的现代化能源供应体系，为连平县经济社会发展和人民美好生活提供坚实的能源保障。</w:t>
      </w:r>
    </w:p>
    <w:p>
      <w:pPr>
        <w:pStyle w:val="6"/>
        <w:shd w:val="clear"/>
        <w:bidi w:val="0"/>
        <w:rPr>
          <w:rFonts w:hint="eastAsia"/>
          <w:color w:val="auto"/>
          <w:highlight w:val="none"/>
          <w:lang w:val="en-US" w:eastAsia="zh-CN"/>
        </w:rPr>
      </w:pPr>
      <w:bookmarkStart w:id="49" w:name="_Toc13562"/>
      <w:bookmarkStart w:id="50" w:name="_Toc9106"/>
      <w:bookmarkStart w:id="51" w:name="_Toc18913"/>
      <w:bookmarkStart w:id="52" w:name="_Toc8012"/>
      <w:bookmarkStart w:id="53" w:name="_Toc17730"/>
      <w:bookmarkStart w:id="54" w:name="_Toc17782"/>
      <w:r>
        <w:rPr>
          <w:rFonts w:hint="eastAsia"/>
          <w:color w:val="auto"/>
          <w:highlight w:val="none"/>
          <w:lang w:val="en-US" w:eastAsia="zh-CN"/>
        </w:rPr>
        <w:t>第二节 基本原则</w:t>
      </w:r>
      <w:bookmarkEnd w:id="49"/>
      <w:bookmarkEnd w:id="50"/>
      <w:bookmarkEnd w:id="51"/>
      <w:bookmarkEnd w:id="52"/>
      <w:bookmarkEnd w:id="53"/>
      <w:bookmarkEnd w:id="54"/>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eastAsia"/>
          <w:b/>
          <w:bCs w:val="0"/>
          <w:color w:val="auto"/>
          <w:highlight w:val="none"/>
          <w:lang w:val="en-US" w:eastAsia="zh-CN"/>
        </w:rPr>
        <w:t>坚持创新引领发展。</w:t>
      </w:r>
      <w:r>
        <w:rPr>
          <w:rFonts w:hint="eastAsia"/>
          <w:color w:val="auto"/>
          <w:highlight w:val="none"/>
          <w:lang w:val="en-US" w:eastAsia="zh-CN"/>
        </w:rPr>
        <w:t>加强能源技术和管理能力创新，推进现代能源新技术、新产品、新模式开发，以及成熟技术推广应用，创新能源商业模式，促进能源发展信息化、自动化和智能化。</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坚持统筹协调发展</w:t>
      </w:r>
      <w:r>
        <w:rPr>
          <w:rFonts w:hint="eastAsia" w:cs="Times New Roman"/>
          <w:b/>
          <w:color w:val="auto"/>
          <w:highlight w:val="none"/>
          <w:lang w:val="en-US" w:eastAsia="zh-CN"/>
        </w:rPr>
        <w:t>。</w:t>
      </w:r>
      <w:r>
        <w:rPr>
          <w:rFonts w:hint="eastAsia"/>
          <w:color w:val="auto"/>
          <w:highlight w:val="none"/>
          <w:lang w:val="en-US" w:eastAsia="zh-CN"/>
        </w:rPr>
        <w:t>统筹城乡重大能源设施建设和布局，协调发展清洁能源，增强能源供需调节能力，提高能源输送水平。科学处理能源与环境保护的关系，促进能源利用与环境保护相协调。</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坚持绿色低碳发展</w:t>
      </w:r>
      <w:r>
        <w:rPr>
          <w:rFonts w:hint="eastAsia" w:cs="Times New Roman"/>
          <w:b/>
          <w:color w:val="auto"/>
          <w:highlight w:val="none"/>
          <w:lang w:val="en-US" w:eastAsia="zh-CN"/>
        </w:rPr>
        <w:t>。</w:t>
      </w:r>
      <w:r>
        <w:rPr>
          <w:rFonts w:hint="eastAsia"/>
          <w:color w:val="auto"/>
          <w:highlight w:val="none"/>
          <w:lang w:val="en-US" w:eastAsia="zh-CN"/>
        </w:rPr>
        <w:t>以倡导绿色生产方式和消费模式为抓手，全面推进结构节能、技术节能、管理节能，提高清洁能源消费比重，优化能源消费结构，推进生态文明建设，实现能源绿色低碳发展。</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坚持和谐共享发展</w:t>
      </w:r>
      <w:r>
        <w:rPr>
          <w:rFonts w:hint="eastAsia" w:cs="Times New Roman"/>
          <w:b/>
          <w:color w:val="auto"/>
          <w:highlight w:val="none"/>
          <w:lang w:val="en-US" w:eastAsia="zh-CN"/>
        </w:rPr>
        <w:t>。</w:t>
      </w:r>
      <w:r>
        <w:rPr>
          <w:rFonts w:hint="eastAsia"/>
          <w:color w:val="auto"/>
          <w:highlight w:val="none"/>
          <w:lang w:val="en-US" w:eastAsia="zh-CN"/>
        </w:rPr>
        <w:t>把不断提高城乡居民能源普遍服务水平作为能源发展的根本出发点和落脚点，统筹城乡、区域重大能源设施建设和布局，以共享提升能源普遍服务水平，改善群众生产生活用能条件，缩小城乡供电服务差距，保障城乡居民用能需求和用能价格合理。</w:t>
      </w:r>
    </w:p>
    <w:p>
      <w:pPr>
        <w:pStyle w:val="6"/>
        <w:shd w:val="clear"/>
        <w:bidi w:val="0"/>
        <w:rPr>
          <w:rFonts w:hint="eastAsia"/>
          <w:color w:val="auto"/>
          <w:highlight w:val="none"/>
          <w:lang w:val="en-US" w:eastAsia="zh-CN"/>
        </w:rPr>
      </w:pPr>
      <w:bookmarkStart w:id="55" w:name="_Toc31454"/>
      <w:bookmarkStart w:id="56" w:name="_Toc14724"/>
      <w:bookmarkStart w:id="57" w:name="_Toc25691"/>
      <w:bookmarkStart w:id="58" w:name="_Toc27191"/>
      <w:bookmarkStart w:id="59" w:name="_Toc2496"/>
      <w:bookmarkStart w:id="60" w:name="_Toc6269"/>
      <w:r>
        <w:rPr>
          <w:rFonts w:hint="eastAsia"/>
          <w:color w:val="auto"/>
          <w:highlight w:val="none"/>
          <w:lang w:val="en-US" w:eastAsia="zh-CN"/>
        </w:rPr>
        <w:t>第三节 规划目标</w:t>
      </w:r>
      <w:bookmarkEnd w:id="55"/>
      <w:bookmarkEnd w:id="56"/>
      <w:bookmarkEnd w:id="57"/>
      <w:bookmarkEnd w:id="58"/>
      <w:bookmarkEnd w:id="59"/>
      <w:bookmarkEnd w:id="60"/>
    </w:p>
    <w:p>
      <w:pPr>
        <w:shd w:val="clear"/>
        <w:bidi w:val="0"/>
        <w:rPr>
          <w:rFonts w:hint="eastAsia"/>
          <w:color w:val="auto"/>
          <w:highlight w:val="none"/>
          <w:lang w:val="en-US" w:eastAsia="zh-CN"/>
        </w:rPr>
      </w:pPr>
      <w:r>
        <w:rPr>
          <w:rFonts w:hint="eastAsia"/>
          <w:color w:val="auto"/>
          <w:highlight w:val="none"/>
          <w:lang w:val="en-US" w:eastAsia="zh-CN"/>
        </w:rPr>
        <w:t>大力推进能源供给侧结构性改革，到2025年，能源发展转型升级成效显著，能源供应能力持续增强，能源结构进一步优化，能源利用效率大幅提升，能源科技创新能力大幅提升，完成绿色低碳、安全高效的现代化能源供应体系建设。具体目标如下：</w:t>
      </w:r>
    </w:p>
    <w:p>
      <w:pPr>
        <w:shd w:val="clear"/>
        <w:bidi w:val="0"/>
        <w:rPr>
          <w:rFonts w:hint="default"/>
          <w:color w:val="auto"/>
          <w:highlight w:val="none"/>
          <w:lang w:val="en-US" w:eastAsia="zh-CN"/>
        </w:rPr>
      </w:pPr>
      <w:r>
        <w:rPr>
          <w:rFonts w:hint="eastAsia"/>
          <w:b/>
          <w:bCs/>
          <w:color w:val="auto"/>
          <w:highlight w:val="none"/>
          <w:lang w:val="en-US" w:eastAsia="zh-CN"/>
        </w:rPr>
        <w:t>结构调整目标。</w:t>
      </w:r>
      <w:r>
        <w:rPr>
          <w:rFonts w:hint="eastAsia"/>
          <w:color w:val="auto"/>
          <w:highlight w:val="none"/>
          <w:lang w:val="en-US" w:eastAsia="zh-CN"/>
        </w:rPr>
        <w:t>能源结构进一步优化，可再生能源利用占比逐步提高，基本实现清洁煤炭的全面使用，新能源和可再生能源占能源消费总量比例进一步提高。</w:t>
      </w:r>
    </w:p>
    <w:p>
      <w:pPr>
        <w:shd w:val="clear"/>
        <w:bidi w:val="0"/>
        <w:rPr>
          <w:rFonts w:hint="default"/>
          <w:color w:val="auto"/>
          <w:highlight w:val="none"/>
          <w:lang w:val="en-US" w:eastAsia="zh-CN"/>
        </w:rPr>
      </w:pPr>
      <w:r>
        <w:rPr>
          <w:rFonts w:hint="eastAsia"/>
          <w:b/>
          <w:bCs/>
          <w:color w:val="auto"/>
          <w:highlight w:val="none"/>
          <w:lang w:val="en-US" w:eastAsia="zh-CN"/>
        </w:rPr>
        <w:t>节能减排目标。</w:t>
      </w:r>
      <w:r>
        <w:rPr>
          <w:rFonts w:hint="eastAsia"/>
          <w:color w:val="auto"/>
          <w:highlight w:val="none"/>
          <w:lang w:val="en-US" w:eastAsia="zh-CN"/>
        </w:rPr>
        <w:t>能源消费总量完成河源市下达指标，万元GDP能耗比2020年下降2.34%，完成资源综合利用项目建设，清洁生产持续实施，煤电节能减排升级改造行动有效推进，煤电高效清洁发展水平明显提升。</w:t>
      </w:r>
    </w:p>
    <w:p>
      <w:pPr>
        <w:shd w:val="clear"/>
        <w:bidi w:val="0"/>
        <w:rPr>
          <w:rFonts w:hint="default"/>
          <w:color w:val="auto"/>
          <w:highlight w:val="none"/>
          <w:lang w:val="en-US" w:eastAsia="zh-CN"/>
        </w:rPr>
      </w:pPr>
      <w:r>
        <w:rPr>
          <w:rFonts w:hint="eastAsia"/>
          <w:b/>
          <w:bCs/>
          <w:color w:val="auto"/>
          <w:highlight w:val="none"/>
          <w:lang w:val="en-US" w:eastAsia="zh-CN"/>
        </w:rPr>
        <w:t>设施能力目标。</w:t>
      </w:r>
      <w:r>
        <w:rPr>
          <w:rFonts w:hint="eastAsia"/>
          <w:color w:val="auto"/>
          <w:highlight w:val="none"/>
          <w:u w:val="none"/>
          <w:lang w:val="en-US" w:eastAsia="zh-CN"/>
        </w:rPr>
        <w:t>完成一批输配电工程建设，进一步推进天然气、成品油管道铺设，风力发电、生物质发电等新能源项目建设有序推进，新能源装机容量占电力总装机容量比例逐年增加。</w:t>
      </w:r>
    </w:p>
    <w:p>
      <w:pPr>
        <w:shd w:val="clear"/>
        <w:bidi w:val="0"/>
        <w:rPr>
          <w:rFonts w:hint="default"/>
          <w:b w:val="0"/>
          <w:bCs w:val="0"/>
          <w:color w:val="auto"/>
          <w:highlight w:val="none"/>
          <w:lang w:val="en-US" w:eastAsia="zh-CN"/>
        </w:rPr>
      </w:pPr>
      <w:r>
        <w:rPr>
          <w:rFonts w:hint="eastAsia"/>
          <w:b/>
          <w:bCs/>
          <w:color w:val="auto"/>
          <w:highlight w:val="none"/>
          <w:lang w:val="en-US" w:eastAsia="zh-CN"/>
        </w:rPr>
        <w:t>体制完善目标。</w:t>
      </w:r>
      <w:r>
        <w:rPr>
          <w:rFonts w:hint="eastAsia"/>
          <w:b w:val="0"/>
          <w:bCs w:val="0"/>
          <w:color w:val="auto"/>
          <w:highlight w:val="none"/>
          <w:lang w:val="en-US" w:eastAsia="zh-CN"/>
        </w:rPr>
        <w:t>深化电力体制改革，加快完善电力市场机制，积极推进油气体制机制改革，完善天然气管道建设运营机制，促进能源新技术应用示范，形成有利于可再生能源发展和推动能源技术创新的体制机制。</w:t>
      </w:r>
    </w:p>
    <w:p>
      <w:pPr>
        <w:shd w:val="clear"/>
        <w:rPr>
          <w:rFonts w:hint="eastAsia"/>
          <w:color w:val="auto"/>
          <w:highlight w:val="none"/>
          <w:lang w:val="en-US" w:eastAsia="zh-CN"/>
        </w:rPr>
      </w:pPr>
      <w:r>
        <w:rPr>
          <w:rFonts w:hint="eastAsia"/>
          <w:b/>
          <w:bCs/>
          <w:color w:val="auto"/>
          <w:highlight w:val="none"/>
          <w:lang w:val="en-US" w:eastAsia="zh-CN"/>
        </w:rPr>
        <w:t>能源惠民目标。</w:t>
      </w:r>
      <w:r>
        <w:rPr>
          <w:rFonts w:hint="eastAsia"/>
          <w:color w:val="auto"/>
          <w:highlight w:val="none"/>
          <w:lang w:val="en-US" w:eastAsia="zh-CN"/>
        </w:rPr>
        <w:t>大力推进城镇配电网建设和农村电网升级改造，农村电网供电可靠性进一步提高，综合电压合格率进一步提升，城乡居民天然气化率进一步增长。</w:t>
      </w:r>
    </w:p>
    <w:p>
      <w:pPr>
        <w:pStyle w:val="5"/>
        <w:shd w:val="clear"/>
        <w:bidi w:val="0"/>
        <w:rPr>
          <w:rFonts w:hint="eastAsia"/>
          <w:color w:val="auto"/>
          <w:highlight w:val="none"/>
          <w:lang w:val="en-US" w:eastAsia="zh-CN"/>
        </w:rPr>
      </w:pPr>
      <w:bookmarkStart w:id="61" w:name="_Toc200"/>
      <w:bookmarkStart w:id="62" w:name="_Toc20920"/>
      <w:bookmarkStart w:id="63" w:name="_Toc11102"/>
      <w:bookmarkStart w:id="64" w:name="_Toc4291"/>
      <w:bookmarkStart w:id="65" w:name="_Toc28249"/>
      <w:bookmarkStart w:id="66" w:name="_Toc28742"/>
      <w:r>
        <w:rPr>
          <w:rFonts w:hint="eastAsia"/>
          <w:color w:val="auto"/>
          <w:highlight w:val="none"/>
          <w:lang w:val="en-US" w:eastAsia="zh-CN"/>
        </w:rPr>
        <w:t>第三章 主要任务</w:t>
      </w:r>
      <w:bookmarkEnd w:id="61"/>
      <w:bookmarkEnd w:id="62"/>
      <w:bookmarkEnd w:id="63"/>
      <w:bookmarkEnd w:id="64"/>
      <w:bookmarkEnd w:id="65"/>
      <w:bookmarkEnd w:id="66"/>
    </w:p>
    <w:p>
      <w:pPr>
        <w:pStyle w:val="6"/>
        <w:shd w:val="clear"/>
        <w:bidi w:val="0"/>
        <w:rPr>
          <w:rFonts w:hint="eastAsia"/>
          <w:color w:val="auto"/>
          <w:highlight w:val="none"/>
          <w:lang w:val="en-US" w:eastAsia="zh-CN"/>
        </w:rPr>
      </w:pPr>
      <w:bookmarkStart w:id="67" w:name="_Toc31810"/>
      <w:bookmarkStart w:id="68" w:name="_Toc4270"/>
      <w:bookmarkStart w:id="69" w:name="_Toc11456"/>
      <w:bookmarkStart w:id="70" w:name="_Toc27439"/>
      <w:bookmarkStart w:id="71" w:name="_Toc27604"/>
      <w:bookmarkStart w:id="72" w:name="_Toc406"/>
      <w:r>
        <w:rPr>
          <w:rFonts w:hint="eastAsia"/>
          <w:color w:val="auto"/>
          <w:highlight w:val="none"/>
          <w:lang w:val="en-US" w:eastAsia="zh-CN"/>
        </w:rPr>
        <w:t>第一节 促进农村清洁能源健康发展</w:t>
      </w:r>
      <w:bookmarkEnd w:id="67"/>
      <w:bookmarkEnd w:id="68"/>
      <w:bookmarkEnd w:id="69"/>
      <w:bookmarkEnd w:id="70"/>
      <w:bookmarkEnd w:id="71"/>
      <w:bookmarkEnd w:id="72"/>
    </w:p>
    <w:p>
      <w:pPr>
        <w:shd w:val="clear"/>
        <w:rPr>
          <w:rFonts w:hint="eastAsia"/>
          <w:color w:val="auto"/>
          <w:highlight w:val="none"/>
          <w:lang w:val="en-US" w:eastAsia="zh-CN"/>
        </w:rPr>
      </w:pPr>
      <w:r>
        <w:rPr>
          <w:rFonts w:hint="eastAsia"/>
          <w:color w:val="auto"/>
          <w:highlight w:val="none"/>
          <w:lang w:val="en-US" w:eastAsia="zh-CN"/>
        </w:rPr>
        <w:t>加快发展农村清洁能源，继续增加农村沼气建设，在适宜地区积极发展秸秆气化和太阳能、风能等清洁能源，适度扩大小水电代燃料工程实施范围和规模，积极发展新能源交通。</w:t>
      </w:r>
    </w:p>
    <w:p>
      <w:pPr>
        <w:pStyle w:val="7"/>
        <w:shd w:val="clear"/>
        <w:bidi w:val="0"/>
        <w:rPr>
          <w:rFonts w:hint="default"/>
          <w:color w:val="auto"/>
          <w:sz w:val="32"/>
          <w:szCs w:val="32"/>
          <w:highlight w:val="none"/>
          <w:lang w:val="en-US" w:eastAsia="zh-CN"/>
        </w:rPr>
      </w:pPr>
      <w:r>
        <w:rPr>
          <w:rFonts w:hint="eastAsia"/>
          <w:color w:val="auto"/>
          <w:sz w:val="32"/>
          <w:szCs w:val="32"/>
          <w:highlight w:val="none"/>
          <w:lang w:val="en-US" w:eastAsia="zh-CN"/>
        </w:rPr>
        <w:t>一、</w:t>
      </w:r>
      <w:r>
        <w:rPr>
          <w:rFonts w:hint="default"/>
          <w:color w:val="auto"/>
          <w:sz w:val="32"/>
          <w:szCs w:val="32"/>
          <w:highlight w:val="none"/>
          <w:lang w:val="en-US" w:eastAsia="zh-CN"/>
        </w:rPr>
        <w:t>风能</w:t>
      </w:r>
    </w:p>
    <w:p>
      <w:pPr>
        <w:shd w:val="clear"/>
        <w:rPr>
          <w:rFonts w:hint="eastAsia"/>
          <w:color w:val="auto"/>
          <w:highlight w:val="none"/>
          <w:lang w:val="en-US" w:eastAsia="zh-CN"/>
        </w:rPr>
      </w:pPr>
      <w:r>
        <w:rPr>
          <w:rFonts w:hint="eastAsia"/>
          <w:color w:val="auto"/>
          <w:highlight w:val="none"/>
          <w:lang w:val="en-US" w:eastAsia="zh-CN"/>
        </w:rPr>
        <w:t>发挥风力资源比较优势，有序推进风力发电项目建设，切实发挥政策支持和市场导向作用，有序开发陆上风电资源，</w:t>
      </w:r>
      <w:r>
        <w:rPr>
          <w:rFonts w:hint="default"/>
          <w:color w:val="auto"/>
          <w:highlight w:val="none"/>
          <w:lang w:val="en-US" w:eastAsia="zh-CN"/>
        </w:rPr>
        <w:t>合理布局风电场址，加强项目建设监管，</w:t>
      </w:r>
      <w:r>
        <w:rPr>
          <w:rFonts w:hint="eastAsia"/>
          <w:color w:val="auto"/>
          <w:highlight w:val="none"/>
          <w:lang w:val="en-US" w:eastAsia="zh-CN"/>
        </w:rPr>
        <w:t>加快陆上风电场建设，逐步形成陆上风电规模化发展。促进</w:t>
      </w:r>
      <w:r>
        <w:rPr>
          <w:rFonts w:hint="default"/>
          <w:color w:val="auto"/>
          <w:highlight w:val="none"/>
          <w:lang w:val="en-US" w:eastAsia="zh-CN"/>
        </w:rPr>
        <w:t>风电开发与环境资源保护协调</w:t>
      </w:r>
      <w:r>
        <w:rPr>
          <w:rFonts w:hint="eastAsia"/>
          <w:color w:val="auto"/>
          <w:highlight w:val="none"/>
          <w:lang w:val="en-US" w:eastAsia="zh-CN"/>
        </w:rPr>
        <w:t>发展，积极落实生态环境保护措施，鼓励采用新技术、新工艺和先进机械设备，完善配套电网建设和并网服务。通过陆上风电开发建设，带动我县风电装备制造业等相关产业发展。</w:t>
      </w:r>
    </w:p>
    <w:p>
      <w:pPr>
        <w:pStyle w:val="7"/>
        <w:shd w:val="clear"/>
        <w:bidi w:val="0"/>
        <w:rPr>
          <w:rFonts w:hint="default"/>
          <w:color w:val="auto"/>
          <w:sz w:val="32"/>
          <w:szCs w:val="32"/>
          <w:highlight w:val="none"/>
          <w:lang w:val="en-US" w:eastAsia="zh-CN"/>
        </w:rPr>
      </w:pPr>
      <w:r>
        <w:rPr>
          <w:rFonts w:hint="eastAsia"/>
          <w:color w:val="auto"/>
          <w:sz w:val="32"/>
          <w:szCs w:val="32"/>
          <w:highlight w:val="none"/>
          <w:lang w:val="en-US" w:eastAsia="zh-CN"/>
        </w:rPr>
        <w:t>二、</w:t>
      </w:r>
      <w:r>
        <w:rPr>
          <w:rFonts w:hint="default"/>
          <w:color w:val="auto"/>
          <w:sz w:val="32"/>
          <w:szCs w:val="32"/>
          <w:highlight w:val="none"/>
          <w:lang w:val="en-US" w:eastAsia="zh-CN"/>
        </w:rPr>
        <w:t>太阳能</w:t>
      </w:r>
    </w:p>
    <w:p>
      <w:pPr>
        <w:shd w:val="clear"/>
        <w:rPr>
          <w:rFonts w:hint="default"/>
          <w:color w:val="auto"/>
          <w:highlight w:val="none"/>
          <w:lang w:val="en-US" w:eastAsia="zh-CN"/>
        </w:rPr>
      </w:pPr>
      <w:r>
        <w:rPr>
          <w:rFonts w:hint="eastAsia"/>
          <w:color w:val="auto"/>
          <w:highlight w:val="none"/>
          <w:lang w:val="en-US" w:eastAsia="zh-CN"/>
        </w:rPr>
        <w:t>深入实施国家“金太阳”工程、“阳光屋顶”工程，加快太阳能发电技术的推广与应用，在学校、宾馆、医院等热水需求量大及农村地区推广应用太阳能热水器。</w:t>
      </w:r>
    </w:p>
    <w:p>
      <w:pPr>
        <w:pStyle w:val="7"/>
        <w:shd w:val="clear"/>
        <w:bidi w:val="0"/>
        <w:rPr>
          <w:rFonts w:hint="default"/>
          <w:color w:val="auto"/>
          <w:sz w:val="32"/>
          <w:szCs w:val="32"/>
          <w:highlight w:val="none"/>
          <w:lang w:val="en-US" w:eastAsia="zh-CN"/>
        </w:rPr>
      </w:pPr>
      <w:r>
        <w:rPr>
          <w:rFonts w:hint="eastAsia"/>
          <w:color w:val="auto"/>
          <w:sz w:val="32"/>
          <w:szCs w:val="32"/>
          <w:highlight w:val="none"/>
          <w:lang w:val="en-US" w:eastAsia="zh-CN"/>
        </w:rPr>
        <w:t>三、</w:t>
      </w:r>
      <w:r>
        <w:rPr>
          <w:rFonts w:hint="default"/>
          <w:color w:val="auto"/>
          <w:sz w:val="32"/>
          <w:szCs w:val="32"/>
          <w:highlight w:val="none"/>
          <w:lang w:val="en-US" w:eastAsia="zh-CN"/>
        </w:rPr>
        <w:t>水电</w:t>
      </w:r>
    </w:p>
    <w:p>
      <w:pPr>
        <w:shd w:val="clear"/>
        <w:rPr>
          <w:rFonts w:hint="default"/>
          <w:color w:val="auto"/>
          <w:highlight w:val="none"/>
          <w:lang w:val="en-US" w:eastAsia="zh-CN"/>
        </w:rPr>
      </w:pPr>
      <w:r>
        <w:rPr>
          <w:rFonts w:hint="eastAsia"/>
          <w:b w:val="0"/>
          <w:bCs w:val="0"/>
          <w:color w:val="auto"/>
          <w:highlight w:val="none"/>
          <w:lang w:val="en-US" w:eastAsia="zh-CN"/>
        </w:rPr>
        <w:t>“十四五”期间小水电，重点结合我县“山区五市中小河流治理”、农村环境综合整治，开展以流域为对象的水电生态修复综合治理，贯彻绿色发展小水电理念，通过改造或增设水电站水库放水设施、水电站下游河道生态修复、生态友好型水电设备设施改造等，基本消除或缓解因水电站造成河道脱水、减少等流域性环境问题。现阶段，严格控制新建小水电站，小水电站主要任务是老旧电站技术改造以及加强小水电工程生态流量的管理及为创建绿色小水电站创造条件。</w:t>
      </w:r>
    </w:p>
    <w:p>
      <w:pPr>
        <w:pStyle w:val="7"/>
        <w:shd w:val="clear"/>
        <w:bidi w:val="0"/>
        <w:rPr>
          <w:rFonts w:hint="default"/>
          <w:color w:val="auto"/>
          <w:sz w:val="32"/>
          <w:szCs w:val="32"/>
          <w:highlight w:val="none"/>
          <w:lang w:val="en-US" w:eastAsia="zh-CN"/>
        </w:rPr>
      </w:pPr>
      <w:r>
        <w:rPr>
          <w:rFonts w:hint="eastAsia"/>
          <w:color w:val="auto"/>
          <w:sz w:val="32"/>
          <w:szCs w:val="32"/>
          <w:highlight w:val="none"/>
          <w:lang w:val="en-US" w:eastAsia="zh-CN"/>
        </w:rPr>
        <w:t>四、</w:t>
      </w:r>
      <w:r>
        <w:rPr>
          <w:rFonts w:hint="default"/>
          <w:color w:val="auto"/>
          <w:sz w:val="32"/>
          <w:szCs w:val="32"/>
          <w:highlight w:val="none"/>
          <w:lang w:val="en-US" w:eastAsia="zh-CN"/>
        </w:rPr>
        <w:t>生物质能</w:t>
      </w:r>
    </w:p>
    <w:p>
      <w:pPr>
        <w:shd w:val="clear"/>
        <w:rPr>
          <w:rFonts w:hint="default"/>
          <w:color w:val="auto"/>
          <w:highlight w:val="none"/>
          <w:lang w:val="en-US" w:eastAsia="zh-CN"/>
        </w:rPr>
      </w:pPr>
      <w:r>
        <w:rPr>
          <w:rFonts w:hint="eastAsia"/>
          <w:color w:val="auto"/>
          <w:highlight w:val="none"/>
          <w:lang w:val="en-US" w:eastAsia="zh-CN"/>
        </w:rPr>
        <w:t>加大力推动生物天然气规模化发展，加快生物天然气技术进步和商业化，推进生物天然气有机肥专业化规模化建设。稳步发展生物质发电，积极发展分布式农林生物质热电联产，稳步发展城镇生活垃圾焚烧发电，因地制宜发展沼气发电。加快生物液体燃料示范和推广，推进燃料乙醇推广应用，加快生物柴油在交通领域应用，推进技术创新与多联产示范。借鉴和引进国内外先进的焚烧工艺，科学有序发展垃圾发电、农林生物质发电、沼气综合利用等工程，促进循环经济发展。合理布局一批高环保标准的生物质发电项目。</w:t>
      </w:r>
    </w:p>
    <w:p>
      <w:pPr>
        <w:pStyle w:val="7"/>
        <w:shd w:val="clear"/>
        <w:bidi w:val="0"/>
        <w:rPr>
          <w:rFonts w:hint="default"/>
          <w:color w:val="auto"/>
          <w:sz w:val="32"/>
          <w:szCs w:val="32"/>
          <w:highlight w:val="none"/>
          <w:lang w:val="en-US" w:eastAsia="zh-CN"/>
        </w:rPr>
      </w:pPr>
      <w:r>
        <w:rPr>
          <w:rFonts w:hint="eastAsia"/>
          <w:color w:val="auto"/>
          <w:sz w:val="32"/>
          <w:szCs w:val="32"/>
          <w:highlight w:val="none"/>
          <w:lang w:val="en-US" w:eastAsia="zh-CN"/>
        </w:rPr>
        <w:t>五、</w:t>
      </w:r>
      <w:r>
        <w:rPr>
          <w:rFonts w:hint="default"/>
          <w:color w:val="auto"/>
          <w:sz w:val="32"/>
          <w:szCs w:val="32"/>
          <w:highlight w:val="none"/>
          <w:lang w:val="en-US" w:eastAsia="zh-CN"/>
        </w:rPr>
        <w:t>新能源交通</w:t>
      </w:r>
    </w:p>
    <w:p>
      <w:pPr>
        <w:shd w:val="clear"/>
        <w:rPr>
          <w:rFonts w:hint="default"/>
          <w:color w:val="auto"/>
          <w:highlight w:val="none"/>
          <w:lang w:val="en-US" w:eastAsia="zh-CN"/>
        </w:rPr>
      </w:pPr>
      <w:r>
        <w:rPr>
          <w:rFonts w:hint="default"/>
          <w:b w:val="0"/>
          <w:bCs w:val="0"/>
          <w:color w:val="auto"/>
          <w:highlight w:val="none"/>
          <w:lang w:val="en-US" w:eastAsia="zh-CN"/>
        </w:rPr>
        <w:t>积极开展交通运输领域的环境保护和节能减排工作，做好新能源汽车在交通运输领域的推广</w:t>
      </w:r>
      <w:r>
        <w:rPr>
          <w:rFonts w:hint="eastAsia"/>
          <w:b w:val="0"/>
          <w:bCs w:val="0"/>
          <w:color w:val="auto"/>
          <w:highlight w:val="none"/>
          <w:lang w:val="en-US" w:eastAsia="zh-CN"/>
        </w:rPr>
        <w:t>，</w:t>
      </w:r>
      <w:r>
        <w:rPr>
          <w:rFonts w:hint="eastAsia"/>
          <w:color w:val="auto"/>
          <w:highlight w:val="none"/>
          <w:lang w:val="en-US" w:eastAsia="zh-CN"/>
        </w:rPr>
        <w:t>鼓励</w:t>
      </w:r>
      <w:r>
        <w:rPr>
          <w:rFonts w:hint="default"/>
          <w:color w:val="auto"/>
          <w:highlight w:val="none"/>
          <w:lang w:val="en-US" w:eastAsia="zh-CN"/>
        </w:rPr>
        <w:t>培育</w:t>
      </w:r>
      <w:r>
        <w:rPr>
          <w:rFonts w:hint="eastAsia"/>
          <w:color w:val="auto"/>
          <w:highlight w:val="none"/>
          <w:lang w:val="en-US" w:eastAsia="zh-CN"/>
        </w:rPr>
        <w:t>发展</w:t>
      </w:r>
      <w:r>
        <w:rPr>
          <w:rFonts w:hint="default"/>
          <w:color w:val="auto"/>
          <w:highlight w:val="none"/>
          <w:lang w:val="en-US" w:eastAsia="zh-CN"/>
        </w:rPr>
        <w:t>新能源汽车及其关键零部件</w:t>
      </w:r>
      <w:r>
        <w:rPr>
          <w:rFonts w:hint="eastAsia"/>
          <w:color w:val="auto"/>
          <w:highlight w:val="none"/>
          <w:lang w:val="en-US" w:eastAsia="zh-CN"/>
        </w:rPr>
        <w:t>生产，</w:t>
      </w:r>
      <w:r>
        <w:rPr>
          <w:rFonts w:hint="default"/>
          <w:color w:val="auto"/>
          <w:highlight w:val="none"/>
          <w:lang w:val="en-US" w:eastAsia="zh-CN"/>
        </w:rPr>
        <w:t>加强关键共性技术供给，优化创新发展环境，推动电动化与网联化、智能化技术并行融合发展，持续提升新能源汽车产业创新能力。</w:t>
      </w:r>
      <w:r>
        <w:rPr>
          <w:rFonts w:hint="default"/>
          <w:b w:val="0"/>
          <w:bCs w:val="0"/>
          <w:color w:val="auto"/>
          <w:highlight w:val="none"/>
          <w:lang w:val="en-US" w:eastAsia="zh-CN"/>
        </w:rPr>
        <w:t>完善汽车充电设施建设</w:t>
      </w:r>
      <w:r>
        <w:rPr>
          <w:rFonts w:hint="eastAsia"/>
          <w:b w:val="0"/>
          <w:bCs w:val="0"/>
          <w:color w:val="auto"/>
          <w:highlight w:val="none"/>
          <w:lang w:val="en-US" w:eastAsia="zh-CN"/>
        </w:rPr>
        <w:t>，加快推动</w:t>
      </w:r>
      <w:r>
        <w:rPr>
          <w:rFonts w:hint="default"/>
          <w:color w:val="auto"/>
          <w:highlight w:val="none"/>
          <w:lang w:val="en-US" w:eastAsia="zh-CN"/>
        </w:rPr>
        <w:t>3个站点共16台充电桩</w:t>
      </w:r>
      <w:r>
        <w:rPr>
          <w:rFonts w:hint="eastAsia"/>
          <w:color w:val="auto"/>
          <w:highlight w:val="none"/>
          <w:lang w:val="en-US" w:eastAsia="zh-CN"/>
        </w:rPr>
        <w:t>项目建设，</w:t>
      </w:r>
      <w:r>
        <w:rPr>
          <w:rFonts w:hint="default"/>
          <w:color w:val="auto"/>
          <w:highlight w:val="none"/>
          <w:lang w:val="en-US" w:eastAsia="zh-CN"/>
        </w:rPr>
        <w:t>包括连平县会议中心周边停车场12台、上坪检查站停车场2台、上坪中村文化广场停车场2台</w:t>
      </w:r>
      <w:r>
        <w:rPr>
          <w:rFonts w:hint="eastAsia"/>
          <w:color w:val="auto"/>
          <w:highlight w:val="none"/>
          <w:lang w:val="en-US" w:eastAsia="zh-CN"/>
        </w:rPr>
        <w:t>，争取</w:t>
      </w:r>
      <w:r>
        <w:rPr>
          <w:rFonts w:hint="default"/>
          <w:color w:val="auto"/>
          <w:highlight w:val="none"/>
          <w:lang w:val="en-US" w:eastAsia="zh-CN"/>
        </w:rPr>
        <w:t>将新能源汽车配套充电设施覆盖至</w:t>
      </w:r>
      <w:r>
        <w:rPr>
          <w:rFonts w:hint="eastAsia"/>
          <w:color w:val="auto"/>
          <w:highlight w:val="none"/>
          <w:lang w:val="en-US" w:eastAsia="zh-CN"/>
        </w:rPr>
        <w:t>县域</w:t>
      </w:r>
      <w:r>
        <w:rPr>
          <w:rFonts w:hint="default"/>
          <w:color w:val="auto"/>
          <w:highlight w:val="none"/>
          <w:lang w:val="en-US" w:eastAsia="zh-CN"/>
        </w:rPr>
        <w:t>每个镇</w:t>
      </w:r>
      <w:r>
        <w:rPr>
          <w:rFonts w:hint="eastAsia"/>
          <w:color w:val="auto"/>
          <w:highlight w:val="none"/>
          <w:lang w:val="en-US" w:eastAsia="zh-CN"/>
        </w:rPr>
        <w:t>。</w:t>
      </w:r>
    </w:p>
    <w:p>
      <w:pPr>
        <w:pStyle w:val="6"/>
        <w:shd w:val="clear"/>
        <w:bidi w:val="0"/>
        <w:rPr>
          <w:rFonts w:hint="eastAsia"/>
          <w:color w:val="auto"/>
          <w:highlight w:val="none"/>
          <w:lang w:val="en-US" w:eastAsia="zh-CN"/>
        </w:rPr>
      </w:pPr>
      <w:bookmarkStart w:id="73" w:name="_Toc5409"/>
      <w:bookmarkStart w:id="74" w:name="_Toc29252"/>
      <w:bookmarkStart w:id="75" w:name="_Toc9115"/>
      <w:bookmarkStart w:id="76" w:name="_Toc31070"/>
      <w:bookmarkStart w:id="77" w:name="_Toc15274"/>
      <w:bookmarkStart w:id="78" w:name="_Toc28459"/>
      <w:r>
        <w:rPr>
          <w:rFonts w:hint="eastAsia"/>
          <w:color w:val="auto"/>
          <w:highlight w:val="none"/>
          <w:lang w:val="en-US" w:eastAsia="zh-CN"/>
        </w:rPr>
        <w:t>第二节 建设安全可靠、智能高效电网</w:t>
      </w:r>
      <w:bookmarkEnd w:id="73"/>
      <w:bookmarkEnd w:id="74"/>
      <w:bookmarkEnd w:id="75"/>
      <w:bookmarkEnd w:id="76"/>
      <w:bookmarkEnd w:id="77"/>
      <w:bookmarkEnd w:id="78"/>
    </w:p>
    <w:p>
      <w:pPr>
        <w:shd w:val="clear"/>
        <w:rPr>
          <w:rFonts w:hint="default"/>
          <w:color w:val="auto"/>
          <w:highlight w:val="none"/>
          <w:lang w:val="en-US" w:eastAsia="zh-CN"/>
        </w:rPr>
      </w:pPr>
      <w:r>
        <w:rPr>
          <w:rFonts w:hint="eastAsia"/>
          <w:color w:val="auto"/>
          <w:highlight w:val="none"/>
          <w:lang w:val="en-US" w:eastAsia="zh-CN"/>
        </w:rPr>
        <w:t>遵循电网发展规律，坚持安全第一的建设原则，</w:t>
      </w:r>
      <w:r>
        <w:rPr>
          <w:rFonts w:hint="default"/>
          <w:color w:val="auto"/>
          <w:highlight w:val="none"/>
          <w:lang w:val="en-US" w:eastAsia="zh-CN"/>
        </w:rPr>
        <w:t>滚动修编电网规划项目库，</w:t>
      </w:r>
      <w:r>
        <w:rPr>
          <w:rFonts w:hint="eastAsia"/>
          <w:color w:val="auto"/>
          <w:highlight w:val="none"/>
          <w:lang w:val="en-US" w:eastAsia="zh-CN"/>
        </w:rPr>
        <w:t>进一步加大主网建设力度，推进配网建设，改造升级农村电网，形成安全可靠、结构合理、经济环保的现代智能电网</w:t>
      </w:r>
      <w:r>
        <w:rPr>
          <w:rFonts w:hint="default"/>
          <w:color w:val="auto"/>
          <w:highlight w:val="none"/>
          <w:lang w:val="en-US" w:eastAsia="zh-CN"/>
        </w:rPr>
        <w:t>，为地方经济社会高质量发展提供坚强电力保障。</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一、主网</w:t>
      </w:r>
    </w:p>
    <w:p>
      <w:pPr>
        <w:shd w:val="clear"/>
        <w:rPr>
          <w:rFonts w:hint="eastAsia"/>
          <w:color w:val="auto"/>
          <w:highlight w:val="none"/>
          <w:lang w:val="en-US" w:eastAsia="zh-CN"/>
        </w:rPr>
      </w:pPr>
      <w:r>
        <w:rPr>
          <w:rFonts w:hint="eastAsia"/>
          <w:color w:val="auto"/>
          <w:highlight w:val="none"/>
          <w:lang w:val="en-US" w:eastAsia="zh-CN"/>
        </w:rPr>
        <w:t>完善220kV电网，优化提升110kV电网，形成以220kV变电站为中心的“双环双通道”坚强主网。推进110kV及以上主网架结构逐步实现分区供电模式，重点转移重载变电站、重载线路负荷，提高各个分区供电能力、转供能力、接纳电源能力，实现各片区在事故情况下具备优良的相互支援能力。</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二、配网</w:t>
      </w:r>
    </w:p>
    <w:p>
      <w:pPr>
        <w:shd w:val="clear"/>
        <w:rPr>
          <w:rFonts w:hint="eastAsia"/>
          <w:color w:val="auto"/>
          <w:highlight w:val="none"/>
          <w:lang w:val="en-US" w:eastAsia="zh-CN"/>
        </w:rPr>
      </w:pPr>
      <w:r>
        <w:rPr>
          <w:rFonts w:hint="eastAsia"/>
          <w:color w:val="auto"/>
          <w:highlight w:val="none"/>
          <w:lang w:val="en-US" w:eastAsia="zh-CN"/>
        </w:rPr>
        <w:t>加强配网规划与主网规划协调一体化管理，加快中低压配网建设，积极开展覆盖城乡的安全、绿色、高效变电站建设，适度超前规划建设一批关键变电站，通过多路供电、双路供电、双环网供电等方式，形成合理的配电网结构，进一步提高城镇供电可靠性，解决台区重过载、低电压问题，提升中压线路可转供电率及在线馈线自动化覆盖率，基本消除老旧居民小区配电网安全隐患，提高供电质量和居民用电质量。</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三、农网</w:t>
      </w:r>
    </w:p>
    <w:p>
      <w:pPr>
        <w:shd w:val="clear"/>
        <w:rPr>
          <w:rFonts w:hint="eastAsia"/>
          <w:color w:val="auto"/>
          <w:highlight w:val="none"/>
          <w:lang w:val="en-US" w:eastAsia="zh-CN"/>
        </w:rPr>
      </w:pPr>
      <w:r>
        <w:rPr>
          <w:rFonts w:hint="eastAsia"/>
          <w:color w:val="auto"/>
          <w:highlight w:val="none"/>
          <w:lang w:val="en-US" w:eastAsia="zh-CN"/>
        </w:rPr>
        <w:t>“十四五”时期，加大农村电网改造升级力度，制定农村电网改造升级行动计划，重点补齐农村电网发展短板，全县农村配电网进一步完善。促进城乡电力服务均等化发展，大力推动中心村电网改造升级和农村机井通电工程建设，加强贫困地区农村电网改造升级，落实电网精准扶贫工作要求，保障农村地区分布式电源，特别是农光互补的接入和消纳。进一步改善贫困村用电质量，突出解决农村配电网设备过载、“卡脖子”及“低电压”等问题，提升农村电网供电质量，提高农村电网供电可靠性，建成结构合理、技术先进、智能高效的现代农村电网。</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四、保障能力</w:t>
      </w:r>
    </w:p>
    <w:p>
      <w:pPr>
        <w:shd w:val="clear"/>
        <w:rPr>
          <w:rFonts w:hint="eastAsia"/>
          <w:color w:val="auto"/>
          <w:highlight w:val="none"/>
          <w:lang w:val="en-US" w:eastAsia="zh-CN"/>
        </w:rPr>
      </w:pPr>
      <w:r>
        <w:rPr>
          <w:rFonts w:hint="eastAsia"/>
          <w:color w:val="auto"/>
          <w:highlight w:val="none"/>
          <w:lang w:val="en-US" w:eastAsia="zh-CN"/>
        </w:rPr>
        <w:t>“十四五”期间，积极运用新能源技术、智能技术、信息技术和网络技术，加快推进智能电网建设，保障我县电网供电可靠性。加强我县与领域电网联络，积极推进送受电工程建设，完善现有电网联网，贯彻落实电力体制改革，完善电力交易市场机制，增强电力外送保障能力。</w:t>
      </w:r>
    </w:p>
    <w:p>
      <w:pPr>
        <w:pStyle w:val="6"/>
        <w:shd w:val="clear"/>
        <w:rPr>
          <w:rFonts w:hint="default"/>
          <w:color w:val="auto"/>
          <w:highlight w:val="none"/>
          <w:lang w:val="en-US" w:eastAsia="zh-CN"/>
        </w:rPr>
      </w:pPr>
      <w:bookmarkStart w:id="79" w:name="_Toc3096"/>
      <w:r>
        <w:rPr>
          <w:rFonts w:hint="eastAsia"/>
          <w:color w:val="auto"/>
          <w:highlight w:val="none"/>
          <w:lang w:val="en-US" w:eastAsia="zh-CN"/>
        </w:rPr>
        <w:t>第三节 保障重点领域合理用能</w:t>
      </w:r>
      <w:bookmarkEnd w:id="79"/>
    </w:p>
    <w:p>
      <w:pPr>
        <w:pStyle w:val="7"/>
        <w:shd w:val="clear"/>
        <w:rPr>
          <w:rFonts w:hint="eastAsia"/>
          <w:color w:val="auto"/>
          <w:sz w:val="32"/>
          <w:szCs w:val="32"/>
          <w:highlight w:val="none"/>
        </w:rPr>
      </w:pPr>
      <w:r>
        <w:rPr>
          <w:rFonts w:hint="eastAsia"/>
          <w:color w:val="auto"/>
          <w:sz w:val="32"/>
          <w:szCs w:val="32"/>
          <w:highlight w:val="none"/>
          <w:lang w:val="en-US" w:eastAsia="zh-CN"/>
        </w:rPr>
        <w:t>一、优先</w:t>
      </w:r>
      <w:r>
        <w:rPr>
          <w:rFonts w:hint="eastAsia"/>
          <w:color w:val="auto"/>
          <w:sz w:val="32"/>
          <w:szCs w:val="32"/>
          <w:highlight w:val="none"/>
        </w:rPr>
        <w:t>保障居民合理用能</w:t>
      </w:r>
    </w:p>
    <w:p>
      <w:pPr>
        <w:shd w:val="clear"/>
        <w:rPr>
          <w:rFonts w:hint="eastAsia"/>
          <w:color w:val="auto"/>
          <w:highlight w:val="none"/>
          <w:lang w:val="en-US" w:eastAsia="zh-CN"/>
        </w:rPr>
      </w:pPr>
      <w:r>
        <w:rPr>
          <w:rFonts w:hint="default"/>
          <w:color w:val="auto"/>
          <w:highlight w:val="none"/>
        </w:rPr>
        <w:t>按照</w:t>
      </w:r>
      <w:r>
        <w:rPr>
          <w:rFonts w:hint="eastAsia"/>
          <w:color w:val="auto"/>
          <w:highlight w:val="none"/>
          <w:lang w:eastAsia="zh-CN"/>
        </w:rPr>
        <w:t>“</w:t>
      </w:r>
      <w:r>
        <w:rPr>
          <w:rFonts w:hint="default"/>
          <w:color w:val="auto"/>
          <w:highlight w:val="none"/>
        </w:rPr>
        <w:t>先生活、后生产</w:t>
      </w:r>
      <w:r>
        <w:rPr>
          <w:rFonts w:hint="eastAsia"/>
          <w:color w:val="auto"/>
          <w:highlight w:val="none"/>
          <w:lang w:eastAsia="zh-CN"/>
        </w:rPr>
        <w:t>”</w:t>
      </w:r>
      <w:r>
        <w:rPr>
          <w:rFonts w:hint="default"/>
          <w:color w:val="auto"/>
          <w:highlight w:val="none"/>
        </w:rPr>
        <w:t>的原则，切实把保障居民生活用能放在增量能源配置的首要位置，充分保障居民生活用能的合理增长及涉及公众利益和国家安全的重要用户用能需求。</w:t>
      </w:r>
    </w:p>
    <w:p>
      <w:pPr>
        <w:pStyle w:val="7"/>
        <w:shd w:val="clear"/>
        <w:rPr>
          <w:rFonts w:hint="eastAsia"/>
          <w:color w:val="auto"/>
          <w:sz w:val="32"/>
          <w:szCs w:val="32"/>
          <w:highlight w:val="none"/>
          <w:lang w:val="en-US" w:eastAsia="zh-CN"/>
        </w:rPr>
      </w:pPr>
      <w:r>
        <w:rPr>
          <w:rFonts w:hint="eastAsia"/>
          <w:color w:val="auto"/>
          <w:sz w:val="32"/>
          <w:szCs w:val="32"/>
          <w:highlight w:val="none"/>
          <w:lang w:val="en-US" w:eastAsia="zh-CN"/>
        </w:rPr>
        <w:t>二、切实保障新兴产业合理用能</w:t>
      </w:r>
    </w:p>
    <w:p>
      <w:pPr>
        <w:pStyle w:val="2"/>
        <w:shd w:val="clear"/>
        <w:rPr>
          <w:rFonts w:hint="eastAsia"/>
          <w:color w:val="auto"/>
          <w:highlight w:val="none"/>
          <w:lang w:val="en-US" w:eastAsia="zh-CN"/>
        </w:rPr>
      </w:pPr>
      <w:r>
        <w:rPr>
          <w:rFonts w:hint="eastAsia"/>
          <w:color w:val="auto"/>
          <w:highlight w:val="none"/>
          <w:lang w:val="en-US" w:eastAsia="zh-CN"/>
        </w:rPr>
        <w:t>在坚持节约用能的前提下，切实保障信息、环保、健康、旅游、时尚、金融、高端装备制造、文化等战略性新兴产业合理用能需求，把新增用能优化配置到新经济领域，以用能结构优化倒逼高质量发展。积极支持工业设计、创意、总部经济等生产性服务业和社区服务等生活性服务业等低能耗服务业项目。</w:t>
      </w:r>
    </w:p>
    <w:p>
      <w:pPr>
        <w:pStyle w:val="7"/>
        <w:shd w:val="clear"/>
        <w:rPr>
          <w:rFonts w:hint="eastAsia"/>
          <w:color w:val="auto"/>
          <w:sz w:val="32"/>
          <w:szCs w:val="32"/>
          <w:highlight w:val="none"/>
          <w:lang w:val="en-US" w:eastAsia="zh-CN"/>
        </w:rPr>
      </w:pPr>
      <w:r>
        <w:rPr>
          <w:rFonts w:hint="eastAsia"/>
          <w:color w:val="auto"/>
          <w:sz w:val="32"/>
          <w:szCs w:val="32"/>
          <w:highlight w:val="none"/>
          <w:lang w:val="en-US" w:eastAsia="zh-CN"/>
        </w:rPr>
        <w:t>三、着力保障数字经济发展用能</w:t>
      </w:r>
    </w:p>
    <w:p>
      <w:pPr>
        <w:pStyle w:val="2"/>
        <w:shd w:val="clear"/>
        <w:rPr>
          <w:rFonts w:hint="default"/>
          <w:color w:val="auto"/>
          <w:highlight w:val="none"/>
          <w:lang w:val="en-US" w:eastAsia="zh-CN"/>
        </w:rPr>
      </w:pPr>
      <w:r>
        <w:rPr>
          <w:rFonts w:hint="default"/>
          <w:color w:val="auto"/>
          <w:highlight w:val="none"/>
          <w:lang w:val="en-US" w:eastAsia="zh-CN"/>
        </w:rPr>
        <w:t>聚焦数字经济，重点保障互联网、物联网、大数据、人工智能等领域及集成电路、高端软件、网络安全等基础产业合理用能需求，结合</w:t>
      </w:r>
      <w:r>
        <w:rPr>
          <w:rFonts w:hint="eastAsia"/>
          <w:color w:val="auto"/>
          <w:highlight w:val="none"/>
          <w:lang w:val="en-US" w:eastAsia="zh-CN"/>
        </w:rPr>
        <w:t>连平</w:t>
      </w:r>
      <w:r>
        <w:rPr>
          <w:rFonts w:hint="default"/>
          <w:color w:val="auto"/>
          <w:highlight w:val="none"/>
          <w:lang w:val="en-US" w:eastAsia="zh-CN"/>
        </w:rPr>
        <w:t>实际支持一批数字基础设施项目用能，全力推动数字经济</w:t>
      </w:r>
      <w:r>
        <w:rPr>
          <w:rFonts w:hint="eastAsia"/>
          <w:color w:val="auto"/>
          <w:highlight w:val="none"/>
          <w:lang w:val="en-US" w:eastAsia="zh-CN"/>
        </w:rPr>
        <w:t>高质量发展</w:t>
      </w:r>
      <w:r>
        <w:rPr>
          <w:rFonts w:hint="default"/>
          <w:color w:val="auto"/>
          <w:highlight w:val="none"/>
          <w:lang w:val="en-US" w:eastAsia="zh-CN"/>
        </w:rPr>
        <w:t>。</w:t>
      </w:r>
    </w:p>
    <w:p>
      <w:pPr>
        <w:pStyle w:val="6"/>
        <w:shd w:val="clear"/>
        <w:bidi w:val="0"/>
        <w:rPr>
          <w:rFonts w:hint="eastAsia"/>
          <w:color w:val="auto"/>
          <w:highlight w:val="none"/>
          <w:lang w:val="en-US" w:eastAsia="zh-CN"/>
        </w:rPr>
      </w:pPr>
      <w:bookmarkStart w:id="80" w:name="_Toc13708"/>
      <w:bookmarkStart w:id="81" w:name="_Toc25907"/>
      <w:bookmarkStart w:id="82" w:name="_Toc13761"/>
      <w:bookmarkStart w:id="83" w:name="_Toc32629"/>
      <w:bookmarkStart w:id="84" w:name="_Toc19812"/>
      <w:bookmarkStart w:id="85" w:name="_Toc13788"/>
      <w:r>
        <w:rPr>
          <w:rFonts w:hint="eastAsia"/>
          <w:color w:val="auto"/>
          <w:highlight w:val="none"/>
          <w:lang w:val="en-US" w:eastAsia="zh-CN"/>
        </w:rPr>
        <w:t>第四节 强化节能减排约束指标</w:t>
      </w:r>
      <w:bookmarkEnd w:id="80"/>
      <w:bookmarkEnd w:id="81"/>
      <w:bookmarkEnd w:id="82"/>
      <w:bookmarkEnd w:id="83"/>
      <w:bookmarkEnd w:id="84"/>
      <w:bookmarkEnd w:id="85"/>
    </w:p>
    <w:p>
      <w:pPr>
        <w:shd w:val="clear"/>
        <w:rPr>
          <w:rFonts w:hint="default"/>
          <w:color w:val="auto"/>
          <w:highlight w:val="none"/>
          <w:lang w:val="en-US" w:eastAsia="zh-CN"/>
        </w:rPr>
      </w:pPr>
      <w:r>
        <w:rPr>
          <w:rFonts w:hint="eastAsia"/>
          <w:color w:val="auto"/>
          <w:highlight w:val="none"/>
          <w:lang w:val="en-US" w:eastAsia="zh-CN"/>
        </w:rPr>
        <w:t>以提高能源利用效率和改善生态环境质量为目标，以加快建设资源节约型、环境友好型社会为导向，重点加强节能管理和重点领域节能，严格控制能源和煤炭消费总量，推进煤炭清洁高效利用，加强能源需求侧管理。</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一、加强重点用能单位节能管理</w:t>
      </w:r>
    </w:p>
    <w:p>
      <w:pPr>
        <w:shd w:val="clear"/>
        <w:bidi w:val="0"/>
        <w:rPr>
          <w:rFonts w:hint="eastAsia"/>
          <w:color w:val="auto"/>
          <w:highlight w:val="none"/>
          <w:lang w:val="en-US" w:eastAsia="zh-CN"/>
        </w:rPr>
      </w:pPr>
      <w:r>
        <w:rPr>
          <w:rFonts w:hint="eastAsia"/>
          <w:color w:val="auto"/>
          <w:highlight w:val="none"/>
          <w:lang w:val="en-US" w:eastAsia="zh-CN"/>
        </w:rPr>
        <w:t>强化节能目标责任，</w:t>
      </w:r>
      <w:r>
        <w:rPr>
          <w:rFonts w:hint="default"/>
          <w:color w:val="auto"/>
          <w:highlight w:val="none"/>
          <w:lang w:val="en-US" w:eastAsia="zh-CN"/>
        </w:rPr>
        <w:t>加强</w:t>
      </w:r>
      <w:r>
        <w:rPr>
          <w:rFonts w:hint="eastAsia"/>
          <w:color w:val="auto"/>
          <w:highlight w:val="none"/>
          <w:lang w:val="en-US" w:eastAsia="zh-CN"/>
        </w:rPr>
        <w:t>重点用能单位</w:t>
      </w:r>
      <w:r>
        <w:rPr>
          <w:rFonts w:hint="default"/>
          <w:color w:val="auto"/>
          <w:highlight w:val="none"/>
          <w:lang w:val="en-US" w:eastAsia="zh-CN"/>
        </w:rPr>
        <w:t>能耗管控，在重点耗能行业全面推行能效对标，推进工业企业能源管控中心建设，推广工业智能化用能监测和诊断技术。</w:t>
      </w:r>
      <w:r>
        <w:rPr>
          <w:rFonts w:hint="eastAsia"/>
          <w:color w:val="auto"/>
          <w:highlight w:val="none"/>
          <w:lang w:val="en-US" w:eastAsia="zh-CN"/>
        </w:rPr>
        <w:t>加快推广工业节能技术和装备，鼓励企业开展新一轮节能技术改造，淘汰落后工艺和设备，</w:t>
      </w:r>
      <w:r>
        <w:rPr>
          <w:rFonts w:hint="default"/>
          <w:color w:val="auto"/>
          <w:highlight w:val="none"/>
          <w:lang w:val="en-US" w:eastAsia="zh-CN"/>
        </w:rPr>
        <w:t>到202</w:t>
      </w:r>
      <w:r>
        <w:rPr>
          <w:rFonts w:hint="eastAsia"/>
          <w:color w:val="auto"/>
          <w:highlight w:val="none"/>
          <w:lang w:val="en-US" w:eastAsia="zh-CN"/>
        </w:rPr>
        <w:t>5</w:t>
      </w:r>
      <w:r>
        <w:rPr>
          <w:rFonts w:hint="default"/>
          <w:color w:val="auto"/>
          <w:highlight w:val="none"/>
          <w:lang w:val="en-US" w:eastAsia="zh-CN"/>
        </w:rPr>
        <w:t>年，工业能源利用效率和清洁化水平显著提高</w:t>
      </w:r>
      <w:r>
        <w:rPr>
          <w:rFonts w:hint="eastAsia"/>
          <w:color w:val="auto"/>
          <w:highlight w:val="none"/>
          <w:lang w:val="en-US" w:eastAsia="zh-CN"/>
        </w:rPr>
        <w:t>。推行合同能源管理、合同节水管理等市场化机制，培育节能服务产业，扩大节能环保产品和服务供给。</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二、严格控制能源和煤炭消费总量</w:t>
      </w:r>
    </w:p>
    <w:p>
      <w:pPr>
        <w:shd w:val="clear"/>
        <w:rPr>
          <w:rFonts w:hint="eastAsia"/>
          <w:color w:val="auto"/>
          <w:highlight w:val="none"/>
          <w:lang w:val="en-US" w:eastAsia="zh-CN"/>
        </w:rPr>
      </w:pPr>
      <w:r>
        <w:rPr>
          <w:rFonts w:hint="eastAsia"/>
          <w:color w:val="auto"/>
          <w:highlight w:val="none"/>
          <w:lang w:val="en-US" w:eastAsia="zh-CN"/>
        </w:rPr>
        <w:t>落实能源消费总量和能源消费强度“双控”，推进产业结构调整。根据市下达我县“十四五”能源消费总量和能源能耗强度目标，制定符合我县实际情况的能源消费总量和煤炭消费减量替代管理工作方案，并将目标分解到各街镇。积极做好碳排放配额分配工作，促进碳交易试点和碳市场的健康和可持续发展。</w:t>
      </w:r>
    </w:p>
    <w:p>
      <w:pPr>
        <w:pStyle w:val="7"/>
        <w:shd w:val="clear"/>
        <w:rPr>
          <w:rFonts w:hint="eastAsia"/>
          <w:color w:val="auto"/>
          <w:sz w:val="32"/>
          <w:szCs w:val="32"/>
          <w:highlight w:val="none"/>
        </w:rPr>
      </w:pPr>
      <w:r>
        <w:rPr>
          <w:rFonts w:hint="eastAsia"/>
          <w:color w:val="auto"/>
          <w:sz w:val="32"/>
          <w:szCs w:val="32"/>
          <w:highlight w:val="none"/>
          <w:lang w:val="en-US" w:eastAsia="zh-CN"/>
        </w:rPr>
        <w:t>三、</w:t>
      </w:r>
      <w:r>
        <w:rPr>
          <w:rFonts w:hint="eastAsia"/>
          <w:color w:val="auto"/>
          <w:sz w:val="32"/>
          <w:szCs w:val="32"/>
          <w:highlight w:val="none"/>
        </w:rPr>
        <w:t>着力优化产业结构</w:t>
      </w:r>
    </w:p>
    <w:p>
      <w:pPr>
        <w:pStyle w:val="2"/>
        <w:shd w:val="clear"/>
        <w:rPr>
          <w:rFonts w:hint="eastAsia"/>
          <w:color w:val="auto"/>
          <w:highlight w:val="none"/>
          <w:lang w:val="en-US" w:eastAsia="zh-CN"/>
        </w:rPr>
      </w:pPr>
      <w:r>
        <w:rPr>
          <w:rFonts w:hint="eastAsia"/>
          <w:color w:val="auto"/>
          <w:highlight w:val="none"/>
        </w:rPr>
        <w:t>以供给侧结构性改革为导向，持续优化产业结构。逐步淘汰较为落后高耗能行业</w:t>
      </w:r>
      <w:r>
        <w:rPr>
          <w:rFonts w:hint="eastAsia"/>
          <w:color w:val="auto"/>
          <w:highlight w:val="none"/>
          <w:lang w:eastAsia="zh-CN"/>
        </w:rPr>
        <w:t>，</w:t>
      </w:r>
      <w:r>
        <w:rPr>
          <w:rFonts w:hint="eastAsia"/>
          <w:color w:val="auto"/>
          <w:highlight w:val="none"/>
        </w:rPr>
        <w:t>加强</w:t>
      </w:r>
      <w:r>
        <w:rPr>
          <w:rFonts w:hint="eastAsia"/>
          <w:color w:val="auto"/>
          <w:highlight w:val="none"/>
          <w:lang w:val="en-US" w:eastAsia="zh-CN"/>
        </w:rPr>
        <w:t>连平</w:t>
      </w:r>
      <w:r>
        <w:rPr>
          <w:rFonts w:hint="eastAsia"/>
          <w:color w:val="auto"/>
          <w:highlight w:val="none"/>
        </w:rPr>
        <w:t>企业准入审核，提高能耗、环保等准入门槛，控制高耗能行业产能扩张，同时推动先进装备制造、能源电力和新材料等新兴产业建设。</w:t>
      </w:r>
    </w:p>
    <w:p>
      <w:pPr>
        <w:pStyle w:val="7"/>
        <w:shd w:val="clear"/>
        <w:rPr>
          <w:rFonts w:hint="eastAsia"/>
          <w:color w:val="auto"/>
          <w:sz w:val="32"/>
          <w:szCs w:val="32"/>
          <w:highlight w:val="none"/>
          <w:lang w:val="en-US" w:eastAsia="zh-CN"/>
        </w:rPr>
      </w:pPr>
      <w:r>
        <w:rPr>
          <w:rFonts w:hint="eastAsia"/>
          <w:color w:val="auto"/>
          <w:sz w:val="32"/>
          <w:szCs w:val="32"/>
          <w:highlight w:val="none"/>
          <w:lang w:val="en-US" w:eastAsia="zh-CN"/>
        </w:rPr>
        <w:t>四、大力开展建筑节能</w:t>
      </w:r>
    </w:p>
    <w:p>
      <w:pPr>
        <w:pStyle w:val="2"/>
        <w:shd w:val="clear"/>
        <w:rPr>
          <w:rFonts w:hint="eastAsia"/>
          <w:color w:val="auto"/>
          <w:highlight w:val="none"/>
          <w:lang w:val="en-US" w:eastAsia="zh-CN"/>
        </w:rPr>
      </w:pPr>
      <w:r>
        <w:rPr>
          <w:rFonts w:hint="eastAsia"/>
          <w:color w:val="auto"/>
          <w:highlight w:val="none"/>
          <w:lang w:val="en-US" w:eastAsia="zh-CN"/>
        </w:rPr>
        <w:t>加强对建筑节能实施过程中的监管力度，完善建筑节能监管体制，健全节能改造技术标准，加大对绿色建筑标识评价的指导监督力度，推动绿色建材评价体系建立，完善绿色建材用于绿色建筑的相关标准，健全新建建筑在规划、设计、施工、竣工验收等环节的节能监管机制。</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五、推进煤炭清洁高效利用</w:t>
      </w:r>
    </w:p>
    <w:p>
      <w:pPr>
        <w:shd w:val="clear"/>
        <w:rPr>
          <w:rFonts w:hint="eastAsia"/>
          <w:color w:val="auto"/>
          <w:highlight w:val="none"/>
          <w:lang w:val="en-US" w:eastAsia="zh-CN"/>
        </w:rPr>
      </w:pPr>
      <w:r>
        <w:rPr>
          <w:rFonts w:hint="eastAsia"/>
          <w:color w:val="auto"/>
          <w:highlight w:val="none"/>
          <w:lang w:val="en-US" w:eastAsia="zh-CN"/>
        </w:rPr>
        <w:t>全面实施燃煤电厂超低排放和节能改造，新建煤电机组达到超低排放要求，鼓励煤电机组在国家规定的超低排放基础上进一步采取措施，将烟尘排放浓度降低到5毫克/立方米以下，对落后产能和不符合相关强制性标准的燃煤机组实施淘汰关停。全面整治分散燃煤锅炉，实施燃煤锅炉节能环保综合提升工程。</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六、加强能源需求侧管理</w:t>
      </w:r>
    </w:p>
    <w:p>
      <w:pPr>
        <w:shd w:val="clear"/>
        <w:rPr>
          <w:rFonts w:hint="eastAsia"/>
          <w:color w:val="auto"/>
          <w:highlight w:val="none"/>
          <w:lang w:val="en-US" w:eastAsia="zh-CN"/>
        </w:rPr>
      </w:pPr>
      <w:r>
        <w:rPr>
          <w:rFonts w:hint="eastAsia"/>
          <w:color w:val="auto"/>
          <w:highlight w:val="none"/>
          <w:lang w:val="en-US" w:eastAsia="zh-CN"/>
        </w:rPr>
        <w:t>创新能源发展模式和商业模式，推进合同能源管理、需求侧管理等市场化机制。鼓励用户利用各种有效的节能技术，改变能源需求方式，积极实施电能替代工程。贯彻落实省、市有关推进电力直接交易、加快电力市场建设、推进售电侧改革试点等政策措施，积极配合省、市完善天然气价格形成机制和管道燃气定价机制，降低企业用气价格。完善需求侧管理价格机制，建立峰谷、阶梯价格，吸引用户主动减少高峰用电，组织实施需求响应。推广节能型生产方式、消费方式和生活方式，把节约能源资源理念贯穿于生产、流通和消费的各个环节，引导全社会科学用能。</w:t>
      </w:r>
    </w:p>
    <w:p>
      <w:pPr>
        <w:pStyle w:val="6"/>
        <w:shd w:val="clear"/>
        <w:bidi w:val="0"/>
        <w:rPr>
          <w:rFonts w:hint="eastAsia"/>
          <w:color w:val="auto"/>
          <w:highlight w:val="none"/>
          <w:lang w:val="en-US" w:eastAsia="zh-CN"/>
        </w:rPr>
      </w:pPr>
      <w:bookmarkStart w:id="86" w:name="_Toc21081"/>
      <w:bookmarkStart w:id="87" w:name="_Toc10573"/>
      <w:bookmarkStart w:id="88" w:name="_Toc14344"/>
      <w:bookmarkStart w:id="89" w:name="_Toc5810"/>
      <w:bookmarkStart w:id="90" w:name="_Toc10166"/>
      <w:bookmarkStart w:id="91" w:name="_Toc31379"/>
      <w:r>
        <w:rPr>
          <w:rFonts w:hint="eastAsia"/>
          <w:color w:val="auto"/>
          <w:highlight w:val="none"/>
          <w:lang w:val="en-US" w:eastAsia="zh-CN"/>
        </w:rPr>
        <w:t>第五节 增强能源运输储备能力</w:t>
      </w:r>
      <w:bookmarkEnd w:id="86"/>
      <w:bookmarkEnd w:id="87"/>
      <w:bookmarkEnd w:id="88"/>
      <w:bookmarkEnd w:id="89"/>
      <w:bookmarkEnd w:id="90"/>
      <w:bookmarkEnd w:id="91"/>
    </w:p>
    <w:p>
      <w:pPr>
        <w:shd w:val="clear"/>
        <w:rPr>
          <w:rFonts w:hint="eastAsia"/>
          <w:color w:val="auto"/>
          <w:highlight w:val="none"/>
          <w:lang w:val="en-US" w:eastAsia="zh-CN"/>
        </w:rPr>
      </w:pPr>
      <w:r>
        <w:rPr>
          <w:rFonts w:hint="eastAsia"/>
          <w:color w:val="auto"/>
          <w:highlight w:val="none"/>
          <w:lang w:val="en-US" w:eastAsia="zh-CN"/>
        </w:rPr>
        <w:t>继续加强国内能源合作，重点推进与央企、民营等各类大型能源集团公司的合作，拓展能源供应渠道和发展空间，解决能源供应制约问题，打造区域能源中转储运中心。</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一、油气储运方面</w:t>
      </w:r>
    </w:p>
    <w:p>
      <w:pPr>
        <w:shd w:val="clear"/>
        <w:rPr>
          <w:rFonts w:hint="eastAsia"/>
          <w:color w:val="auto"/>
          <w:highlight w:val="none"/>
          <w:lang w:val="en-US" w:eastAsia="zh-CN"/>
        </w:rPr>
      </w:pPr>
      <w:r>
        <w:rPr>
          <w:rFonts w:hint="eastAsia"/>
          <w:color w:val="auto"/>
          <w:highlight w:val="none"/>
          <w:lang w:val="en-US" w:eastAsia="zh-CN"/>
        </w:rPr>
        <w:t>按照《广东省油气主干管规划》要求，遵循全省油气管网各一张网的原则，进一步配合河源市做好省成品油管道、天然气管道建设工作。完善我县油站设施布局，规划新建一批加油站，满足本地用油需求。积极推进连平县燃气专项规划编制工作，加快建设连平门站，逐步推进元善镇、忠信镇、隆街镇等中心镇市政主干燃气管道建设，以点带面尽快实现县城全面使用管道天然气。完善储气服务市场，加快储气库项目建设，同时建立天然气发展综合协调和供需预测预警机制。推进连平县三角生态工业园区LNG储配站及连平县LNG储配站建设，合计新增储罐容量4×100立方米，LNG储气能力400立方米。</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二、煤炭储运方面</w:t>
      </w:r>
    </w:p>
    <w:p>
      <w:pPr>
        <w:shd w:val="clear"/>
        <w:rPr>
          <w:rFonts w:hint="eastAsia"/>
          <w:color w:val="auto"/>
          <w:highlight w:val="none"/>
          <w:lang w:val="en-US" w:eastAsia="zh-CN"/>
        </w:rPr>
      </w:pPr>
      <w:r>
        <w:rPr>
          <w:rFonts w:hint="eastAsia"/>
          <w:color w:val="auto"/>
          <w:highlight w:val="none"/>
          <w:lang w:val="en-US" w:eastAsia="zh-CN"/>
        </w:rPr>
        <w:t>配合建设煤炭接收与中转储备梯级系统，建设铁路、公路等中转和调运系统，提高我县煤炭接卸转运能力。</w:t>
      </w:r>
    </w:p>
    <w:p>
      <w:pPr>
        <w:pStyle w:val="6"/>
        <w:shd w:val="clear"/>
        <w:bidi w:val="0"/>
        <w:rPr>
          <w:rFonts w:hint="eastAsia"/>
          <w:color w:val="auto"/>
          <w:highlight w:val="none"/>
          <w:lang w:val="en-US" w:eastAsia="zh-CN"/>
        </w:rPr>
      </w:pPr>
      <w:bookmarkStart w:id="92" w:name="_Toc32689"/>
      <w:bookmarkStart w:id="93" w:name="_Toc12060"/>
      <w:bookmarkStart w:id="94" w:name="_Toc6200"/>
      <w:bookmarkStart w:id="95" w:name="_Toc18402"/>
      <w:bookmarkStart w:id="96" w:name="_Toc14738"/>
      <w:bookmarkStart w:id="97" w:name="_Toc25895"/>
      <w:r>
        <w:rPr>
          <w:rFonts w:hint="eastAsia"/>
          <w:color w:val="auto"/>
          <w:highlight w:val="none"/>
          <w:lang w:val="en-US" w:eastAsia="zh-CN"/>
        </w:rPr>
        <w:t>第六节 推进能源科技创新发展</w:t>
      </w:r>
      <w:bookmarkEnd w:id="92"/>
      <w:bookmarkEnd w:id="93"/>
      <w:bookmarkEnd w:id="94"/>
      <w:bookmarkEnd w:id="95"/>
      <w:bookmarkEnd w:id="96"/>
      <w:bookmarkEnd w:id="97"/>
    </w:p>
    <w:p>
      <w:pPr>
        <w:shd w:val="clear"/>
        <w:rPr>
          <w:rFonts w:hint="eastAsia"/>
          <w:color w:val="auto"/>
          <w:highlight w:val="none"/>
          <w:lang w:val="en-US" w:eastAsia="zh-CN"/>
        </w:rPr>
      </w:pPr>
      <w:r>
        <w:rPr>
          <w:rFonts w:hint="eastAsia"/>
          <w:color w:val="auto"/>
          <w:highlight w:val="none"/>
          <w:lang w:val="en-US" w:eastAsia="zh-CN"/>
        </w:rPr>
        <w:t>以河源市创建全省低碳示范城市为契机，发挥政府资金引导作用，加强新能源核心技术研发和产品创新，搭建能源科技创新合作平台，促进能源产业健康发展。</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一、风电装备制造</w:t>
      </w:r>
    </w:p>
    <w:p>
      <w:pPr>
        <w:shd w:val="clear"/>
        <w:rPr>
          <w:rFonts w:hint="eastAsia"/>
          <w:color w:val="auto"/>
          <w:highlight w:val="none"/>
          <w:lang w:val="en-US" w:eastAsia="zh-CN"/>
        </w:rPr>
      </w:pPr>
      <w:r>
        <w:rPr>
          <w:rFonts w:hint="eastAsia"/>
          <w:color w:val="auto"/>
          <w:highlight w:val="none"/>
          <w:lang w:val="en-US" w:eastAsia="zh-CN"/>
        </w:rPr>
        <w:t>紧紧围绕风电产业加快发展的需求，积极引进一批具有整机设备及关键零部件制造能力的企业，重点发展风电整机制造，积极发展关键零部件研发与制造，推进风电技术开发及配套产业发展，集聚发展一批具有较强竞争力的风电装备企业，逐渐形成整机与关键部件基本配套、协调发展的风电产业结构。</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二、太阳能应用产业</w:t>
      </w:r>
    </w:p>
    <w:p>
      <w:pPr>
        <w:shd w:val="clear"/>
        <w:rPr>
          <w:rFonts w:hint="eastAsia"/>
          <w:color w:val="auto"/>
          <w:highlight w:val="none"/>
          <w:lang w:val="en-US" w:eastAsia="zh-CN"/>
        </w:rPr>
      </w:pPr>
      <w:r>
        <w:rPr>
          <w:rFonts w:hint="eastAsia"/>
          <w:color w:val="auto"/>
          <w:highlight w:val="none"/>
          <w:lang w:val="en-US" w:eastAsia="zh-CN"/>
        </w:rPr>
        <w:t>加快研发、设计、检测等公共科技创新平台建设，吸引高校、科研机构、大型企业来我县建立分支机构，开展光热利用重大装备研究及产业化，积极发展多样化的太阳能热利用技术及产品，培育一批太阳能应用骨干企业。</w:t>
      </w:r>
    </w:p>
    <w:p>
      <w:pPr>
        <w:pStyle w:val="7"/>
        <w:shd w:val="clear"/>
        <w:bidi w:val="0"/>
        <w:rPr>
          <w:rFonts w:hint="eastAsia"/>
          <w:color w:val="auto"/>
          <w:sz w:val="32"/>
          <w:szCs w:val="32"/>
          <w:highlight w:val="none"/>
          <w:lang w:val="en-US" w:eastAsia="zh-CN"/>
        </w:rPr>
      </w:pPr>
      <w:r>
        <w:rPr>
          <w:rFonts w:hint="eastAsia"/>
          <w:color w:val="auto"/>
          <w:sz w:val="32"/>
          <w:szCs w:val="32"/>
          <w:highlight w:val="none"/>
          <w:lang w:val="en-US" w:eastAsia="zh-CN"/>
        </w:rPr>
        <w:t>三、新能源汽车产业</w:t>
      </w:r>
    </w:p>
    <w:p>
      <w:pPr>
        <w:shd w:val="clear"/>
        <w:rPr>
          <w:rFonts w:hint="eastAsia"/>
          <w:color w:val="auto"/>
          <w:highlight w:val="none"/>
          <w:lang w:val="en-US" w:eastAsia="zh-CN"/>
        </w:rPr>
      </w:pPr>
      <w:r>
        <w:rPr>
          <w:rFonts w:hint="eastAsia"/>
          <w:color w:val="auto"/>
          <w:highlight w:val="none"/>
          <w:lang w:val="en-US" w:eastAsia="zh-CN"/>
        </w:rPr>
        <w:t>搭建新能源汽车研发平台，有序推动新能源汽车关键技术研发，推进整车控制系统、车载能源系统、驱动系统等三大关键系统的研发，支持新能源汽车企业发展，加快形成新能源汽车产业链。</w:t>
      </w:r>
    </w:p>
    <w:p>
      <w:pPr>
        <w:pStyle w:val="7"/>
        <w:shd w:val="clear"/>
        <w:rPr>
          <w:rFonts w:hint="eastAsia"/>
          <w:color w:val="auto"/>
          <w:sz w:val="32"/>
          <w:szCs w:val="32"/>
          <w:highlight w:val="none"/>
          <w:lang w:val="en-US" w:eastAsia="zh-CN"/>
        </w:rPr>
      </w:pPr>
      <w:r>
        <w:rPr>
          <w:rFonts w:hint="eastAsia"/>
          <w:color w:val="auto"/>
          <w:sz w:val="32"/>
          <w:szCs w:val="32"/>
          <w:highlight w:val="none"/>
          <w:lang w:val="en-US" w:eastAsia="zh-CN"/>
        </w:rPr>
        <w:t>四、“互联网+”智慧能源</w:t>
      </w:r>
    </w:p>
    <w:p>
      <w:pPr>
        <w:pStyle w:val="2"/>
        <w:shd w:val="clear"/>
        <w:rPr>
          <w:rFonts w:hint="eastAsia"/>
          <w:color w:val="auto"/>
          <w:highlight w:val="none"/>
          <w:lang w:val="en-US" w:eastAsia="zh-CN"/>
        </w:rPr>
      </w:pPr>
      <w:r>
        <w:rPr>
          <w:rFonts w:hint="eastAsia"/>
          <w:color w:val="auto"/>
          <w:sz w:val="30"/>
          <w:szCs w:val="30"/>
          <w:highlight w:val="none"/>
          <w:lang w:val="en-US" w:eastAsia="zh-CN"/>
        </w:rPr>
        <w:t>加强能源互联网基础设施建设，从推进能源生产智能化、建设分布式能源网络和发展基于能源互联网的新业态三个方面全面建设“互联网+”智慧能源。推动可再生能源生产、化石能源生产清洁高效发展、集中式与分布式储能及能源消费智能化发展，加强能源网络建设，推动能源与信息通信基础设施深度融合，发展智能用能、绿色用能新模式。</w:t>
      </w:r>
    </w:p>
    <w:p>
      <w:pPr>
        <w:pStyle w:val="6"/>
        <w:shd w:val="clear"/>
        <w:bidi w:val="0"/>
        <w:rPr>
          <w:rFonts w:hint="eastAsia"/>
          <w:color w:val="auto"/>
          <w:highlight w:val="none"/>
          <w:lang w:val="en-US" w:eastAsia="zh-CN"/>
        </w:rPr>
      </w:pPr>
      <w:bookmarkStart w:id="98" w:name="_Toc26670"/>
      <w:bookmarkStart w:id="99" w:name="_Toc902"/>
      <w:bookmarkStart w:id="100" w:name="_Toc28146"/>
      <w:bookmarkStart w:id="101" w:name="_Toc26685"/>
      <w:bookmarkStart w:id="102" w:name="_Toc16128"/>
      <w:bookmarkStart w:id="103" w:name="_Toc19908"/>
      <w:r>
        <w:rPr>
          <w:rFonts w:hint="eastAsia"/>
          <w:color w:val="auto"/>
          <w:highlight w:val="none"/>
          <w:lang w:val="en-US" w:eastAsia="zh-CN"/>
        </w:rPr>
        <w:t>第七节 建设环保清洁、绿色低碳电源</w:t>
      </w:r>
      <w:bookmarkEnd w:id="98"/>
      <w:bookmarkEnd w:id="99"/>
      <w:bookmarkEnd w:id="100"/>
      <w:bookmarkEnd w:id="101"/>
      <w:bookmarkEnd w:id="102"/>
      <w:bookmarkEnd w:id="103"/>
    </w:p>
    <w:p>
      <w:pPr>
        <w:shd w:val="clear"/>
        <w:rPr>
          <w:rFonts w:hint="eastAsia"/>
          <w:color w:val="auto"/>
          <w:highlight w:val="none"/>
          <w:lang w:val="en-US" w:eastAsia="zh-CN"/>
        </w:rPr>
      </w:pPr>
      <w:r>
        <w:rPr>
          <w:rFonts w:hint="eastAsia"/>
          <w:color w:val="auto"/>
          <w:highlight w:val="none"/>
          <w:lang w:val="en-US" w:eastAsia="zh-CN"/>
        </w:rPr>
        <w:t>按照“总量控制、高效低碳”的原则，科学规划发展大型煤电，适度有序发展气电、风电、水电等，建成以煤电为主，其他发电方式为辅的电源支撑体系。加快现有机组节能减排改造，大力推进洁净煤发电技术，加强煤炭运输、存储、加工、燃烧、排放等各个环节的清洁管理，重点推进配套脱硫和脱硝装置建设。根据天然气供应能力，在具备条件的工业园区试点建设热电联产项目，并逐步推广到其他工（产）业园区。拓展天然气应用领域和空间，实现元善镇、忠信镇、隆街镇等中心镇镇区管道天然气供应，并逐步推广到其他乡镇。有序推进气电、风电、水电等项目建设，提高清洁能源发电比例。</w:t>
      </w:r>
    </w:p>
    <w:p>
      <w:pPr>
        <w:pStyle w:val="5"/>
        <w:shd w:val="clear"/>
        <w:bidi w:val="0"/>
        <w:rPr>
          <w:rFonts w:hint="eastAsia"/>
          <w:color w:val="auto"/>
          <w:highlight w:val="none"/>
          <w:lang w:val="en-US" w:eastAsia="zh-CN"/>
        </w:rPr>
      </w:pPr>
      <w:bookmarkStart w:id="104" w:name="_Toc8179"/>
      <w:bookmarkStart w:id="105" w:name="_Toc16973"/>
      <w:bookmarkStart w:id="106" w:name="_Toc10597"/>
      <w:bookmarkStart w:id="107" w:name="_Toc22185"/>
      <w:bookmarkStart w:id="108" w:name="_Toc28464"/>
      <w:bookmarkStart w:id="109" w:name="_Toc19122"/>
      <w:r>
        <w:rPr>
          <w:rFonts w:hint="eastAsia"/>
          <w:color w:val="auto"/>
          <w:highlight w:val="none"/>
          <w:lang w:val="en-US" w:eastAsia="zh-CN"/>
        </w:rPr>
        <w:t>第四章 保障措施</w:t>
      </w:r>
      <w:bookmarkEnd w:id="104"/>
      <w:bookmarkEnd w:id="105"/>
      <w:bookmarkEnd w:id="106"/>
      <w:bookmarkEnd w:id="107"/>
      <w:bookmarkEnd w:id="108"/>
      <w:bookmarkEnd w:id="109"/>
    </w:p>
    <w:p>
      <w:pPr>
        <w:pStyle w:val="6"/>
        <w:shd w:val="clear"/>
        <w:bidi w:val="0"/>
        <w:rPr>
          <w:rFonts w:hint="default"/>
          <w:color w:val="auto"/>
          <w:highlight w:val="none"/>
          <w:lang w:val="en-US" w:eastAsia="zh-CN"/>
        </w:rPr>
      </w:pPr>
      <w:bookmarkStart w:id="110" w:name="_Toc31672"/>
      <w:bookmarkStart w:id="111" w:name="_Toc2624"/>
      <w:bookmarkStart w:id="112" w:name="_Toc7566"/>
      <w:bookmarkStart w:id="113" w:name="_Toc14229"/>
      <w:bookmarkStart w:id="114" w:name="_Toc24475"/>
      <w:bookmarkStart w:id="115" w:name="_Toc20965"/>
      <w:r>
        <w:rPr>
          <w:rFonts w:hint="eastAsia"/>
          <w:color w:val="auto"/>
          <w:highlight w:val="none"/>
          <w:lang w:val="en-US" w:eastAsia="zh-CN"/>
        </w:rPr>
        <w:t xml:space="preserve">第一节 </w:t>
      </w:r>
      <w:r>
        <w:rPr>
          <w:rFonts w:hint="default"/>
          <w:color w:val="auto"/>
          <w:highlight w:val="none"/>
          <w:lang w:val="en-US" w:eastAsia="zh-CN"/>
        </w:rPr>
        <w:t>强化规划指导衔接</w:t>
      </w:r>
      <w:bookmarkEnd w:id="110"/>
      <w:bookmarkEnd w:id="111"/>
      <w:bookmarkEnd w:id="112"/>
      <w:bookmarkEnd w:id="113"/>
      <w:bookmarkEnd w:id="114"/>
      <w:bookmarkEnd w:id="115"/>
    </w:p>
    <w:p>
      <w:pPr>
        <w:shd w:val="clear"/>
        <w:rPr>
          <w:rFonts w:hint="default"/>
          <w:color w:val="auto"/>
          <w:highlight w:val="none"/>
          <w:lang w:val="en-US" w:eastAsia="zh-CN"/>
        </w:rPr>
      </w:pPr>
      <w:r>
        <w:rPr>
          <w:rFonts w:hint="eastAsia"/>
          <w:color w:val="auto"/>
          <w:highlight w:val="none"/>
          <w:lang w:val="en-US" w:eastAsia="zh-CN"/>
        </w:rPr>
        <w:t>加强省、市能源发展规划对我县能源改革发展的指导地位，贯彻落实省、市能源发展规划的要求和任务，确保各项指标衔接。发挥规划对能源发展的引导调控作用，建立健全能源规划的实施、评估和调整机制，保证规划的调控和约束效力。加强与县住房和城乡建设局、县自然资源局、县林业局、河源市生态环境连平分局等部门沟通交流，将县能源发展规划重点建设项目纳入片区控制性详细规划、国土空间总体规划等，保持各专项规划总体要求一致，资源配置和时序安排协调有序，确保规划任务有效落实。</w:t>
      </w:r>
    </w:p>
    <w:p>
      <w:pPr>
        <w:pStyle w:val="6"/>
        <w:shd w:val="clear"/>
        <w:bidi w:val="0"/>
        <w:rPr>
          <w:rFonts w:hint="default"/>
          <w:color w:val="auto"/>
          <w:highlight w:val="none"/>
          <w:lang w:val="en-US" w:eastAsia="zh-CN"/>
        </w:rPr>
      </w:pPr>
      <w:bookmarkStart w:id="116" w:name="_Toc17495"/>
      <w:bookmarkStart w:id="117" w:name="_Toc4243"/>
      <w:bookmarkStart w:id="118" w:name="_Toc310"/>
      <w:bookmarkStart w:id="119" w:name="_Toc27073"/>
      <w:bookmarkStart w:id="120" w:name="_Toc16123"/>
      <w:bookmarkStart w:id="121" w:name="_Toc28873"/>
      <w:r>
        <w:rPr>
          <w:rFonts w:hint="eastAsia"/>
          <w:color w:val="auto"/>
          <w:highlight w:val="none"/>
          <w:lang w:val="en-US" w:eastAsia="zh-CN"/>
        </w:rPr>
        <w:t>第二节 加强</w:t>
      </w:r>
      <w:r>
        <w:rPr>
          <w:rFonts w:hint="default"/>
          <w:color w:val="auto"/>
          <w:highlight w:val="none"/>
          <w:lang w:val="en-US" w:eastAsia="zh-CN"/>
        </w:rPr>
        <w:t>政策制度支持</w:t>
      </w:r>
      <w:bookmarkEnd w:id="116"/>
      <w:bookmarkEnd w:id="117"/>
      <w:bookmarkEnd w:id="118"/>
      <w:bookmarkEnd w:id="119"/>
      <w:bookmarkEnd w:id="120"/>
      <w:bookmarkEnd w:id="121"/>
    </w:p>
    <w:p>
      <w:pPr>
        <w:shd w:val="clear"/>
        <w:rPr>
          <w:rFonts w:hint="default"/>
          <w:color w:val="auto"/>
          <w:highlight w:val="none"/>
          <w:lang w:val="en-US" w:eastAsia="zh-CN"/>
        </w:rPr>
      </w:pPr>
      <w:r>
        <w:rPr>
          <w:rFonts w:hint="eastAsia"/>
          <w:color w:val="auto"/>
          <w:highlight w:val="none"/>
          <w:lang w:val="en-US" w:eastAsia="zh-CN"/>
        </w:rPr>
        <w:t>研究省、市推动能源发展重大政策制度文件，合理利用省、市关于进一步建立健全支持风电、太阳能等可再生能源发展，能源消费“双控”方案、煤电节能减排升级改造、工业园区和产业集聚区集中供热、天然气利用、新能源汽车充电网络建设、分布式能源发展、配电网改造升级、电能替代等的政策措施。完善财政和投资政策，鼓励通过技术创新降低清洁能源开发利用成本。加强政策储备、研究制定和协调落实，建立创新政策调查和评价制度，推动形成有效的政策预期和导向。加强资金、土地等要素对规划实施的保障作用。进一步落实支持能源发展的用地政策，科学调控土地供应，优化土地资源配置和空间布局，优先保证能源项目建设等方面的土地需求。引导银行金融机构加大对能源企业的信贷支持力度。</w:t>
      </w:r>
    </w:p>
    <w:p>
      <w:pPr>
        <w:pStyle w:val="6"/>
        <w:shd w:val="clear"/>
        <w:bidi w:val="0"/>
        <w:rPr>
          <w:rFonts w:hint="default"/>
          <w:color w:val="auto"/>
          <w:highlight w:val="none"/>
          <w:lang w:val="en-US" w:eastAsia="zh-CN"/>
        </w:rPr>
      </w:pPr>
      <w:bookmarkStart w:id="122" w:name="_Toc11464"/>
      <w:bookmarkStart w:id="123" w:name="_Toc1321"/>
      <w:bookmarkStart w:id="124" w:name="_Toc6921"/>
      <w:bookmarkStart w:id="125" w:name="_Toc8914"/>
      <w:bookmarkStart w:id="126" w:name="_Toc26735"/>
      <w:bookmarkStart w:id="127" w:name="_Toc4951"/>
      <w:r>
        <w:rPr>
          <w:rFonts w:hint="eastAsia"/>
          <w:color w:val="auto"/>
          <w:highlight w:val="none"/>
          <w:lang w:val="en-US" w:eastAsia="zh-CN"/>
        </w:rPr>
        <w:t xml:space="preserve">第三节 </w:t>
      </w:r>
      <w:r>
        <w:rPr>
          <w:rFonts w:hint="default"/>
          <w:color w:val="auto"/>
          <w:highlight w:val="none"/>
          <w:lang w:val="en-US" w:eastAsia="zh-CN"/>
        </w:rPr>
        <w:t>强化人才队伍建设</w:t>
      </w:r>
      <w:bookmarkEnd w:id="122"/>
      <w:bookmarkEnd w:id="123"/>
      <w:bookmarkEnd w:id="124"/>
      <w:bookmarkEnd w:id="125"/>
      <w:bookmarkEnd w:id="126"/>
      <w:bookmarkEnd w:id="127"/>
    </w:p>
    <w:p>
      <w:pPr>
        <w:shd w:val="clear"/>
        <w:rPr>
          <w:rFonts w:hint="default"/>
          <w:color w:val="auto"/>
          <w:highlight w:val="none"/>
          <w:lang w:val="en-US" w:eastAsia="zh-CN"/>
        </w:rPr>
      </w:pPr>
      <w:r>
        <w:rPr>
          <w:rFonts w:hint="eastAsia"/>
          <w:color w:val="auto"/>
          <w:highlight w:val="none"/>
          <w:lang w:val="en-US" w:eastAsia="zh-CN"/>
        </w:rPr>
        <w:t>全面提高我县能源发展人才队伍素质。实施能源发展党政人才能力提升、高技能人才培养和创新人才培养等工程。“十四五”期末，我县能源行业经营管理人才、行业专业人才和高技能人才数量稳步增长，培养一批具有一定影响力的优秀企业。积极联合研究机构、高校、企业、行业组织的权威专家，为我县能源发展提供决策咨询。</w:t>
      </w:r>
    </w:p>
    <w:p>
      <w:pPr>
        <w:pStyle w:val="6"/>
        <w:shd w:val="clear"/>
        <w:bidi w:val="0"/>
        <w:rPr>
          <w:rFonts w:hint="default"/>
          <w:color w:val="auto"/>
          <w:highlight w:val="none"/>
          <w:lang w:val="en-US" w:eastAsia="zh-CN"/>
        </w:rPr>
      </w:pPr>
      <w:bookmarkStart w:id="128" w:name="_Toc31969"/>
      <w:bookmarkStart w:id="129" w:name="_Toc229"/>
      <w:bookmarkStart w:id="130" w:name="_Toc14195"/>
      <w:bookmarkStart w:id="131" w:name="_Toc15730"/>
      <w:bookmarkStart w:id="132" w:name="_Toc30362"/>
      <w:bookmarkStart w:id="133" w:name="_Toc21397"/>
      <w:r>
        <w:rPr>
          <w:rFonts w:hint="eastAsia"/>
          <w:color w:val="auto"/>
          <w:highlight w:val="none"/>
          <w:lang w:val="en-US" w:eastAsia="zh-CN"/>
        </w:rPr>
        <w:t xml:space="preserve">第四节 </w:t>
      </w:r>
      <w:r>
        <w:rPr>
          <w:rFonts w:hint="default"/>
          <w:color w:val="auto"/>
          <w:highlight w:val="none"/>
          <w:lang w:val="en-US" w:eastAsia="zh-CN"/>
        </w:rPr>
        <w:t>强化任务推进落实</w:t>
      </w:r>
      <w:bookmarkEnd w:id="128"/>
      <w:bookmarkEnd w:id="129"/>
      <w:bookmarkEnd w:id="130"/>
      <w:bookmarkEnd w:id="131"/>
      <w:bookmarkEnd w:id="132"/>
      <w:bookmarkEnd w:id="133"/>
    </w:p>
    <w:p>
      <w:pPr>
        <w:shd w:val="clear"/>
        <w:rPr>
          <w:rFonts w:hint="default"/>
          <w:color w:val="auto"/>
          <w:highlight w:val="none"/>
          <w:lang w:val="en-US" w:eastAsia="zh-CN"/>
        </w:rPr>
      </w:pPr>
      <w:r>
        <w:rPr>
          <w:rFonts w:hint="eastAsia"/>
          <w:color w:val="auto"/>
          <w:highlight w:val="none"/>
          <w:lang w:val="en-US" w:eastAsia="zh-CN"/>
        </w:rPr>
        <w:t>健全项目实施机制，制定年度实施计划，统筹推进各项能源项目建设，确保能源储运安全。深化重大项目规划储备和前期论证，各部门统筹协调做好场址、管线、廊道预留和项目建设用地，解决各项能源项目建设和城市发展的矛盾，严格建设项目审查、核准和备案制度。积极探索新能源领域股权、债权融资模式，促进可再生能源项目建设。</w:t>
      </w:r>
    </w:p>
    <w:p>
      <w:pPr>
        <w:pStyle w:val="6"/>
        <w:shd w:val="clear"/>
        <w:bidi w:val="0"/>
        <w:rPr>
          <w:rFonts w:hint="default"/>
          <w:color w:val="auto"/>
          <w:highlight w:val="none"/>
          <w:lang w:val="en-US" w:eastAsia="zh-CN"/>
        </w:rPr>
      </w:pPr>
      <w:bookmarkStart w:id="134" w:name="_Toc5332"/>
      <w:bookmarkStart w:id="135" w:name="_Toc30836"/>
      <w:bookmarkStart w:id="136" w:name="_Toc9826"/>
      <w:bookmarkStart w:id="137" w:name="_Toc18655"/>
      <w:bookmarkStart w:id="138" w:name="_Toc5126"/>
      <w:bookmarkStart w:id="139" w:name="_Toc32703"/>
      <w:r>
        <w:rPr>
          <w:rFonts w:hint="eastAsia"/>
          <w:color w:val="auto"/>
          <w:highlight w:val="none"/>
          <w:lang w:val="en-US" w:eastAsia="zh-CN"/>
        </w:rPr>
        <w:t>第五节 加强</w:t>
      </w:r>
      <w:r>
        <w:rPr>
          <w:rFonts w:hint="default"/>
          <w:color w:val="auto"/>
          <w:highlight w:val="none"/>
          <w:lang w:val="en-US" w:eastAsia="zh-CN"/>
        </w:rPr>
        <w:t>能源统计监测</w:t>
      </w:r>
      <w:bookmarkEnd w:id="134"/>
      <w:bookmarkEnd w:id="135"/>
      <w:bookmarkEnd w:id="136"/>
      <w:bookmarkEnd w:id="137"/>
      <w:bookmarkEnd w:id="138"/>
      <w:bookmarkEnd w:id="139"/>
    </w:p>
    <w:p>
      <w:pPr>
        <w:shd w:val="clear"/>
        <w:rPr>
          <w:rFonts w:hint="eastAsia"/>
          <w:color w:val="auto"/>
          <w:highlight w:val="none"/>
          <w:lang w:val="en-US" w:eastAsia="zh-CN"/>
        </w:rPr>
      </w:pPr>
      <w:r>
        <w:rPr>
          <w:rFonts w:hint="eastAsia"/>
          <w:color w:val="auto"/>
          <w:highlight w:val="none"/>
          <w:lang w:val="en-US" w:eastAsia="zh-CN"/>
        </w:rPr>
        <w:t>加强能源统计能力建设，完善能源统计体系，进一步完善重点用能领域能源消费及可再生能源利用统计制度。建立健全能源消费总量预测预警机制和信息发布制度，强化能源需求的分类检测管理和供应安全预报预警，形成能源的大数据共享平台，提高能源数据权威性。</w:t>
      </w:r>
    </w:p>
    <w:p>
      <w:pPr>
        <w:pStyle w:val="2"/>
        <w:rPr>
          <w:rFonts w:hint="eastAsia"/>
          <w:color w:val="auto"/>
          <w:highlight w:val="none"/>
          <w:lang w:val="en-US" w:eastAsia="zh-CN"/>
        </w:rPr>
      </w:pPr>
    </w:p>
    <w:p>
      <w:pPr>
        <w:rPr>
          <w:rFonts w:hint="eastAsia"/>
          <w:color w:val="auto"/>
          <w:lang w:val="en-US" w:eastAsia="zh-CN"/>
        </w:rPr>
      </w:pPr>
    </w:p>
    <w:p>
      <w:pPr>
        <w:shd w:val="clear"/>
        <w:rPr>
          <w:rFonts w:hint="default"/>
          <w:color w:val="auto"/>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5"/>
        <w:shd w:val="clear"/>
        <w:bidi w:val="0"/>
        <w:jc w:val="left"/>
        <w:rPr>
          <w:rFonts w:hint="eastAsia"/>
          <w:color w:val="auto"/>
          <w:highlight w:val="none"/>
          <w:lang w:val="en-US" w:eastAsia="zh-CN"/>
        </w:rPr>
      </w:pPr>
      <w:bookmarkStart w:id="140" w:name="_Toc18317"/>
      <w:bookmarkStart w:id="141" w:name="_Toc27589"/>
      <w:bookmarkStart w:id="142" w:name="_Toc3717"/>
      <w:bookmarkStart w:id="143" w:name="_Toc518"/>
      <w:bookmarkStart w:id="144" w:name="_Toc12895"/>
      <w:bookmarkStart w:id="145" w:name="_Toc3309"/>
      <w:r>
        <w:rPr>
          <w:rFonts w:hint="eastAsia"/>
          <w:color w:val="auto"/>
          <w:highlight w:val="none"/>
          <w:lang w:val="en-US" w:eastAsia="zh-CN"/>
        </w:rPr>
        <w:t>附表：重点项目建设表</w:t>
      </w:r>
      <w:bookmarkEnd w:id="140"/>
      <w:bookmarkEnd w:id="141"/>
      <w:bookmarkEnd w:id="142"/>
      <w:bookmarkEnd w:id="143"/>
      <w:bookmarkEnd w:id="144"/>
      <w:bookmarkEnd w:id="145"/>
    </w:p>
    <w:tbl>
      <w:tblPr>
        <w:tblStyle w:val="15"/>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3"/>
        <w:gridCol w:w="3170"/>
        <w:gridCol w:w="739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b/>
                <w:bCs/>
                <w:color w:val="auto"/>
                <w:kern w:val="0"/>
                <w:sz w:val="28"/>
                <w:szCs w:val="28"/>
                <w:highlight w:val="none"/>
              </w:rPr>
              <w:t>序号</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b/>
                <w:bCs/>
                <w:color w:val="auto"/>
                <w:kern w:val="0"/>
                <w:sz w:val="28"/>
                <w:szCs w:val="28"/>
                <w:highlight w:val="none"/>
              </w:rPr>
              <w:t>项目名称</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b/>
                <w:bCs/>
                <w:color w:val="auto"/>
                <w:kern w:val="0"/>
                <w:sz w:val="28"/>
                <w:szCs w:val="28"/>
                <w:highlight w:val="none"/>
              </w:rPr>
              <w:t>建设内容和规模</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b/>
                <w:bCs/>
                <w:color w:val="auto"/>
                <w:kern w:val="0"/>
                <w:sz w:val="28"/>
                <w:szCs w:val="28"/>
                <w:highlight w:val="none"/>
              </w:rPr>
              <w:t>建设起止年限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1</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河源连平110千伏鹰嘴输变电工程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在连平县新建鹰嘴输变电工程，最终主变容量3×40MVA，本期主变容量1×40MVA；110kV最终出线4回，本期出线4回，即新建鹰嘴站至九连山站双回线路，导线截面采用300mm</w:t>
            </w:r>
            <w:r>
              <w:rPr>
                <w:rFonts w:hint="default" w:ascii="Times New Roman" w:hAnsi="Times New Roman" w:eastAsia="仿宋" w:cs="Times New Roman"/>
                <w:b w:val="0"/>
                <w:bCs w:val="0"/>
                <w:color w:val="auto"/>
                <w:kern w:val="0"/>
                <w:sz w:val="28"/>
                <w:szCs w:val="28"/>
                <w:highlight w:val="none"/>
                <w:vertAlign w:val="superscript"/>
              </w:rPr>
              <w:t>2</w:t>
            </w:r>
            <w:r>
              <w:rPr>
                <w:rFonts w:hint="default" w:ascii="Times New Roman" w:hAnsi="Times New Roman" w:eastAsia="仿宋" w:cs="Times New Roman"/>
                <w:b w:val="0"/>
                <w:bCs w:val="0"/>
                <w:color w:val="auto"/>
                <w:kern w:val="0"/>
                <w:sz w:val="28"/>
                <w:szCs w:val="28"/>
                <w:highlight w:val="none"/>
              </w:rPr>
              <w:t>，双回线路长约30.4</w:t>
            </w:r>
            <w:r>
              <w:rPr>
                <w:rFonts w:hint="default" w:ascii="Times New Roman" w:hAnsi="Times New Roman" w:cs="Times New Roman"/>
                <w:b w:val="0"/>
                <w:bCs w:val="0"/>
                <w:color w:val="auto"/>
                <w:kern w:val="0"/>
                <w:sz w:val="28"/>
                <w:szCs w:val="28"/>
                <w:highlight w:val="none"/>
                <w:lang w:val="en-US" w:eastAsia="zh-CN"/>
              </w:rPr>
              <w:t>公里</w:t>
            </w:r>
            <w:r>
              <w:rPr>
                <w:rFonts w:hint="default" w:ascii="Times New Roman" w:hAnsi="Times New Roman" w:eastAsia="仿宋" w:cs="Times New Roman"/>
                <w:b w:val="0"/>
                <w:bCs w:val="0"/>
                <w:color w:val="auto"/>
                <w:kern w:val="0"/>
                <w:sz w:val="28"/>
                <w:szCs w:val="28"/>
                <w:highlight w:val="none"/>
              </w:rPr>
              <w:t>；新建鹰嘴站至浰源站双回线路，导线截面采用300mm</w:t>
            </w:r>
            <w:r>
              <w:rPr>
                <w:rFonts w:hint="default" w:ascii="Times New Roman" w:hAnsi="Times New Roman" w:eastAsia="仿宋" w:cs="Times New Roman"/>
                <w:b w:val="0"/>
                <w:bCs w:val="0"/>
                <w:color w:val="auto"/>
                <w:kern w:val="0"/>
                <w:sz w:val="28"/>
                <w:szCs w:val="28"/>
                <w:highlight w:val="none"/>
                <w:vertAlign w:val="superscript"/>
              </w:rPr>
              <w:t>2</w:t>
            </w:r>
            <w:r>
              <w:rPr>
                <w:rFonts w:hint="default" w:ascii="Times New Roman" w:hAnsi="Times New Roman" w:eastAsia="仿宋" w:cs="Times New Roman"/>
                <w:b w:val="0"/>
                <w:bCs w:val="0"/>
                <w:color w:val="auto"/>
                <w:kern w:val="0"/>
                <w:sz w:val="28"/>
                <w:szCs w:val="28"/>
                <w:highlight w:val="none"/>
              </w:rPr>
              <w:t>，双回线路长约19.2</w:t>
            </w:r>
            <w:r>
              <w:rPr>
                <w:rFonts w:hint="default" w:ascii="Times New Roman" w:hAnsi="Times New Roman" w:cs="Times New Roman"/>
                <w:b w:val="0"/>
                <w:bCs w:val="0"/>
                <w:color w:val="auto"/>
                <w:kern w:val="0"/>
                <w:sz w:val="28"/>
                <w:szCs w:val="28"/>
                <w:highlight w:val="none"/>
                <w:lang w:val="en-US" w:eastAsia="zh-CN"/>
              </w:rPr>
              <w:t>公里。</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2023—2028年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河源连平110千伏文屋输变电工程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eastAsia="仿宋" w:cs="Times New Roman"/>
                <w:b w:val="0"/>
                <w:bCs w:val="0"/>
                <w:color w:val="auto"/>
                <w:kern w:val="0"/>
                <w:sz w:val="28"/>
                <w:szCs w:val="28"/>
                <w:highlight w:val="none"/>
                <w:lang w:eastAsia="zh-CN"/>
              </w:rPr>
            </w:pPr>
            <w:r>
              <w:rPr>
                <w:rFonts w:hint="default" w:ascii="Times New Roman" w:hAnsi="Times New Roman" w:eastAsia="仿宋" w:cs="Times New Roman"/>
                <w:b w:val="0"/>
                <w:bCs w:val="0"/>
                <w:color w:val="auto"/>
                <w:kern w:val="0"/>
                <w:sz w:val="28"/>
                <w:szCs w:val="28"/>
                <w:highlight w:val="none"/>
              </w:rPr>
              <w:t>在连平县新建文屋输变电工程，最终主变容量3×40MVA，本期主变容量1×40MVA；110kV最终出线4回，本期出线4回，即双解口110kV塔油甲乙线入本站，导线截面采用300mm</w:t>
            </w:r>
            <w:r>
              <w:rPr>
                <w:rFonts w:hint="default" w:ascii="Times New Roman" w:hAnsi="Times New Roman" w:eastAsia="仿宋" w:cs="Times New Roman"/>
                <w:b w:val="0"/>
                <w:bCs w:val="0"/>
                <w:color w:val="auto"/>
                <w:kern w:val="0"/>
                <w:sz w:val="28"/>
                <w:szCs w:val="28"/>
                <w:highlight w:val="none"/>
                <w:vertAlign w:val="superscript"/>
              </w:rPr>
              <w:t>2</w:t>
            </w:r>
            <w:r>
              <w:rPr>
                <w:rFonts w:hint="default" w:ascii="Times New Roman" w:hAnsi="Times New Roman" w:eastAsia="仿宋" w:cs="Times New Roman"/>
                <w:b w:val="0"/>
                <w:bCs w:val="0"/>
                <w:color w:val="auto"/>
                <w:kern w:val="0"/>
                <w:sz w:val="28"/>
                <w:szCs w:val="28"/>
                <w:highlight w:val="none"/>
              </w:rPr>
              <w:t>，双回线路长约2.5</w:t>
            </w:r>
            <w:r>
              <w:rPr>
                <w:rFonts w:hint="default" w:ascii="Times New Roman" w:hAnsi="Times New Roman" w:cs="Times New Roman"/>
                <w:b w:val="0"/>
                <w:bCs w:val="0"/>
                <w:color w:val="auto"/>
                <w:kern w:val="0"/>
                <w:sz w:val="28"/>
                <w:szCs w:val="28"/>
                <w:highlight w:val="none"/>
                <w:lang w:val="en-US" w:eastAsia="zh-CN"/>
              </w:rPr>
              <w:t>公里。</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2023—2027年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3</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河源连平35千伏九连输变电工程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在连平县新建九连输变电工程，最终主变容量2×8MVA，本期主变容量2×8MVA；35kV最终出线4回，本期出线2回，即解口35kV油溪至莲花线路入九连站，导线截面采用240mm</w:t>
            </w:r>
            <w:r>
              <w:rPr>
                <w:rFonts w:hint="default" w:ascii="Times New Roman" w:hAnsi="Times New Roman" w:eastAsia="仿宋" w:cs="Times New Roman"/>
                <w:b w:val="0"/>
                <w:bCs w:val="0"/>
                <w:color w:val="auto"/>
                <w:kern w:val="0"/>
                <w:sz w:val="28"/>
                <w:szCs w:val="28"/>
                <w:highlight w:val="none"/>
                <w:vertAlign w:val="superscript"/>
              </w:rPr>
              <w:t>2</w:t>
            </w:r>
            <w:r>
              <w:rPr>
                <w:rFonts w:hint="default" w:ascii="Times New Roman" w:hAnsi="Times New Roman" w:eastAsia="仿宋" w:cs="Times New Roman"/>
                <w:b w:val="0"/>
                <w:bCs w:val="0"/>
                <w:color w:val="auto"/>
                <w:kern w:val="0"/>
                <w:sz w:val="28"/>
                <w:szCs w:val="28"/>
                <w:highlight w:val="none"/>
              </w:rPr>
              <w:t>，长约1.7</w:t>
            </w:r>
            <w:r>
              <w:rPr>
                <w:rFonts w:hint="default" w:ascii="Times New Roman" w:hAnsi="Times New Roman" w:cs="Times New Roman"/>
                <w:b w:val="0"/>
                <w:bCs w:val="0"/>
                <w:color w:val="auto"/>
                <w:kern w:val="0"/>
                <w:sz w:val="28"/>
                <w:szCs w:val="28"/>
                <w:highlight w:val="none"/>
                <w:lang w:val="en-US" w:eastAsia="zh-CN"/>
              </w:rPr>
              <w:t>公里。</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2023—2027年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4</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120MW生物质热电联产机组项目</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项目总占地面积135000平方米，其中一期用地面积4.76公顷</w:t>
            </w:r>
            <w:r>
              <w:rPr>
                <w:rFonts w:hint="default" w:ascii="Times New Roman" w:hAnsi="Times New Roman" w:cs="Times New Roman"/>
                <w:color w:val="auto"/>
                <w:kern w:val="0"/>
                <w:sz w:val="28"/>
                <w:szCs w:val="28"/>
                <w:highlight w:val="none"/>
                <w:lang w:eastAsia="zh-CN"/>
              </w:rPr>
              <w:t>（</w:t>
            </w:r>
            <w:r>
              <w:rPr>
                <w:rFonts w:hint="default" w:ascii="Times New Roman" w:hAnsi="Times New Roman" w:cs="Times New Roman"/>
                <w:color w:val="auto"/>
                <w:kern w:val="0"/>
                <w:sz w:val="28"/>
                <w:szCs w:val="28"/>
                <w:highlight w:val="none"/>
              </w:rPr>
              <w:t>47645平方米</w:t>
            </w:r>
            <w:r>
              <w:rPr>
                <w:rFonts w:hint="default" w:ascii="Times New Roman" w:hAnsi="Times New Roman" w:cs="Times New Roman"/>
                <w:color w:val="auto"/>
                <w:kern w:val="0"/>
                <w:sz w:val="28"/>
                <w:szCs w:val="28"/>
                <w:highlight w:val="none"/>
                <w:lang w:eastAsia="zh-CN"/>
              </w:rPr>
              <w:t>）</w:t>
            </w:r>
            <w:r>
              <w:rPr>
                <w:rFonts w:hint="default" w:ascii="Times New Roman" w:hAnsi="Times New Roman" w:cs="Times New Roman"/>
                <w:color w:val="auto"/>
                <w:kern w:val="0"/>
                <w:sz w:val="28"/>
                <w:szCs w:val="28"/>
                <w:highlight w:val="none"/>
              </w:rPr>
              <w:t>，一期总建筑面积79900平方米。本项目建设4台130吨30VW的生物质热产机组，其中锅炉本体3600平方米、冷却塔2800平方米、汽轮发电机房7000平方米、烟肉1500平方米、升压站5000平方米、办公楼10000平方米、宿舍20000平方米、化水实验楼4000平方米、水泵房500平方米、燃料仓库25000平方米、专家楼500平方米、其他配套附属工程、设备设施一批。</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2022—2029年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5</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连平三角门站建设工程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建设1座连平三角门站（供气规模0.3亿立方米/年）及配套管网。</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2021—2024年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6</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连平县三角生态工业园区LNG储配站建设工程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新增储罐容量</w:t>
            </w:r>
            <w:r>
              <w:rPr>
                <w:rFonts w:hint="eastAsia" w:cs="Times New Roman"/>
                <w:color w:val="auto"/>
                <w:kern w:val="0"/>
                <w:sz w:val="28"/>
                <w:szCs w:val="28"/>
                <w:highlight w:val="none"/>
                <w:lang w:val="en-US" w:eastAsia="zh-CN"/>
              </w:rPr>
              <w:t>1</w:t>
            </w:r>
            <w:r>
              <w:rPr>
                <w:rFonts w:hint="default" w:ascii="Times New Roman" w:hAnsi="Times New Roman" w:cs="Times New Roman"/>
                <w:color w:val="auto"/>
                <w:kern w:val="0"/>
                <w:sz w:val="28"/>
                <w:szCs w:val="28"/>
                <w:highlight w:val="none"/>
              </w:rPr>
              <w:t>×100立方米，建设相关配套设施。</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7</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连平县LNG储配站建设工程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cs="Times New Roman"/>
                <w:color w:val="auto"/>
                <w:kern w:val="0"/>
                <w:sz w:val="28"/>
                <w:szCs w:val="28"/>
                <w:highlight w:val="none"/>
              </w:rPr>
              <w:t>新增储罐容量</w:t>
            </w:r>
            <w:r>
              <w:rPr>
                <w:rFonts w:hint="eastAsia" w:cs="Times New Roman"/>
                <w:color w:val="auto"/>
                <w:kern w:val="0"/>
                <w:sz w:val="28"/>
                <w:szCs w:val="28"/>
                <w:highlight w:val="none"/>
                <w:lang w:val="en-US" w:eastAsia="zh-CN"/>
              </w:rPr>
              <w:t>1</w:t>
            </w:r>
            <w:r>
              <w:rPr>
                <w:rFonts w:hint="default" w:ascii="Times New Roman" w:hAnsi="Times New Roman" w:cs="Times New Roman"/>
                <w:color w:val="auto"/>
                <w:kern w:val="0"/>
                <w:sz w:val="28"/>
                <w:szCs w:val="28"/>
                <w:highlight w:val="none"/>
              </w:rPr>
              <w:t>×100立方米</w:t>
            </w:r>
            <w:r>
              <w:rPr>
                <w:rFonts w:hint="default" w:ascii="Times New Roman" w:hAnsi="Times New Roman" w:cs="Times New Roman"/>
                <w:color w:val="auto"/>
                <w:kern w:val="0"/>
                <w:sz w:val="28"/>
                <w:szCs w:val="28"/>
                <w:highlight w:val="none"/>
                <w:lang w:eastAsia="zh-CN"/>
              </w:rPr>
              <w:t>。</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2021—202</w:t>
            </w:r>
            <w:r>
              <w:rPr>
                <w:rFonts w:hint="eastAsia" w:cs="Times New Roman"/>
                <w:b w:val="0"/>
                <w:bCs w:val="0"/>
                <w:color w:val="auto"/>
                <w:kern w:val="0"/>
                <w:sz w:val="28"/>
                <w:szCs w:val="28"/>
                <w:highlight w:val="none"/>
                <w:lang w:val="en-US" w:eastAsia="zh-CN"/>
              </w:rPr>
              <w:t>4</w:t>
            </w:r>
            <w:r>
              <w:rPr>
                <w:rFonts w:hint="default" w:ascii="Times New Roman" w:hAnsi="Times New Roman" w:cs="Times New Roman"/>
                <w:b w:val="0"/>
                <w:bCs w:val="0"/>
                <w:color w:val="auto"/>
                <w:kern w:val="0"/>
                <w:sz w:val="28"/>
                <w:szCs w:val="28"/>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8</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田源镇加油站</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建设加油站一座。</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Times New Roman" w:hAnsi="Times New Roman" w:cs="Times New Roman"/>
                <w:b w:val="0"/>
                <w:bCs w:val="0"/>
                <w:color w:val="auto"/>
                <w:kern w:val="0"/>
                <w:sz w:val="28"/>
                <w:szCs w:val="28"/>
                <w:highlight w:val="none"/>
                <w:lang w:val="en-US" w:eastAsia="zh-CN"/>
              </w:rPr>
            </w:pPr>
            <w:r>
              <w:rPr>
                <w:rFonts w:hint="default" w:ascii="Times New Roman" w:hAnsi="Times New Roman" w:cs="Times New Roman"/>
                <w:b w:val="0"/>
                <w:bCs w:val="0"/>
                <w:color w:val="auto"/>
                <w:kern w:val="0"/>
                <w:sz w:val="28"/>
                <w:szCs w:val="28"/>
                <w:highlight w:val="none"/>
                <w:lang w:val="en-US" w:eastAsia="zh-CN"/>
              </w:rPr>
              <w:t>2023—2025年</w:t>
            </w:r>
          </w:p>
        </w:tc>
      </w:tr>
    </w:tbl>
    <w:p>
      <w:pPr>
        <w:pStyle w:val="2"/>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hint="default"/>
          <w:color w:val="auto"/>
          <w:highlight w:val="none"/>
          <w:lang w:val="en-US" w:eastAsia="zh-CN"/>
        </w:rPr>
      </w:pPr>
      <w:r>
        <w:rPr>
          <w:rFonts w:hint="eastAsia"/>
          <w:b/>
          <w:bCs/>
          <w:color w:val="auto"/>
          <w:sz w:val="28"/>
          <w:szCs w:val="28"/>
          <w:highlight w:val="none"/>
          <w:lang w:val="en-US" w:eastAsia="zh-CN"/>
        </w:rPr>
        <w:t>说明：</w:t>
      </w:r>
      <w:r>
        <w:rPr>
          <w:rFonts w:hint="eastAsia"/>
          <w:color w:val="auto"/>
          <w:sz w:val="28"/>
          <w:szCs w:val="28"/>
          <w:highlight w:val="none"/>
          <w:lang w:val="en-US" w:eastAsia="zh-CN"/>
        </w:rPr>
        <w:t>重点项目是实施“十四五”能源发展规划的具体抓手和重要支撑。按照“四大发展原则”，积极推进一批能够带动全局、打好基础、事关连平长远发展的重点项目建设，为建设“现代连平，生态连平”提供坚实支撑。</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YzdmMGM2MjIyMjE2YzYzYmUxNWNmMDkwYmQxMDgifQ=="/>
  </w:docVars>
  <w:rsids>
    <w:rsidRoot w:val="00000000"/>
    <w:rsid w:val="01E345A5"/>
    <w:rsid w:val="039F5378"/>
    <w:rsid w:val="04561A95"/>
    <w:rsid w:val="04F55751"/>
    <w:rsid w:val="06A87D63"/>
    <w:rsid w:val="07784394"/>
    <w:rsid w:val="086D1565"/>
    <w:rsid w:val="08A95219"/>
    <w:rsid w:val="09C3197A"/>
    <w:rsid w:val="0B3618EF"/>
    <w:rsid w:val="0D431590"/>
    <w:rsid w:val="10762101"/>
    <w:rsid w:val="11297556"/>
    <w:rsid w:val="1178129C"/>
    <w:rsid w:val="11DA1594"/>
    <w:rsid w:val="14863CD0"/>
    <w:rsid w:val="15633D2C"/>
    <w:rsid w:val="179502BB"/>
    <w:rsid w:val="1881498A"/>
    <w:rsid w:val="1CC36BE5"/>
    <w:rsid w:val="1F1D6649"/>
    <w:rsid w:val="21BB4365"/>
    <w:rsid w:val="232269E0"/>
    <w:rsid w:val="23307C29"/>
    <w:rsid w:val="23362D65"/>
    <w:rsid w:val="24972BFD"/>
    <w:rsid w:val="262D006D"/>
    <w:rsid w:val="267F1974"/>
    <w:rsid w:val="29543F45"/>
    <w:rsid w:val="29C65D32"/>
    <w:rsid w:val="2DFC0754"/>
    <w:rsid w:val="2E0E0DB7"/>
    <w:rsid w:val="2E8C1069"/>
    <w:rsid w:val="2F8110AF"/>
    <w:rsid w:val="301E58A2"/>
    <w:rsid w:val="30DD1AAB"/>
    <w:rsid w:val="326235EB"/>
    <w:rsid w:val="34BD696D"/>
    <w:rsid w:val="3538467B"/>
    <w:rsid w:val="3558419C"/>
    <w:rsid w:val="358315F2"/>
    <w:rsid w:val="35D6134C"/>
    <w:rsid w:val="36C721FA"/>
    <w:rsid w:val="377F0D27"/>
    <w:rsid w:val="37B95FE7"/>
    <w:rsid w:val="38446C9B"/>
    <w:rsid w:val="3C9B72E9"/>
    <w:rsid w:val="3CAA4150"/>
    <w:rsid w:val="3CE1209A"/>
    <w:rsid w:val="3DA67448"/>
    <w:rsid w:val="410232CC"/>
    <w:rsid w:val="42D07B40"/>
    <w:rsid w:val="42EF4FB3"/>
    <w:rsid w:val="43931DE2"/>
    <w:rsid w:val="453D0D88"/>
    <w:rsid w:val="4898120C"/>
    <w:rsid w:val="4957007E"/>
    <w:rsid w:val="4A39682C"/>
    <w:rsid w:val="4A496B86"/>
    <w:rsid w:val="4CCF6C25"/>
    <w:rsid w:val="4D8C721E"/>
    <w:rsid w:val="4E744CB5"/>
    <w:rsid w:val="4EA714A8"/>
    <w:rsid w:val="516A1FF9"/>
    <w:rsid w:val="516F3FAF"/>
    <w:rsid w:val="52B21B59"/>
    <w:rsid w:val="54436F0C"/>
    <w:rsid w:val="54D9517B"/>
    <w:rsid w:val="550362C0"/>
    <w:rsid w:val="554E617E"/>
    <w:rsid w:val="55D517F2"/>
    <w:rsid w:val="581666E6"/>
    <w:rsid w:val="58756F5C"/>
    <w:rsid w:val="5AEB3ADD"/>
    <w:rsid w:val="5C9531C9"/>
    <w:rsid w:val="5DAB1D45"/>
    <w:rsid w:val="5DB51E09"/>
    <w:rsid w:val="5E7E2DBB"/>
    <w:rsid w:val="5F1B0D98"/>
    <w:rsid w:val="5FDC6F72"/>
    <w:rsid w:val="61A65653"/>
    <w:rsid w:val="63F8226D"/>
    <w:rsid w:val="64360057"/>
    <w:rsid w:val="66705A9C"/>
    <w:rsid w:val="674C32BC"/>
    <w:rsid w:val="68826ED0"/>
    <w:rsid w:val="6CBB0E79"/>
    <w:rsid w:val="6D441CED"/>
    <w:rsid w:val="6DCE2536"/>
    <w:rsid w:val="6F3B465D"/>
    <w:rsid w:val="73CD752F"/>
    <w:rsid w:val="75AE7B06"/>
    <w:rsid w:val="797C67B8"/>
    <w:rsid w:val="79881AEA"/>
    <w:rsid w:val="79FC3536"/>
    <w:rsid w:val="79FE7AC2"/>
    <w:rsid w:val="7A406E9B"/>
    <w:rsid w:val="7C111C98"/>
    <w:rsid w:val="7C7D63B1"/>
    <w:rsid w:val="7E4E3EC4"/>
    <w:rsid w:val="7E90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Times New Roman" w:hAnsi="Times New Roman" w:eastAsia="仿宋" w:cstheme="minorBidi"/>
      <w:kern w:val="2"/>
      <w:sz w:val="30"/>
      <w:szCs w:val="24"/>
      <w:lang w:val="en-US" w:eastAsia="zh-CN" w:bidi="ar-SA"/>
    </w:rPr>
  </w:style>
  <w:style w:type="paragraph" w:styleId="5">
    <w:name w:val="heading 2"/>
    <w:basedOn w:val="1"/>
    <w:next w:val="1"/>
    <w:unhideWhenUsed/>
    <w:qFormat/>
    <w:uiPriority w:val="0"/>
    <w:pPr>
      <w:keepNext w:val="0"/>
      <w:keepLines/>
      <w:pageBreakBefore/>
      <w:spacing w:before="100" w:beforeLines="100" w:beforeAutospacing="0" w:after="100" w:afterLines="100" w:afterAutospacing="0" w:line="600" w:lineRule="exact"/>
      <w:ind w:firstLine="0" w:firstLineChars="0"/>
      <w:jc w:val="center"/>
      <w:outlineLvl w:val="1"/>
    </w:pPr>
    <w:rPr>
      <w:rFonts w:ascii="Arial" w:hAnsi="Arial" w:eastAsia="方正小标宋_GBK"/>
      <w:b/>
      <w:sz w:val="36"/>
    </w:rPr>
  </w:style>
  <w:style w:type="paragraph" w:styleId="6">
    <w:name w:val="heading 3"/>
    <w:basedOn w:val="1"/>
    <w:next w:val="1"/>
    <w:unhideWhenUsed/>
    <w:qFormat/>
    <w:uiPriority w:val="0"/>
    <w:pPr>
      <w:keepNext w:val="0"/>
      <w:keepLines/>
      <w:spacing w:before="50" w:beforeLines="50" w:beforeAutospacing="0" w:after="50" w:afterLines="50" w:afterAutospacing="0" w:line="600" w:lineRule="exact"/>
      <w:ind w:firstLine="0" w:firstLineChars="0"/>
      <w:jc w:val="center"/>
      <w:outlineLvl w:val="2"/>
    </w:pPr>
    <w:rPr>
      <w:rFonts w:ascii="Times New Roman" w:hAnsi="Times New Roman" w:eastAsia="楷体"/>
      <w:b/>
      <w:sz w:val="32"/>
    </w:rPr>
  </w:style>
  <w:style w:type="paragraph" w:styleId="7">
    <w:name w:val="heading 4"/>
    <w:basedOn w:val="6"/>
    <w:next w:val="1"/>
    <w:unhideWhenUsed/>
    <w:qFormat/>
    <w:uiPriority w:val="0"/>
    <w:pPr>
      <w:keepNext/>
      <w:keepLines/>
      <w:spacing w:before="50" w:beforeLines="50" w:beforeAutospacing="0" w:after="50" w:afterLines="50" w:afterAutospacing="0" w:line="600" w:lineRule="exact"/>
      <w:ind w:firstLine="723" w:firstLineChars="200"/>
      <w:jc w:val="left"/>
      <w:outlineLvl w:val="3"/>
    </w:pPr>
    <w:rPr>
      <w:rFonts w:ascii="Arial" w:hAnsi="Arial" w:eastAsia="黑体"/>
      <w:b w:val="0"/>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3120"/>
      </w:tabs>
      <w:spacing w:after="0" w:line="620" w:lineRule="exact"/>
      <w:ind w:left="0" w:leftChars="0" w:firstLine="420"/>
    </w:pPr>
    <w:rPr>
      <w:sz w:val="32"/>
    </w:rPr>
  </w:style>
  <w:style w:type="paragraph" w:styleId="3">
    <w:name w:val="Body Text Indent"/>
    <w:basedOn w:val="1"/>
    <w:next w:val="4"/>
    <w:qFormat/>
    <w:uiPriority w:val="99"/>
    <w:pPr>
      <w:spacing w:after="120"/>
      <w:ind w:left="420" w:leftChars="200"/>
    </w:pPr>
  </w:style>
  <w:style w:type="paragraph" w:styleId="4">
    <w:name w:val="Body Text Indent 2"/>
    <w:basedOn w:val="1"/>
    <w:unhideWhenUsed/>
    <w:qFormat/>
    <w:uiPriority w:val="99"/>
    <w:pPr>
      <w:ind w:firstLine="630"/>
    </w:pPr>
    <w:rPr>
      <w:rFonts w:eastAsia="宋体" w:cs="Times New Roman"/>
      <w:b/>
    </w:rPr>
  </w:style>
  <w:style w:type="paragraph" w:styleId="8">
    <w:name w:val="annotation text"/>
    <w:basedOn w:val="1"/>
    <w:qFormat/>
    <w:uiPriority w:val="0"/>
    <w:pPr>
      <w:jc w:val="left"/>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rPr>
      <w:rFonts w:eastAsia="黑体"/>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character" w:styleId="19">
    <w:name w:val="footnote reference"/>
    <w:basedOn w:val="17"/>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12034</Words>
  <Characters>12645</Characters>
  <Lines>0</Lines>
  <Paragraphs>0</Paragraphs>
  <TotalTime>12</TotalTime>
  <ScaleCrop>false</ScaleCrop>
  <LinksUpToDate>false</LinksUpToDate>
  <CharactersWithSpaces>12770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2020-05-22T08:41:00Z</dcterms:created>
  <dc:creator>中科</dc:creator>
  <cp:lastModifiedBy>Administrator</cp:lastModifiedBy>
  <dcterms:modified xsi:type="dcterms:W3CDTF">2026-05-29T01:40:20Z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CFD9C247458740F0BE1816E88250FE08_13</vt:lpwstr>
  </property>
</Properties>
</file>