
<file path=[Content_Types].xml><?xml version="1.0" encoding="utf-8"?>
<Types xmlns="http://schemas.openxmlformats.org/package/2006/content-types">
  <Default Extension="xml" ContentType="application/xml"/>
  <Default Extension="xlsx" ContentType="application/vnd.openxmlformats-officedocument.spreadsheetml.shee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160" w:lineRule="exact"/>
        <w:ind w:firstLine="0" w:firstLineChars="0"/>
        <w:jc w:val="center"/>
        <w:rPr>
          <w:rFonts w:ascii="宋体" w:hAnsi="宋体"/>
          <w:b/>
          <w:sz w:val="48"/>
          <w:szCs w:val="48"/>
          <w:highlight w:val="none"/>
        </w:rPr>
      </w:pPr>
      <w:bookmarkStart w:id="0" w:name="OLE_LINK1"/>
      <w:bookmarkStart w:id="1" w:name="OLE_LINK2"/>
      <w:bookmarkStart w:id="2" w:name="_Toc496692912"/>
      <w:bookmarkStart w:id="3" w:name="_Toc25910115"/>
      <w:bookmarkStart w:id="4" w:name="_Toc357078795"/>
      <w:bookmarkStart w:id="5" w:name="_Toc519695663"/>
      <w:bookmarkStart w:id="6" w:name="_Toc515973115"/>
      <w:bookmarkStart w:id="7" w:name="_Toc506218853"/>
      <w:bookmarkStart w:id="8" w:name="_Toc515973120"/>
    </w:p>
    <w:p>
      <w:pPr>
        <w:spacing w:line="1000" w:lineRule="exact"/>
        <w:ind w:firstLine="0" w:firstLineChars="0"/>
        <w:jc w:val="center"/>
        <w:rPr>
          <w:rFonts w:hint="eastAsia" w:ascii="宋体" w:hAnsi="宋体"/>
          <w:b/>
          <w:sz w:val="48"/>
          <w:szCs w:val="48"/>
          <w:highlight w:val="none"/>
        </w:rPr>
      </w:pPr>
      <w:r>
        <w:rPr>
          <w:rFonts w:hint="eastAsia" w:ascii="宋体" w:hAnsi="宋体"/>
          <w:b/>
          <w:sz w:val="48"/>
          <w:szCs w:val="48"/>
          <w:highlight w:val="none"/>
        </w:rPr>
        <w:t>连平县</w:t>
      </w:r>
      <w:r>
        <w:rPr>
          <w:rFonts w:hint="eastAsia" w:ascii="宋体" w:hAnsi="宋体"/>
          <w:b/>
          <w:sz w:val="48"/>
          <w:szCs w:val="48"/>
          <w:highlight w:val="none"/>
          <w:lang w:eastAsia="zh-CN"/>
        </w:rPr>
        <w:t>“</w:t>
      </w:r>
      <w:r>
        <w:rPr>
          <w:rFonts w:hint="eastAsia" w:ascii="宋体" w:hAnsi="宋体"/>
          <w:b/>
          <w:sz w:val="48"/>
          <w:szCs w:val="48"/>
          <w:highlight w:val="none"/>
          <w:lang w:val="en-US" w:eastAsia="zh-CN"/>
        </w:rPr>
        <w:t>十四五</w:t>
      </w:r>
      <w:r>
        <w:rPr>
          <w:rFonts w:hint="eastAsia" w:ascii="宋体" w:hAnsi="宋体"/>
          <w:b/>
          <w:sz w:val="48"/>
          <w:szCs w:val="48"/>
          <w:highlight w:val="none"/>
          <w:lang w:eastAsia="zh-CN"/>
        </w:rPr>
        <w:t>”</w:t>
      </w:r>
      <w:r>
        <w:rPr>
          <w:rFonts w:hint="eastAsia" w:ascii="宋体" w:hAnsi="宋体"/>
          <w:b/>
          <w:sz w:val="48"/>
          <w:szCs w:val="48"/>
          <w:highlight w:val="none"/>
        </w:rPr>
        <w:t>生态功能保护修复</w:t>
      </w:r>
    </w:p>
    <w:p>
      <w:pPr>
        <w:spacing w:line="1000" w:lineRule="exact"/>
        <w:ind w:firstLine="0" w:firstLineChars="0"/>
        <w:jc w:val="center"/>
        <w:rPr>
          <w:rFonts w:ascii="宋体" w:hAnsi="宋体"/>
          <w:b/>
          <w:sz w:val="48"/>
          <w:szCs w:val="48"/>
          <w:highlight w:val="none"/>
        </w:rPr>
      </w:pPr>
      <w:r>
        <w:rPr>
          <w:rFonts w:hint="eastAsia" w:ascii="宋体" w:hAnsi="宋体"/>
          <w:b/>
          <w:sz w:val="48"/>
          <w:szCs w:val="48"/>
          <w:highlight w:val="none"/>
        </w:rPr>
        <w:t>规划研究报告</w:t>
      </w:r>
    </w:p>
    <w:p>
      <w:pPr>
        <w:spacing w:line="1000" w:lineRule="exact"/>
        <w:ind w:firstLine="0" w:firstLineChars="0"/>
        <w:jc w:val="center"/>
        <w:rPr>
          <w:rFonts w:ascii="宋体" w:hAnsi="宋体"/>
          <w:b/>
          <w:sz w:val="48"/>
          <w:szCs w:val="48"/>
          <w:highlight w:val="none"/>
        </w:rPr>
      </w:pPr>
      <w:r>
        <w:rPr>
          <w:rFonts w:hint="eastAsia" w:ascii="宋体" w:hAnsi="宋体"/>
          <w:b/>
          <w:sz w:val="48"/>
          <w:szCs w:val="48"/>
          <w:highlight w:val="none"/>
        </w:rPr>
        <w:t>（评审稿）</w:t>
      </w: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rFonts w:hint="eastAsia"/>
          <w:highlight w:val="none"/>
        </w:rPr>
      </w:pPr>
    </w:p>
    <w:p>
      <w:pPr>
        <w:ind w:firstLine="480"/>
        <w:rPr>
          <w:rFonts w:hint="eastAsia"/>
          <w:highlight w:val="none"/>
        </w:rPr>
      </w:pPr>
    </w:p>
    <w:p>
      <w:pPr>
        <w:ind w:firstLine="480"/>
        <w:rPr>
          <w:highlight w:val="none"/>
        </w:rPr>
      </w:pPr>
    </w:p>
    <w:p>
      <w:pPr>
        <w:spacing w:line="240" w:lineRule="auto"/>
        <w:ind w:firstLine="0" w:firstLineChars="0"/>
        <w:jc w:val="center"/>
        <w:rPr>
          <w:b/>
          <w:sz w:val="32"/>
          <w:szCs w:val="32"/>
          <w:highlight w:val="none"/>
        </w:rPr>
      </w:pPr>
      <w:r>
        <w:rPr>
          <w:rFonts w:hint="eastAsia"/>
          <w:b/>
          <w:sz w:val="32"/>
          <w:szCs w:val="32"/>
          <w:highlight w:val="none"/>
        </w:rPr>
        <w:t>广东中科环境科技发展有限公司</w:t>
      </w:r>
    </w:p>
    <w:p>
      <w:pPr>
        <w:spacing w:line="240" w:lineRule="auto"/>
        <w:ind w:firstLine="0" w:firstLineChars="0"/>
        <w:jc w:val="center"/>
        <w:rPr>
          <w:b/>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7" w:h="16840"/>
          <w:pgMar w:top="1440" w:right="1797" w:bottom="1440" w:left="1797" w:header="851" w:footer="992" w:gutter="0"/>
          <w:cols w:space="0" w:num="1"/>
          <w:docGrid w:type="lines" w:linePitch="326" w:charSpace="0"/>
        </w:sectPr>
      </w:pPr>
      <w:r>
        <w:rPr>
          <w:rFonts w:hint="eastAsia"/>
          <w:b/>
          <w:sz w:val="32"/>
          <w:szCs w:val="32"/>
          <w:highlight w:val="none"/>
        </w:rPr>
        <w:t>2023</w:t>
      </w:r>
      <w:r>
        <w:rPr>
          <w:b/>
          <w:sz w:val="32"/>
          <w:szCs w:val="32"/>
          <w:highlight w:val="none"/>
        </w:rPr>
        <w:t>年</w:t>
      </w:r>
      <w:r>
        <w:rPr>
          <w:rFonts w:hint="eastAsia"/>
          <w:b/>
          <w:sz w:val="32"/>
          <w:szCs w:val="32"/>
          <w:highlight w:val="none"/>
        </w:rPr>
        <w:t>9</w:t>
      </w:r>
      <w:r>
        <w:rPr>
          <w:b/>
          <w:sz w:val="32"/>
          <w:szCs w:val="32"/>
          <w:highlight w:val="none"/>
        </w:rPr>
        <w:t>月</w:t>
      </w:r>
      <w:bookmarkEnd w:id="0"/>
      <w:bookmarkEnd w:id="1"/>
    </w:p>
    <w:p>
      <w:pPr>
        <w:ind w:firstLine="0" w:firstLineChars="0"/>
        <w:rPr>
          <w:b/>
          <w:bCs/>
          <w:sz w:val="28"/>
          <w:szCs w:val="32"/>
          <w:highlight w:val="none"/>
        </w:rPr>
      </w:pPr>
    </w:p>
    <w:p>
      <w:pPr>
        <w:ind w:firstLine="0" w:firstLineChars="0"/>
        <w:rPr>
          <w:bCs/>
          <w:sz w:val="28"/>
          <w:szCs w:val="32"/>
          <w:highlight w:val="none"/>
        </w:rPr>
      </w:pPr>
      <w:r>
        <w:rPr>
          <w:b/>
          <w:bCs/>
          <w:sz w:val="28"/>
          <w:szCs w:val="32"/>
          <w:highlight w:val="none"/>
        </w:rPr>
        <w:t>项目名称：</w:t>
      </w:r>
      <w:r>
        <w:rPr>
          <w:rFonts w:hint="eastAsia"/>
          <w:sz w:val="28"/>
          <w:szCs w:val="32"/>
          <w:highlight w:val="none"/>
        </w:rPr>
        <w:t>连平县“十四五”生态功能保护修复规划</w:t>
      </w:r>
    </w:p>
    <w:p>
      <w:pPr>
        <w:ind w:firstLine="0" w:firstLineChars="0"/>
        <w:rPr>
          <w:b/>
          <w:bCs/>
          <w:sz w:val="28"/>
          <w:szCs w:val="32"/>
          <w:highlight w:val="none"/>
        </w:rPr>
      </w:pPr>
    </w:p>
    <w:p>
      <w:pPr>
        <w:ind w:firstLine="0" w:firstLineChars="0"/>
        <w:rPr>
          <w:b/>
          <w:bCs/>
          <w:sz w:val="28"/>
          <w:szCs w:val="32"/>
          <w:highlight w:val="none"/>
        </w:rPr>
      </w:pPr>
      <w:r>
        <w:rPr>
          <w:b/>
          <w:bCs/>
          <w:sz w:val="28"/>
          <w:szCs w:val="32"/>
          <w:highlight w:val="none"/>
        </w:rPr>
        <w:t>委托单位：</w:t>
      </w:r>
      <w:r>
        <w:rPr>
          <w:rFonts w:hint="eastAsia"/>
          <w:sz w:val="28"/>
          <w:szCs w:val="32"/>
          <w:highlight w:val="none"/>
        </w:rPr>
        <w:t>河源市生态环境局连平分局</w:t>
      </w:r>
    </w:p>
    <w:p>
      <w:pPr>
        <w:ind w:firstLine="0" w:firstLineChars="0"/>
        <w:rPr>
          <w:b/>
          <w:bCs/>
          <w:sz w:val="28"/>
          <w:szCs w:val="32"/>
          <w:highlight w:val="none"/>
        </w:rPr>
      </w:pPr>
      <w:r>
        <w:rPr>
          <w:b/>
          <w:bCs/>
          <w:sz w:val="28"/>
          <w:szCs w:val="32"/>
          <w:highlight w:val="none"/>
        </w:rPr>
        <w:t>编制单位：</w:t>
      </w:r>
      <w:r>
        <w:rPr>
          <w:bCs/>
          <w:sz w:val="28"/>
          <w:szCs w:val="32"/>
          <w:highlight w:val="none"/>
        </w:rPr>
        <w:t>广东中科环境科技发展有限公司</w:t>
      </w:r>
    </w:p>
    <w:p>
      <w:pPr>
        <w:ind w:firstLine="0" w:firstLineChars="0"/>
        <w:rPr>
          <w:b/>
          <w:bCs/>
          <w:color w:val="000000" w:themeColor="text1"/>
          <w:sz w:val="28"/>
          <w:szCs w:val="32"/>
          <w:highlight w:val="none"/>
          <w14:textFill>
            <w14:solidFill>
              <w14:schemeClr w14:val="tx1"/>
            </w14:solidFill>
          </w14:textFill>
        </w:rPr>
      </w:pPr>
    </w:p>
    <w:p>
      <w:pPr>
        <w:ind w:firstLine="0" w:firstLineChars="0"/>
        <w:rPr>
          <w:b/>
          <w:bCs/>
          <w:color w:val="000000" w:themeColor="text1"/>
          <w:sz w:val="28"/>
          <w:szCs w:val="32"/>
          <w:highlight w:val="none"/>
          <w14:textFill>
            <w14:solidFill>
              <w14:schemeClr w14:val="tx1"/>
            </w14:solidFill>
          </w14:textFill>
        </w:rPr>
      </w:pPr>
    </w:p>
    <w:p>
      <w:pPr>
        <w:ind w:firstLine="0" w:firstLineChars="0"/>
        <w:rPr>
          <w:b/>
          <w:bCs/>
          <w:color w:val="000000" w:themeColor="text1"/>
          <w:sz w:val="28"/>
          <w:szCs w:val="32"/>
          <w:highlight w:val="none"/>
          <w14:textFill>
            <w14:solidFill>
              <w14:schemeClr w14:val="tx1"/>
            </w14:solidFill>
          </w14:textFill>
        </w:rPr>
      </w:pPr>
      <w:r>
        <w:rPr>
          <w:b/>
          <w:bCs/>
          <w:color w:val="000000" w:themeColor="text1"/>
          <w:sz w:val="28"/>
          <w:szCs w:val="32"/>
          <w:highlight w:val="none"/>
          <w14:textFill>
            <w14:solidFill>
              <w14:schemeClr w14:val="tx1"/>
            </w14:solidFill>
          </w14:textFill>
        </w:rPr>
        <w:t>项目负责</w:t>
      </w:r>
      <w:r>
        <w:rPr>
          <w:rFonts w:hint="eastAsia"/>
          <w:b/>
          <w:bCs/>
          <w:color w:val="000000" w:themeColor="text1"/>
          <w:sz w:val="28"/>
          <w:szCs w:val="32"/>
          <w:highlight w:val="none"/>
          <w14:textFill>
            <w14:solidFill>
              <w14:schemeClr w14:val="tx1"/>
            </w14:solidFill>
          </w14:textFill>
        </w:rPr>
        <w:t>人</w:t>
      </w:r>
      <w:r>
        <w:rPr>
          <w:b/>
          <w:bCs/>
          <w:color w:val="000000" w:themeColor="text1"/>
          <w:sz w:val="28"/>
          <w:szCs w:val="32"/>
          <w:highlight w:val="none"/>
          <w14:textFill>
            <w14:solidFill>
              <w14:schemeClr w14:val="tx1"/>
            </w14:solidFill>
          </w14:textFill>
        </w:rPr>
        <w:t>：</w:t>
      </w:r>
      <w:r>
        <w:rPr>
          <w:rFonts w:hint="eastAsia"/>
          <w:b/>
          <w:bCs/>
          <w:color w:val="000000" w:themeColor="text1"/>
          <w:sz w:val="28"/>
          <w:szCs w:val="32"/>
          <w:highlight w:val="none"/>
          <w14:textFill>
            <w14:solidFill>
              <w14:schemeClr w14:val="tx1"/>
            </w14:solidFill>
          </w14:textFill>
        </w:rPr>
        <w:t xml:space="preserve"> </w:t>
      </w:r>
      <w:r>
        <w:rPr>
          <w:rFonts w:hint="eastAsia"/>
          <w:color w:val="000000" w:themeColor="text1"/>
          <w:sz w:val="28"/>
          <w:szCs w:val="32"/>
          <w:highlight w:val="none"/>
          <w14:textFill>
            <w14:solidFill>
              <w14:schemeClr w14:val="tx1"/>
            </w14:solidFill>
          </w14:textFill>
        </w:rPr>
        <w:t>黄华坚</w:t>
      </w:r>
    </w:p>
    <w:p>
      <w:pPr>
        <w:ind w:firstLine="0" w:firstLineChars="0"/>
        <w:rPr>
          <w:b/>
          <w:bCs/>
          <w:color w:val="000000" w:themeColor="text1"/>
          <w:sz w:val="28"/>
          <w:szCs w:val="32"/>
          <w:highlight w:val="none"/>
          <w14:textFill>
            <w14:solidFill>
              <w14:schemeClr w14:val="tx1"/>
            </w14:solidFill>
          </w14:textFill>
        </w:rPr>
      </w:pPr>
    </w:p>
    <w:p>
      <w:pPr>
        <w:ind w:firstLine="0" w:firstLineChars="0"/>
        <w:rPr>
          <w:b/>
          <w:bCs/>
          <w:color w:val="000000" w:themeColor="text1"/>
          <w:sz w:val="28"/>
          <w:szCs w:val="32"/>
          <w:highlight w:val="none"/>
          <w14:textFill>
            <w14:solidFill>
              <w14:schemeClr w14:val="tx1"/>
            </w14:solidFill>
          </w14:textFill>
        </w:rPr>
      </w:pPr>
    </w:p>
    <w:p>
      <w:pPr>
        <w:ind w:firstLine="0" w:firstLineChars="0"/>
        <w:rPr>
          <w:b/>
          <w:bCs/>
          <w:color w:val="000000" w:themeColor="text1"/>
          <w:sz w:val="28"/>
          <w:szCs w:val="32"/>
          <w:highlight w:val="none"/>
          <w14:textFill>
            <w14:solidFill>
              <w14:schemeClr w14:val="tx1"/>
            </w14:solidFill>
          </w14:textFill>
        </w:rPr>
      </w:pPr>
      <w:r>
        <w:rPr>
          <w:rFonts w:hint="eastAsia"/>
          <w:b/>
          <w:bCs/>
          <w:color w:val="000000" w:themeColor="text1"/>
          <w:sz w:val="28"/>
          <w:szCs w:val="32"/>
          <w:highlight w:val="none"/>
          <w14:textFill>
            <w14:solidFill>
              <w14:schemeClr w14:val="tx1"/>
            </w14:solidFill>
          </w14:textFill>
        </w:rPr>
        <w:t>规划编制组主要人员</w:t>
      </w:r>
    </w:p>
    <w:p>
      <w:pPr>
        <w:ind w:firstLine="0" w:firstLineChars="0"/>
        <w:rPr>
          <w:b/>
          <w:bCs/>
          <w:color w:val="000000" w:themeColor="text1"/>
          <w:sz w:val="28"/>
          <w:szCs w:val="32"/>
          <w:highlight w:val="none"/>
          <w14:textFill>
            <w14:solidFill>
              <w14:schemeClr w14:val="tx1"/>
            </w14:solidFill>
          </w14:textFill>
        </w:rPr>
      </w:pPr>
      <w:r>
        <w:rPr>
          <w:b/>
          <w:bCs/>
          <w:color w:val="000000" w:themeColor="text1"/>
          <w:sz w:val="28"/>
          <w:szCs w:val="32"/>
          <w:highlight w:val="none"/>
          <w14:textFill>
            <w14:solidFill>
              <w14:schemeClr w14:val="tx1"/>
            </w14:solidFill>
          </w14:textFill>
        </w:rPr>
        <w:t>编制</w:t>
      </w:r>
      <w:r>
        <w:rPr>
          <w:rFonts w:hint="eastAsia"/>
          <w:b/>
          <w:bCs/>
          <w:color w:val="000000" w:themeColor="text1"/>
          <w:sz w:val="28"/>
          <w:szCs w:val="32"/>
          <w:highlight w:val="none"/>
          <w14:textFill>
            <w14:solidFill>
              <w14:schemeClr w14:val="tx1"/>
            </w14:solidFill>
          </w14:textFill>
        </w:rPr>
        <w:t>单位</w:t>
      </w:r>
      <w:r>
        <w:rPr>
          <w:b/>
          <w:bCs/>
          <w:color w:val="000000" w:themeColor="text1"/>
          <w:sz w:val="28"/>
          <w:szCs w:val="32"/>
          <w:highlight w:val="none"/>
          <w14:textFill>
            <w14:solidFill>
              <w14:schemeClr w14:val="tx1"/>
            </w14:solidFill>
          </w14:textFill>
        </w:rPr>
        <w:t xml:space="preserve">： </w:t>
      </w:r>
      <w:r>
        <w:rPr>
          <w:color w:val="000000" w:themeColor="text1"/>
          <w:sz w:val="28"/>
          <w:szCs w:val="32"/>
          <w:highlight w:val="none"/>
          <w14:textFill>
            <w14:solidFill>
              <w14:schemeClr w14:val="tx1"/>
            </w14:solidFill>
          </w14:textFill>
        </w:rPr>
        <w:t xml:space="preserve">侯雪鹏  李阿梅  严文菲  曾二丽 </w:t>
      </w:r>
    </w:p>
    <w:p>
      <w:pPr>
        <w:ind w:firstLine="0" w:firstLineChars="0"/>
        <w:rPr>
          <w:b/>
          <w:bCs/>
          <w:color w:val="000000" w:themeColor="text1"/>
          <w:sz w:val="28"/>
          <w:szCs w:val="32"/>
          <w:highlight w:val="none"/>
          <w14:textFill>
            <w14:solidFill>
              <w14:schemeClr w14:val="tx1"/>
            </w14:solidFill>
          </w14:textFill>
        </w:rPr>
      </w:pPr>
    </w:p>
    <w:p>
      <w:pPr>
        <w:ind w:firstLine="0" w:firstLineChars="0"/>
        <w:rPr>
          <w:b/>
          <w:bCs/>
          <w:color w:val="000000" w:themeColor="text1"/>
          <w:sz w:val="28"/>
          <w:szCs w:val="32"/>
          <w:highlight w:val="none"/>
          <w14:textFill>
            <w14:solidFill>
              <w14:schemeClr w14:val="tx1"/>
            </w14:solidFill>
          </w14:textFill>
        </w:rPr>
      </w:pPr>
    </w:p>
    <w:p>
      <w:pPr>
        <w:ind w:firstLine="0" w:firstLineChars="0"/>
        <w:rPr>
          <w:b/>
          <w:sz w:val="32"/>
          <w:highlight w:val="none"/>
        </w:rPr>
        <w:sectPr>
          <w:pgSz w:w="11907" w:h="16840"/>
          <w:pgMar w:top="1440" w:right="1797" w:bottom="1440" w:left="1797" w:header="851" w:footer="992" w:gutter="0"/>
          <w:cols w:space="0" w:num="1"/>
          <w:docGrid w:type="lines" w:linePitch="326" w:charSpace="0"/>
        </w:sectPr>
      </w:pPr>
      <w:r>
        <w:rPr>
          <w:b/>
          <w:bCs/>
          <w:color w:val="000000" w:themeColor="text1"/>
          <w:sz w:val="28"/>
          <w:szCs w:val="32"/>
          <w:highlight w:val="none"/>
          <w14:textFill>
            <w14:solidFill>
              <w14:schemeClr w14:val="tx1"/>
            </w14:solidFill>
          </w14:textFill>
        </w:rPr>
        <w:t xml:space="preserve">审    核： </w:t>
      </w:r>
      <w:r>
        <w:rPr>
          <w:color w:val="000000" w:themeColor="text1"/>
          <w:sz w:val="28"/>
          <w:szCs w:val="32"/>
          <w:highlight w:val="none"/>
          <w14:textFill>
            <w14:solidFill>
              <w14:schemeClr w14:val="tx1"/>
            </w14:solidFill>
          </w14:textFill>
        </w:rPr>
        <w:t>陈晓维</w:t>
      </w:r>
    </w:p>
    <w:p>
      <w:pPr>
        <w:ind w:firstLine="0" w:firstLineChars="0"/>
        <w:jc w:val="center"/>
        <w:rPr>
          <w:rFonts w:hint="eastAsia"/>
          <w:b/>
          <w:sz w:val="32"/>
          <w:highlight w:val="none"/>
        </w:rPr>
      </w:pPr>
      <w:r>
        <w:rPr>
          <w:rFonts w:hint="eastAsia"/>
          <w:b/>
          <w:sz w:val="32"/>
          <w:highlight w:val="none"/>
        </w:rPr>
        <w:t>目 录</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 总论</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1.1 项目背景</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1.2 编制依据</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1.2.1 法律法规、行政法规、部门规章和有关文件</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1.2.2 地方性法规、地方政府规章和有关文件</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4</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1.3 范围与时限</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1.3.1 规划范围</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1.3.2 规划时限</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1.4 指导思想</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1.5 基本原则</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1.6 规划目标</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8</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 区域概况</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2.1 地理位置</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2.2 自然环境</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2.2.1 地形地貌</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2.2.2 气候气象</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16</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2.2.3 自然资源</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16</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2.2.4 河流水系</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18</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2.3 社会经济</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23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2.3.1 行政区划</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23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2.3.2 人口概况</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25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2.3.3 经济概况</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26</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2.4 城乡发展</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27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2.5 土地利用概况</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29</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 生态环境现状与问题诊断</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30</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3.1 重要生态功能区</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30</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3.1.1 重要生物多样性保护区</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30</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3.1.2 重要水源保护和涵养区</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35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3.1.3 重要水土保持区</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37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3.2 生态空间总体分布</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39</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3.3 生态环境及问题诊断</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41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3.3.1 矿山地质环境</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41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3.3.2 水土流失</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53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3.3.3 水生态环境</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60</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3.3.4 森林生态环境</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84</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3.3.5 生物多样性</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102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3.3.6 农田生态环境</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105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3.4 主要问题汇总</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108</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4 生态保护修复分区</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112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4.1 分区依据</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4.2 分区原则</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112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4.3 划分结果</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4.4 目标与要求</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114</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 重点建设任务</w:t>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117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5.1 矿山地质生态保护修复</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5.1.1 全面推进绿色矿山建设</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5.1.2 大力开展矿区生态修复</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5.2 水土流失防治</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5.2.1 水土流失预防</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118</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5.2.2 水土流失治理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118</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5.3 水生态环境保护修复</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118</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5.3.1 强化饮用水源安全保障</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118</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5.3.2 巩固提升重点断面水质</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119</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5.3.3 推进农村水系综合治理</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119</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5.3.4 实施水生态扩容修复</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120</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5.4 森林生态系统保护修复</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5.4.1 森林质量精准提升</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121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5.4.2 有害生物综合防治</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122</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5.4.3 森林资源精细管护</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5.5 生物多样性保护</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5.5.1 自然保护地整合优化</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123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5.5.2 野生动植物物种保护</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124</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5.5.3 生物多样性保护监管</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124</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5.6 耕地保护与安全利用</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125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5.6.1 巩固提升安全利用水平</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5.6.2 土壤及农产品协同监测</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126</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6 重点工程</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6.1 工程项目与投资估算</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127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6.2 工程布局</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131</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6.3 工程绩效</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133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6.3.1 生态效益</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133</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6.3.2 经济效益</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134</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6.3.3 社会效益</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134</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7 保障措施</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ab/>
      </w:r>
      <w:r>
        <w:rPr>
          <w:rFonts w:hint="eastAsia" w:ascii="宋体" w:hAnsi="宋体" w:eastAsia="宋体" w:cs="宋体"/>
          <w:sz w:val="24"/>
          <w:szCs w:val="24"/>
          <w:highlight w:val="none"/>
        </w:rPr>
        <w:t>135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7.1 组织领导</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7.2 资金保障</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135</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7.3 技术保障</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136</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7.4 评估考核</w:t>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136</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137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附表1连平县生态环境主要问题汇总表</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137</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附表2 连平县生态功能保护修复指标与目标</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140</w:t>
      </w:r>
    </w:p>
    <w:p>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附表3 连平县生态功能保护修复重点工程</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141</w:t>
      </w:r>
    </w:p>
    <w:p>
      <w:pPr>
        <w:ind w:firstLine="0" w:firstLineChars="0"/>
        <w:rPr>
          <w:rFonts w:hint="eastAsia" w:ascii="宋体" w:hAnsi="宋体" w:eastAsia="宋体" w:cs="宋体"/>
          <w:sz w:val="24"/>
          <w:szCs w:val="24"/>
          <w:highlight w:val="none"/>
        </w:rPr>
        <w:sectPr>
          <w:headerReference r:id="rId11" w:type="default"/>
          <w:footerReference r:id="rId12" w:type="default"/>
          <w:pgSz w:w="11907" w:h="16840"/>
          <w:pgMar w:top="1440" w:right="1797" w:bottom="1440" w:left="1797" w:header="851" w:footer="992" w:gutter="0"/>
          <w:pgNumType w:fmt="upperRoman" w:start="1"/>
          <w:cols w:space="0" w:num="1"/>
          <w:docGrid w:type="lines" w:linePitch="326" w:charSpace="0"/>
        </w:sectPr>
      </w:pPr>
    </w:p>
    <w:p>
      <w:pPr>
        <w:pStyle w:val="85"/>
        <w:spacing w:before="652" w:after="326"/>
        <w:rPr>
          <w:rFonts w:ascii="Times New Roman" w:hAnsi="Times New Roman" w:eastAsia="宋体" w:cs="Times New Roman"/>
          <w:highlight w:val="none"/>
        </w:rPr>
      </w:pPr>
      <w:bookmarkStart w:id="9" w:name="_Toc95899947"/>
      <w:bookmarkStart w:id="10" w:name="_Toc140764078"/>
      <w:r>
        <w:rPr>
          <w:rFonts w:ascii="Times New Roman" w:hAnsi="Times New Roman" w:eastAsia="宋体" w:cs="Times New Roman"/>
          <w:highlight w:val="none"/>
        </w:rPr>
        <w:t>总论</w:t>
      </w:r>
      <w:bookmarkEnd w:id="9"/>
      <w:bookmarkEnd w:id="10"/>
    </w:p>
    <w:p>
      <w:pPr>
        <w:pStyle w:val="87"/>
        <w:ind w:left="0" w:firstLine="0"/>
        <w:rPr>
          <w:rFonts w:eastAsia="宋体"/>
          <w:color w:val="auto"/>
          <w:sz w:val="28"/>
          <w:szCs w:val="21"/>
          <w:highlight w:val="none"/>
        </w:rPr>
      </w:pPr>
      <w:bookmarkStart w:id="11" w:name="_Toc140764079"/>
      <w:bookmarkStart w:id="12" w:name="_Toc95899948"/>
      <w:r>
        <w:rPr>
          <w:rFonts w:eastAsia="宋体"/>
          <w:color w:val="auto"/>
          <w:sz w:val="28"/>
          <w:szCs w:val="21"/>
          <w:highlight w:val="none"/>
        </w:rPr>
        <w:t>项目背景</w:t>
      </w:r>
      <w:bookmarkEnd w:id="11"/>
      <w:bookmarkEnd w:id="12"/>
    </w:p>
    <w:p>
      <w:pPr>
        <w:ind w:firstLine="480"/>
        <w:rPr>
          <w:highlight w:val="none"/>
        </w:rPr>
      </w:pPr>
      <w:r>
        <w:rPr>
          <w:highlight w:val="none"/>
        </w:rPr>
        <w:t>“十四五”时期是我国推进社会主义现代化建设进程的关键时期，国家、省新时期生态保护修复提出了更高的要求。《中华人民共和国国民经济和社会发展第十四个五年规划和2035年远景目标纲要》提出坚持山水林田湖草系统治理，着力提高生态系统自我修复能力和稳定性，守住自然生态安全边界，促进自然生态系统质量整体改善，具体要求完善生态安全屏障体系、构建自然保护地体系以及健全生态保护补偿机制等。《广东省国民经济和社会发展第十四个五年规划和2035年远景目标纲要》提出坚持绿水青山就是金山银山理念，加大生态建设与保护力度，筑牢绿色生态屏障，推进生态系统保护与修复，加强生物多样性保护。</w:t>
      </w:r>
    </w:p>
    <w:p>
      <w:pPr>
        <w:ind w:firstLine="480"/>
        <w:rPr>
          <w:highlight w:val="none"/>
        </w:rPr>
      </w:pPr>
      <w:r>
        <w:rPr>
          <w:highlight w:val="none"/>
        </w:rPr>
        <w:t>县域生态环境质量考核是国家对各地方党委、政府生态文明建设工作的年度大考，是国家检验各重点生态功能区县域生态环境质量动态变化情况，以考核促治理的一项重要工作。2008年中央财政设立重点生态功能区转移支付，2009年原环保、财政两部门联合启动国家重点生态功能区县域生态环境质量监测评价考核研究工作，主要目的是评价国家转移支付资金对县域生态环境保护的效果。2012年起正式开展考核评价，每年对上一年度转移支付县域开展生态环境监测评价与考核，评价指标体系也从第一版指标到</w:t>
      </w:r>
      <w:r>
        <w:rPr>
          <w:rFonts w:hint="eastAsia"/>
          <w:highlight w:val="none"/>
        </w:rPr>
        <w:t>“十三五”</w:t>
      </w:r>
      <w:r>
        <w:rPr>
          <w:highlight w:val="none"/>
        </w:rPr>
        <w:t>指标不断优化。</w:t>
      </w:r>
      <w:r>
        <w:rPr>
          <w:rFonts w:hint="eastAsia"/>
          <w:highlight w:val="none"/>
        </w:rPr>
        <w:t>“十四五”期间，结合生态环境保护治理需求与导向，将山水林田湖草系统保护与治理、生态文明示范创建、城乡人居环境综合整治、绿色低碳发展等“十四五”有关规划及要求纳入指标体系，最终形成生态保护修复、环境污染防治、绿色协调发展、城乡人居环境及工作组织情况等5类生态环境保护管理指标。2022年1月，《“十四五”国家重点生态功能区县域生态环境质量监测与评价指标体系与实施细则》印发，新增了“生态保护修复工程”考核要求，该指标指县级政府坚持新发展理念，统筹山水林田湖草系统保护和修复，为提升重点生态功能区生态产品供给能力而实施的诸如河湖湿地保护修复、防沙治沙、水土流失治理、生物多样性保护等生态保护修复工程。</w:t>
      </w:r>
    </w:p>
    <w:p>
      <w:pPr>
        <w:ind w:firstLine="480"/>
        <w:rPr>
          <w:highlight w:val="none"/>
        </w:rPr>
      </w:pPr>
      <w:r>
        <w:rPr>
          <w:rFonts w:hint="eastAsia"/>
          <w:highlight w:val="none"/>
        </w:rPr>
        <w:t>连平县位于广东省东北部、河源市的西北部，是东江一级支流新丰江的主要发源地，是国家重点生态功能区、广东北部生态发展区，发展方向以保护和修复生态环境、提供生态产品为首要任务，严格控制开发强度，大力强化生态保护和建设。自2012年被列入国家重点生态功能区县域考核以来，连平县以国家重点生态功能区建设为引领，统筹山水林田湖草沙系统保护和修复，加大生态建设和环境保护力度，不断改善县域生态环境质量，提升生态产品供给能力，全力打造连平生态品牌。2020年和2021年，连平县国家重点生态功能区县域考核等次均为良好。进入“十四五”新时期，老区苏区振兴发展、粤港澳大湾区建设和深圳建设中国特色社会主义先行示范区“双区”驱动叠加以及“一核一带一区”区域发展格局战略等深入实施，连平县发展迎来难得机遇。</w:t>
      </w:r>
      <w:r>
        <w:rPr>
          <w:highlight w:val="none"/>
        </w:rPr>
        <w:t>为持续积极响应</w:t>
      </w:r>
      <w:r>
        <w:rPr>
          <w:rFonts w:hint="eastAsia"/>
          <w:highlight w:val="none"/>
        </w:rPr>
        <w:t>“十四五”国家重点生态功能区县域考核要求，争取中央更大力度财政转移支付，持续推</w:t>
      </w:r>
      <w:r>
        <w:rPr>
          <w:highlight w:val="none"/>
        </w:rPr>
        <w:t>进国家重点生态功能区建设，提升生态环境质量，实现高质量发展、高水平保护，</w:t>
      </w:r>
      <w:r>
        <w:rPr>
          <w:rFonts w:hint="eastAsia"/>
          <w:highlight w:val="none"/>
        </w:rPr>
        <w:t>连平</w:t>
      </w:r>
      <w:r>
        <w:rPr>
          <w:highlight w:val="none"/>
        </w:rPr>
        <w:t>县有必要立足新发展阶段形势要求</w:t>
      </w:r>
      <w:r>
        <w:rPr>
          <w:rFonts w:hint="eastAsia"/>
          <w:highlight w:val="none"/>
        </w:rPr>
        <w:t>，统筹山水林田湖草系统保护和修复，</w:t>
      </w:r>
      <w:r>
        <w:rPr>
          <w:highlight w:val="none"/>
        </w:rPr>
        <w:t>科学谋划</w:t>
      </w:r>
      <w:r>
        <w:rPr>
          <w:rFonts w:hint="eastAsia"/>
          <w:highlight w:val="none"/>
        </w:rPr>
        <w:t>“十四五”生态功能保护修复规划。</w:t>
      </w:r>
    </w:p>
    <w:p>
      <w:pPr>
        <w:pStyle w:val="87"/>
        <w:ind w:left="0" w:firstLine="0"/>
        <w:rPr>
          <w:rFonts w:eastAsia="宋体"/>
          <w:color w:val="auto"/>
          <w:sz w:val="28"/>
          <w:szCs w:val="21"/>
          <w:highlight w:val="none"/>
        </w:rPr>
      </w:pPr>
      <w:bookmarkStart w:id="13" w:name="_Toc140764080"/>
      <w:bookmarkStart w:id="14" w:name="_Toc95899949"/>
      <w:r>
        <w:rPr>
          <w:rFonts w:eastAsia="宋体"/>
          <w:color w:val="auto"/>
          <w:sz w:val="28"/>
          <w:szCs w:val="21"/>
          <w:highlight w:val="none"/>
        </w:rPr>
        <w:t>编制依据</w:t>
      </w:r>
      <w:bookmarkEnd w:id="13"/>
      <w:bookmarkEnd w:id="14"/>
    </w:p>
    <w:p>
      <w:pPr>
        <w:pStyle w:val="89"/>
        <w:numPr>
          <w:ilvl w:val="2"/>
          <w:numId w:val="1"/>
        </w:numPr>
        <w:ind w:left="0" w:firstLine="0"/>
        <w:rPr>
          <w:rFonts w:eastAsia="宋体"/>
          <w:highlight w:val="none"/>
        </w:rPr>
      </w:pPr>
      <w:bookmarkStart w:id="15" w:name="_Toc140764081"/>
      <w:r>
        <w:rPr>
          <w:rFonts w:hint="eastAsia" w:eastAsia="宋体"/>
          <w:highlight w:val="none"/>
        </w:rPr>
        <w:t>法律法规、行政法规、部门规章和有关文件</w:t>
      </w:r>
      <w:bookmarkEnd w:id="15"/>
    </w:p>
    <w:p>
      <w:pPr>
        <w:widowControl/>
        <w:numPr>
          <w:ilvl w:val="0"/>
          <w:numId w:val="3"/>
        </w:numPr>
        <w:ind w:left="0" w:firstLine="480"/>
        <w:rPr>
          <w:kern w:val="0"/>
          <w:highlight w:val="none"/>
        </w:rPr>
      </w:pPr>
      <w:r>
        <w:rPr>
          <w:kern w:val="0"/>
          <w:highlight w:val="none"/>
        </w:rPr>
        <w:t>《中华人民共和国环境保护法》（201</w:t>
      </w:r>
      <w:r>
        <w:rPr>
          <w:rFonts w:hint="eastAsia"/>
          <w:kern w:val="0"/>
          <w:highlight w:val="none"/>
        </w:rPr>
        <w:t>4</w:t>
      </w:r>
      <w:r>
        <w:rPr>
          <w:kern w:val="0"/>
          <w:highlight w:val="none"/>
        </w:rPr>
        <w:t>年</w:t>
      </w:r>
      <w:r>
        <w:rPr>
          <w:rFonts w:hint="eastAsia"/>
          <w:kern w:val="0"/>
          <w:highlight w:val="none"/>
        </w:rPr>
        <w:t>修订</w:t>
      </w:r>
      <w:r>
        <w:rPr>
          <w:kern w:val="0"/>
          <w:highlight w:val="none"/>
        </w:rPr>
        <w:t>）</w:t>
      </w:r>
    </w:p>
    <w:p>
      <w:pPr>
        <w:widowControl/>
        <w:numPr>
          <w:ilvl w:val="0"/>
          <w:numId w:val="3"/>
        </w:numPr>
        <w:ind w:left="0" w:firstLine="480"/>
        <w:rPr>
          <w:kern w:val="0"/>
          <w:highlight w:val="none"/>
        </w:rPr>
      </w:pPr>
      <w:r>
        <w:rPr>
          <w:kern w:val="0"/>
          <w:highlight w:val="none"/>
        </w:rPr>
        <w:t>《中华人民共和国环境影响评价法》（2018年修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《中华人民共和国水法》（2016年修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《中华人民共和国水污染防治法》（2017年修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《中华人民共和国水土保持法》（2010年修订）</w:t>
      </w:r>
    </w:p>
    <w:p>
      <w:pPr>
        <w:widowControl/>
        <w:numPr>
          <w:ilvl w:val="0"/>
          <w:numId w:val="3"/>
        </w:numPr>
        <w:ind w:left="0" w:firstLine="480"/>
        <w:rPr>
          <w:kern w:val="0"/>
          <w:highlight w:val="none"/>
        </w:rPr>
      </w:pPr>
      <w:r>
        <w:rPr>
          <w:kern w:val="0"/>
          <w:highlight w:val="none"/>
        </w:rPr>
        <w:t>《中华人民共和国土地管理法》（2019年修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《中华人民共和国土壤污染防治法》（201</w:t>
      </w:r>
      <w:r>
        <w:rPr>
          <w:rFonts w:hint="eastAsia"/>
          <w:kern w:val="0"/>
          <w:highlight w:val="none"/>
        </w:rPr>
        <w:t>8</w:t>
      </w:r>
      <w:r>
        <w:rPr>
          <w:kern w:val="0"/>
          <w:highlight w:val="none"/>
        </w:rPr>
        <w:t>年）</w:t>
      </w:r>
    </w:p>
    <w:p>
      <w:pPr>
        <w:widowControl/>
        <w:numPr>
          <w:ilvl w:val="0"/>
          <w:numId w:val="3"/>
        </w:numPr>
        <w:ind w:left="0" w:firstLine="480"/>
        <w:rPr>
          <w:kern w:val="0"/>
          <w:highlight w:val="none"/>
        </w:rPr>
      </w:pPr>
      <w:r>
        <w:rPr>
          <w:kern w:val="0"/>
          <w:highlight w:val="none"/>
        </w:rPr>
        <w:t>《中华人民共和国城乡规划法》（2019年修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《中华人民共和国野生动物保护法》（20</w:t>
      </w:r>
      <w:r>
        <w:rPr>
          <w:rFonts w:hint="eastAsia"/>
          <w:kern w:val="0"/>
          <w:highlight w:val="none"/>
        </w:rPr>
        <w:t>22</w:t>
      </w:r>
      <w:r>
        <w:rPr>
          <w:kern w:val="0"/>
          <w:highlight w:val="none"/>
        </w:rPr>
        <w:t>年修订）</w:t>
      </w:r>
    </w:p>
    <w:p>
      <w:pPr>
        <w:widowControl/>
        <w:numPr>
          <w:ilvl w:val="0"/>
          <w:numId w:val="3"/>
        </w:numPr>
        <w:ind w:left="0" w:firstLine="480"/>
        <w:rPr>
          <w:kern w:val="0"/>
          <w:highlight w:val="none"/>
        </w:rPr>
      </w:pPr>
      <w:r>
        <w:rPr>
          <w:kern w:val="0"/>
          <w:highlight w:val="none"/>
        </w:rPr>
        <w:t>《中华人民共和国森林法》（2019年修订）</w:t>
      </w:r>
    </w:p>
    <w:p>
      <w:pPr>
        <w:widowControl/>
        <w:numPr>
          <w:ilvl w:val="0"/>
          <w:numId w:val="3"/>
        </w:numPr>
        <w:ind w:left="0" w:firstLine="480"/>
        <w:rPr>
          <w:kern w:val="0"/>
          <w:highlight w:val="none"/>
        </w:rPr>
      </w:pPr>
      <w:r>
        <w:rPr>
          <w:kern w:val="0"/>
          <w:highlight w:val="none"/>
        </w:rPr>
        <w:t>《中华人民共和国湿地保护法》（2021年）</w:t>
      </w:r>
    </w:p>
    <w:p>
      <w:pPr>
        <w:widowControl/>
        <w:numPr>
          <w:ilvl w:val="0"/>
          <w:numId w:val="3"/>
        </w:numPr>
        <w:ind w:left="0" w:firstLine="480"/>
        <w:rPr>
          <w:kern w:val="0"/>
          <w:highlight w:val="none"/>
        </w:rPr>
      </w:pPr>
      <w:r>
        <w:rPr>
          <w:kern w:val="0"/>
          <w:highlight w:val="none"/>
        </w:rPr>
        <w:t>《中华人民共和国矿产资源法》（2009年修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《中华人民共和国渔业法》（2013年修正）</w:t>
      </w:r>
    </w:p>
    <w:p>
      <w:pPr>
        <w:widowControl/>
        <w:numPr>
          <w:ilvl w:val="0"/>
          <w:numId w:val="3"/>
        </w:numPr>
        <w:ind w:left="0" w:firstLine="480"/>
        <w:rPr>
          <w:kern w:val="0"/>
          <w:highlight w:val="none"/>
        </w:rPr>
      </w:pPr>
      <w:r>
        <w:rPr>
          <w:kern w:val="0"/>
          <w:highlight w:val="none"/>
        </w:rPr>
        <w:t>《中华人民共和国农业法》（2012年修正）</w:t>
      </w:r>
    </w:p>
    <w:p>
      <w:pPr>
        <w:widowControl/>
        <w:numPr>
          <w:ilvl w:val="0"/>
          <w:numId w:val="3"/>
        </w:numPr>
        <w:ind w:left="0" w:firstLine="480"/>
        <w:rPr>
          <w:kern w:val="0"/>
          <w:highlight w:val="none"/>
        </w:rPr>
      </w:pPr>
      <w:r>
        <w:rPr>
          <w:kern w:val="0"/>
          <w:highlight w:val="none"/>
        </w:rPr>
        <w:t>《中华人民共和国种子法》（2021年修正）</w:t>
      </w:r>
    </w:p>
    <w:p>
      <w:pPr>
        <w:widowControl/>
        <w:numPr>
          <w:ilvl w:val="0"/>
          <w:numId w:val="3"/>
        </w:numPr>
        <w:ind w:left="0" w:firstLine="480"/>
        <w:rPr>
          <w:kern w:val="0"/>
          <w:highlight w:val="none"/>
        </w:rPr>
      </w:pPr>
      <w:r>
        <w:rPr>
          <w:kern w:val="0"/>
          <w:highlight w:val="none"/>
        </w:rPr>
        <w:t>《中华人民共和国陆生野生动物保护实施条例》（2016年修订）</w:t>
      </w:r>
    </w:p>
    <w:p>
      <w:pPr>
        <w:widowControl/>
        <w:numPr>
          <w:ilvl w:val="0"/>
          <w:numId w:val="3"/>
        </w:numPr>
        <w:ind w:left="0" w:firstLine="480"/>
        <w:rPr>
          <w:kern w:val="0"/>
          <w:highlight w:val="none"/>
        </w:rPr>
      </w:pPr>
      <w:r>
        <w:rPr>
          <w:kern w:val="0"/>
          <w:highlight w:val="none"/>
        </w:rPr>
        <w:t>《中华人民共和国野生植物保护条例》（2017年修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《中华人民共和国自然保护区条例》（2017年修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《中华人民共和国森林法实施条例》（2018年修订）</w:t>
      </w:r>
    </w:p>
    <w:p>
      <w:pPr>
        <w:widowControl/>
        <w:numPr>
          <w:ilvl w:val="0"/>
          <w:numId w:val="3"/>
        </w:numPr>
        <w:ind w:left="0" w:firstLine="480"/>
        <w:rPr>
          <w:kern w:val="0"/>
          <w:highlight w:val="none"/>
        </w:rPr>
      </w:pPr>
      <w:r>
        <w:rPr>
          <w:kern w:val="0"/>
          <w:highlight w:val="none"/>
        </w:rPr>
        <w:t>《关于进一步加强生物多样性保护的意见》（2021年）</w:t>
      </w:r>
    </w:p>
    <w:p>
      <w:pPr>
        <w:widowControl/>
        <w:numPr>
          <w:ilvl w:val="0"/>
          <w:numId w:val="3"/>
        </w:numPr>
        <w:ind w:left="0" w:firstLine="480"/>
        <w:rPr>
          <w:kern w:val="0"/>
          <w:highlight w:val="none"/>
        </w:rPr>
      </w:pPr>
      <w:r>
        <w:rPr>
          <w:kern w:val="0"/>
          <w:highlight w:val="none"/>
        </w:rPr>
        <w:t>《森林采伐更新管理办法》（2011年修订）</w:t>
      </w:r>
    </w:p>
    <w:p>
      <w:pPr>
        <w:widowControl/>
        <w:numPr>
          <w:ilvl w:val="0"/>
          <w:numId w:val="3"/>
        </w:numPr>
        <w:ind w:left="0" w:firstLine="480"/>
        <w:rPr>
          <w:kern w:val="0"/>
          <w:highlight w:val="none"/>
        </w:rPr>
      </w:pPr>
      <w:r>
        <w:rPr>
          <w:kern w:val="0"/>
          <w:highlight w:val="none"/>
        </w:rPr>
        <w:t>《森林公园管理办法》（2016年修改）</w:t>
      </w:r>
    </w:p>
    <w:p>
      <w:pPr>
        <w:widowControl/>
        <w:numPr>
          <w:ilvl w:val="0"/>
          <w:numId w:val="3"/>
        </w:numPr>
        <w:ind w:left="0" w:firstLine="480"/>
        <w:rPr>
          <w:kern w:val="0"/>
          <w:highlight w:val="none"/>
        </w:rPr>
      </w:pPr>
      <w:r>
        <w:rPr>
          <w:kern w:val="0"/>
          <w:highlight w:val="none"/>
        </w:rPr>
        <w:t>《松材线虫病疫区和疫木管理办法》（2018年）</w:t>
      </w:r>
    </w:p>
    <w:p>
      <w:pPr>
        <w:widowControl/>
        <w:numPr>
          <w:ilvl w:val="0"/>
          <w:numId w:val="3"/>
        </w:numPr>
        <w:ind w:left="0" w:firstLine="480"/>
        <w:rPr>
          <w:kern w:val="0"/>
          <w:highlight w:val="none"/>
        </w:rPr>
      </w:pPr>
      <w:r>
        <w:rPr>
          <w:kern w:val="0"/>
          <w:highlight w:val="none"/>
        </w:rPr>
        <w:t>《全国人民代表大会常务委员会关于全面禁止非法野生动物交易、革除滥食野生动物陋习、切实保障人民群众生命健康安全的决定》（2020年）</w:t>
      </w:r>
    </w:p>
    <w:p>
      <w:pPr>
        <w:widowControl/>
        <w:numPr>
          <w:ilvl w:val="0"/>
          <w:numId w:val="3"/>
        </w:numPr>
        <w:ind w:left="0" w:firstLine="480"/>
        <w:rPr>
          <w:kern w:val="0"/>
          <w:highlight w:val="none"/>
        </w:rPr>
      </w:pPr>
      <w:r>
        <w:rPr>
          <w:kern w:val="0"/>
          <w:highlight w:val="none"/>
        </w:rPr>
        <w:t>《国家重点保护野生植物名录》（2021年）</w:t>
      </w:r>
    </w:p>
    <w:p>
      <w:pPr>
        <w:widowControl/>
        <w:numPr>
          <w:ilvl w:val="0"/>
          <w:numId w:val="3"/>
        </w:numPr>
        <w:ind w:left="0" w:firstLine="480"/>
        <w:rPr>
          <w:kern w:val="0"/>
          <w:highlight w:val="none"/>
        </w:rPr>
      </w:pPr>
      <w:r>
        <w:rPr>
          <w:kern w:val="0"/>
          <w:highlight w:val="none"/>
        </w:rPr>
        <w:t>《国家重点保护野生动物名录》（2021年）</w:t>
      </w:r>
    </w:p>
    <w:p>
      <w:pPr>
        <w:widowControl/>
        <w:numPr>
          <w:ilvl w:val="0"/>
          <w:numId w:val="3"/>
        </w:numPr>
        <w:ind w:left="0" w:firstLine="480"/>
        <w:rPr>
          <w:kern w:val="0"/>
          <w:highlight w:val="none"/>
        </w:rPr>
      </w:pPr>
      <w:r>
        <w:rPr>
          <w:kern w:val="0"/>
          <w:highlight w:val="none"/>
        </w:rPr>
        <w:t>《国家湿地公园管理办法》（20</w:t>
      </w:r>
      <w:r>
        <w:rPr>
          <w:rFonts w:hint="eastAsia"/>
          <w:kern w:val="0"/>
          <w:highlight w:val="none"/>
        </w:rPr>
        <w:t>22</w:t>
      </w:r>
      <w:r>
        <w:rPr>
          <w:kern w:val="0"/>
          <w:highlight w:val="none"/>
        </w:rPr>
        <w:t>年）</w:t>
      </w:r>
    </w:p>
    <w:p>
      <w:pPr>
        <w:widowControl/>
        <w:numPr>
          <w:ilvl w:val="0"/>
          <w:numId w:val="3"/>
        </w:numPr>
        <w:ind w:left="0" w:firstLine="480"/>
        <w:rPr>
          <w:kern w:val="0"/>
          <w:highlight w:val="none"/>
        </w:rPr>
      </w:pPr>
      <w:r>
        <w:rPr>
          <w:kern w:val="0"/>
          <w:highlight w:val="none"/>
        </w:rPr>
        <w:t>《关于建立以国家公园为主体的自然保护地体系的指导意见》（2019年）</w:t>
      </w:r>
    </w:p>
    <w:p>
      <w:pPr>
        <w:widowControl/>
        <w:numPr>
          <w:ilvl w:val="0"/>
          <w:numId w:val="3"/>
        </w:numPr>
        <w:ind w:left="0" w:firstLine="480"/>
        <w:rPr>
          <w:kern w:val="0"/>
          <w:highlight w:val="none"/>
        </w:rPr>
      </w:pPr>
      <w:r>
        <w:rPr>
          <w:kern w:val="0"/>
          <w:highlight w:val="none"/>
        </w:rPr>
        <w:t>《中共中央国务院关于深入打好污染防治攻坚战的意见》（2021年）</w:t>
      </w:r>
    </w:p>
    <w:p>
      <w:pPr>
        <w:widowControl/>
        <w:numPr>
          <w:ilvl w:val="0"/>
          <w:numId w:val="3"/>
        </w:numPr>
        <w:ind w:left="0" w:firstLine="480"/>
        <w:rPr>
          <w:kern w:val="0"/>
          <w:highlight w:val="none"/>
        </w:rPr>
      </w:pPr>
      <w:r>
        <w:rPr>
          <w:kern w:val="0"/>
          <w:highlight w:val="none"/>
        </w:rPr>
        <w:t>《关于加强资源环境生态红线管控的指导意见》（2016年）</w:t>
      </w:r>
    </w:p>
    <w:p>
      <w:pPr>
        <w:widowControl/>
        <w:numPr>
          <w:ilvl w:val="0"/>
          <w:numId w:val="3"/>
        </w:numPr>
        <w:ind w:left="0" w:firstLine="480"/>
        <w:rPr>
          <w:kern w:val="0"/>
          <w:highlight w:val="none"/>
        </w:rPr>
      </w:pPr>
      <w:r>
        <w:rPr>
          <w:kern w:val="0"/>
          <w:highlight w:val="none"/>
        </w:rPr>
        <w:t>《关于在国土空间规划中统筹划定落实三条控制线的指导意见》（2019 年）</w:t>
      </w:r>
    </w:p>
    <w:p>
      <w:pPr>
        <w:widowControl/>
        <w:numPr>
          <w:ilvl w:val="0"/>
          <w:numId w:val="3"/>
        </w:numPr>
        <w:ind w:left="0" w:firstLine="480"/>
        <w:rPr>
          <w:kern w:val="0"/>
          <w:highlight w:val="none"/>
        </w:rPr>
      </w:pPr>
      <w:r>
        <w:rPr>
          <w:kern w:val="0"/>
          <w:highlight w:val="none"/>
        </w:rPr>
        <w:t>《</w:t>
      </w:r>
      <w:r>
        <w:rPr>
          <w:rFonts w:hint="eastAsia"/>
          <w:kern w:val="0"/>
          <w:highlight w:val="none"/>
          <w:lang w:eastAsia="zh-CN"/>
        </w:rPr>
        <w:t>“</w:t>
      </w:r>
      <w:r>
        <w:rPr>
          <w:kern w:val="0"/>
          <w:highlight w:val="none"/>
        </w:rPr>
        <w:t>生态保护红线、环境质量底线、资源利用上线和环境准入负面清单</w:t>
      </w:r>
      <w:r>
        <w:rPr>
          <w:rFonts w:hint="eastAsia"/>
          <w:kern w:val="0"/>
          <w:highlight w:val="none"/>
          <w:lang w:eastAsia="zh-CN"/>
        </w:rPr>
        <w:t>”</w:t>
      </w:r>
      <w:r>
        <w:rPr>
          <w:kern w:val="0"/>
          <w:highlight w:val="none"/>
        </w:rPr>
        <w:t>编制技术指南（试行）》（2017</w:t>
      </w:r>
      <w:r>
        <w:rPr>
          <w:rFonts w:hint="eastAsia"/>
          <w:kern w:val="0"/>
          <w:highlight w:val="none"/>
        </w:rPr>
        <w:t>年</w:t>
      </w:r>
      <w:r>
        <w:rPr>
          <w:kern w:val="0"/>
          <w:highlight w:val="none"/>
        </w:rPr>
        <w:t>）</w:t>
      </w:r>
    </w:p>
    <w:p>
      <w:pPr>
        <w:widowControl/>
        <w:numPr>
          <w:ilvl w:val="0"/>
          <w:numId w:val="3"/>
        </w:numPr>
        <w:ind w:left="0" w:firstLine="480"/>
        <w:rPr>
          <w:kern w:val="0"/>
          <w:highlight w:val="none"/>
        </w:rPr>
      </w:pPr>
      <w:r>
        <w:rPr>
          <w:kern w:val="0"/>
          <w:highlight w:val="none"/>
        </w:rPr>
        <w:t>《国务院办公厅关于加强入河入海排污口监督管理工作的实施意见》（</w:t>
      </w:r>
      <w:r>
        <w:rPr>
          <w:rFonts w:hint="eastAsia"/>
          <w:kern w:val="0"/>
          <w:highlight w:val="none"/>
        </w:rPr>
        <w:t>2022年</w:t>
      </w:r>
      <w:r>
        <w:rPr>
          <w:kern w:val="0"/>
          <w:highlight w:val="none"/>
        </w:rPr>
        <w:t>）</w:t>
      </w:r>
    </w:p>
    <w:p>
      <w:pPr>
        <w:widowControl/>
        <w:numPr>
          <w:ilvl w:val="0"/>
          <w:numId w:val="3"/>
        </w:numPr>
        <w:ind w:left="0" w:firstLine="480"/>
        <w:rPr>
          <w:kern w:val="0"/>
          <w:highlight w:val="none"/>
        </w:rPr>
      </w:pPr>
      <w:r>
        <w:rPr>
          <w:kern w:val="0"/>
          <w:highlight w:val="none"/>
        </w:rPr>
        <w:t>《中共中央国务院关于建立国土空间规划体系并监督实施的若干意见》（</w:t>
      </w:r>
      <w:r>
        <w:rPr>
          <w:rFonts w:hint="eastAsia"/>
          <w:kern w:val="0"/>
          <w:highlight w:val="none"/>
        </w:rPr>
        <w:t>2019年</w:t>
      </w:r>
      <w:r>
        <w:rPr>
          <w:kern w:val="0"/>
          <w:highlight w:val="none"/>
        </w:rPr>
        <w:t>）</w:t>
      </w:r>
    </w:p>
    <w:p>
      <w:pPr>
        <w:widowControl/>
        <w:numPr>
          <w:ilvl w:val="0"/>
          <w:numId w:val="3"/>
        </w:numPr>
        <w:ind w:left="0" w:firstLine="480"/>
        <w:rPr>
          <w:kern w:val="0"/>
          <w:highlight w:val="none"/>
        </w:rPr>
      </w:pPr>
      <w:r>
        <w:rPr>
          <w:kern w:val="0"/>
          <w:highlight w:val="none"/>
        </w:rPr>
        <w:t>《关于全面开展国土空间规划工作的通知》（2019年）</w:t>
      </w:r>
    </w:p>
    <w:p>
      <w:pPr>
        <w:widowControl/>
        <w:numPr>
          <w:ilvl w:val="0"/>
          <w:numId w:val="3"/>
        </w:numPr>
        <w:ind w:left="0" w:firstLine="480"/>
        <w:rPr>
          <w:kern w:val="0"/>
          <w:highlight w:val="none"/>
        </w:rPr>
      </w:pPr>
      <w:r>
        <w:rPr>
          <w:kern w:val="0"/>
          <w:highlight w:val="none"/>
        </w:rPr>
        <w:t>《关于划定并严守生态保护红线的若干意见》（</w:t>
      </w:r>
      <w:r>
        <w:rPr>
          <w:rFonts w:hint="eastAsia"/>
          <w:kern w:val="0"/>
          <w:highlight w:val="none"/>
        </w:rPr>
        <w:t>2017年</w:t>
      </w:r>
      <w:r>
        <w:rPr>
          <w:kern w:val="0"/>
          <w:highlight w:val="none"/>
        </w:rPr>
        <w:t>）</w:t>
      </w:r>
    </w:p>
    <w:p>
      <w:pPr>
        <w:widowControl/>
        <w:numPr>
          <w:ilvl w:val="0"/>
          <w:numId w:val="3"/>
        </w:numPr>
        <w:ind w:left="0" w:firstLine="480"/>
        <w:rPr>
          <w:kern w:val="0"/>
          <w:highlight w:val="none"/>
        </w:rPr>
      </w:pPr>
      <w:r>
        <w:rPr>
          <w:kern w:val="0"/>
          <w:highlight w:val="none"/>
        </w:rPr>
        <w:t>《中华人民共和国基本农田保护条例》（2011年修订）</w:t>
      </w:r>
    </w:p>
    <w:p>
      <w:pPr>
        <w:widowControl/>
        <w:numPr>
          <w:ilvl w:val="0"/>
          <w:numId w:val="3"/>
        </w:numPr>
        <w:ind w:left="0" w:firstLine="480"/>
        <w:rPr>
          <w:kern w:val="0"/>
          <w:highlight w:val="none"/>
        </w:rPr>
      </w:pPr>
      <w:r>
        <w:rPr>
          <w:kern w:val="0"/>
          <w:highlight w:val="none"/>
        </w:rPr>
        <w:t>《土地复垦条例》（2011年）</w:t>
      </w:r>
    </w:p>
    <w:p>
      <w:pPr>
        <w:widowControl/>
        <w:numPr>
          <w:ilvl w:val="0"/>
          <w:numId w:val="3"/>
        </w:numPr>
        <w:ind w:left="0" w:firstLine="480"/>
        <w:rPr>
          <w:kern w:val="0"/>
          <w:highlight w:val="none"/>
        </w:rPr>
      </w:pPr>
      <w:r>
        <w:rPr>
          <w:kern w:val="0"/>
          <w:highlight w:val="none"/>
        </w:rPr>
        <w:t>《土地复垦条例实施办法》（2019年修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《矿山地质环境保护规定》（2019年修</w:t>
      </w:r>
      <w:r>
        <w:rPr>
          <w:rFonts w:hint="eastAsia"/>
          <w:kern w:val="0"/>
          <w:highlight w:val="none"/>
        </w:rPr>
        <w:t>正</w:t>
      </w:r>
      <w:r>
        <w:rPr>
          <w:kern w:val="0"/>
          <w:highlight w:val="none"/>
        </w:rPr>
        <w:t>）</w:t>
      </w:r>
    </w:p>
    <w:p>
      <w:pPr>
        <w:widowControl/>
        <w:numPr>
          <w:ilvl w:val="0"/>
          <w:numId w:val="3"/>
        </w:numPr>
        <w:ind w:left="0" w:firstLine="480"/>
        <w:rPr>
          <w:kern w:val="0"/>
          <w:highlight w:val="none"/>
        </w:rPr>
      </w:pPr>
      <w:r>
        <w:rPr>
          <w:kern w:val="0"/>
          <w:highlight w:val="none"/>
        </w:rPr>
        <w:t>《关于加快建设绿色矿山的实施意见》（2017年）</w:t>
      </w:r>
    </w:p>
    <w:p>
      <w:pPr>
        <w:widowControl/>
        <w:numPr>
          <w:ilvl w:val="0"/>
          <w:numId w:val="3"/>
        </w:numPr>
        <w:ind w:left="0" w:firstLine="480"/>
        <w:rPr>
          <w:kern w:val="0"/>
          <w:highlight w:val="none"/>
        </w:rPr>
      </w:pPr>
      <w:r>
        <w:rPr>
          <w:rFonts w:hint="eastAsia"/>
          <w:kern w:val="0"/>
          <w:highlight w:val="none"/>
        </w:rPr>
        <w:t>《国土资源部关于推进矿产资源全面节约和高效利用的意见》（2016年）</w:t>
      </w:r>
    </w:p>
    <w:p>
      <w:pPr>
        <w:widowControl/>
        <w:numPr>
          <w:ilvl w:val="0"/>
          <w:numId w:val="3"/>
        </w:numPr>
        <w:ind w:left="0" w:firstLine="480"/>
        <w:rPr>
          <w:kern w:val="0"/>
          <w:highlight w:val="none"/>
        </w:rPr>
      </w:pPr>
      <w:r>
        <w:rPr>
          <w:rFonts w:hint="eastAsia"/>
          <w:kern w:val="0"/>
          <w:highlight w:val="none"/>
        </w:rPr>
        <w:t>《自然资源部办公厅 生态环境部办公厅关于加快推进露天矿山综合整治工作实施意见的函》（2019年）</w:t>
      </w:r>
    </w:p>
    <w:p>
      <w:pPr>
        <w:widowControl/>
        <w:numPr>
          <w:ilvl w:val="0"/>
          <w:numId w:val="3"/>
        </w:numPr>
        <w:ind w:left="0" w:firstLine="480"/>
        <w:rPr>
          <w:kern w:val="0"/>
          <w:highlight w:val="none"/>
        </w:rPr>
      </w:pPr>
      <w:r>
        <w:rPr>
          <w:kern w:val="0"/>
          <w:highlight w:val="none"/>
        </w:rPr>
        <w:t>《全国重要生态系统保护和修复重大工程总体规划（2021-2035年）》 （2020年）</w:t>
      </w:r>
    </w:p>
    <w:p>
      <w:pPr>
        <w:widowControl/>
        <w:numPr>
          <w:ilvl w:val="0"/>
          <w:numId w:val="3"/>
        </w:numPr>
        <w:ind w:left="0" w:firstLine="480"/>
        <w:rPr>
          <w:kern w:val="0"/>
          <w:highlight w:val="none"/>
        </w:rPr>
      </w:pPr>
      <w:r>
        <w:rPr>
          <w:kern w:val="0"/>
          <w:highlight w:val="none"/>
        </w:rPr>
        <w:t>《山水林田湖草生态保护修复工程指南（试行）》（2020年）</w:t>
      </w:r>
    </w:p>
    <w:p>
      <w:pPr>
        <w:widowControl/>
        <w:numPr>
          <w:ilvl w:val="0"/>
          <w:numId w:val="3"/>
        </w:numPr>
        <w:ind w:left="0" w:firstLine="480"/>
        <w:rPr>
          <w:kern w:val="0"/>
          <w:highlight w:val="none"/>
        </w:rPr>
      </w:pPr>
      <w:r>
        <w:rPr>
          <w:kern w:val="0"/>
          <w:highlight w:val="none"/>
        </w:rPr>
        <w:t>《关于推进山水林田湖草生态保护修复工作的通知》（2016年）</w:t>
      </w:r>
    </w:p>
    <w:p>
      <w:pPr>
        <w:widowControl/>
        <w:numPr>
          <w:ilvl w:val="0"/>
          <w:numId w:val="3"/>
        </w:numPr>
        <w:ind w:left="0" w:firstLine="480"/>
        <w:rPr>
          <w:kern w:val="0"/>
          <w:highlight w:val="none"/>
        </w:rPr>
      </w:pPr>
      <w:r>
        <w:rPr>
          <w:kern w:val="0"/>
          <w:highlight w:val="none"/>
        </w:rPr>
        <w:t>《重点生态保护修复治理资金管理办法》（2019年）</w:t>
      </w:r>
    </w:p>
    <w:p>
      <w:pPr>
        <w:widowControl/>
        <w:numPr>
          <w:ilvl w:val="0"/>
          <w:numId w:val="3"/>
        </w:numPr>
        <w:ind w:left="0" w:firstLine="480"/>
        <w:rPr>
          <w:kern w:val="0"/>
          <w:highlight w:val="none"/>
        </w:rPr>
      </w:pPr>
      <w:r>
        <w:rPr>
          <w:kern w:val="0"/>
          <w:highlight w:val="none"/>
        </w:rPr>
        <w:t>《地表水环境质量标准（GB 3838-2002 ）》（2002年）</w:t>
      </w:r>
    </w:p>
    <w:p>
      <w:pPr>
        <w:widowControl/>
        <w:numPr>
          <w:ilvl w:val="0"/>
          <w:numId w:val="3"/>
        </w:numPr>
        <w:ind w:left="0" w:firstLine="480"/>
        <w:rPr>
          <w:kern w:val="0"/>
          <w:highlight w:val="none"/>
        </w:rPr>
      </w:pPr>
      <w:r>
        <w:rPr>
          <w:kern w:val="0"/>
          <w:highlight w:val="none"/>
        </w:rPr>
        <w:t>《</w:t>
      </w:r>
      <w:r>
        <w:rPr>
          <w:rFonts w:hint="eastAsia" w:ascii="宋体" w:hAnsi="宋体" w:eastAsia="宋体" w:cs="宋体"/>
          <w:kern w:val="0"/>
          <w:highlight w:val="none"/>
        </w:rPr>
        <w:t>“</w:t>
      </w:r>
      <w:r>
        <w:rPr>
          <w:kern w:val="0"/>
          <w:highlight w:val="none"/>
        </w:rPr>
        <w:t>十四五</w:t>
      </w:r>
      <w:r>
        <w:rPr>
          <w:rFonts w:hint="eastAsia" w:ascii="宋体" w:hAnsi="宋体" w:eastAsia="宋体" w:cs="宋体"/>
          <w:kern w:val="0"/>
          <w:highlight w:val="none"/>
        </w:rPr>
        <w:t>”</w:t>
      </w:r>
      <w:r>
        <w:rPr>
          <w:kern w:val="0"/>
          <w:highlight w:val="none"/>
        </w:rPr>
        <w:t>国家重点生态功能区县域生态环境质量监测与评价指标体系及实施细则》（2022年）</w:t>
      </w:r>
    </w:p>
    <w:p>
      <w:pPr>
        <w:pStyle w:val="89"/>
        <w:numPr>
          <w:ilvl w:val="2"/>
          <w:numId w:val="1"/>
        </w:numPr>
        <w:ind w:left="0" w:firstLine="0"/>
        <w:rPr>
          <w:rFonts w:eastAsia="宋体"/>
          <w:highlight w:val="none"/>
        </w:rPr>
      </w:pPr>
      <w:bookmarkStart w:id="16" w:name="_Toc140764082"/>
      <w:r>
        <w:rPr>
          <w:rFonts w:hint="eastAsia" w:eastAsia="宋体"/>
          <w:highlight w:val="none"/>
        </w:rPr>
        <w:t>地方性法规、地方政府规章和有关文件</w:t>
      </w:r>
      <w:bookmarkEnd w:id="16"/>
    </w:p>
    <w:p>
      <w:pPr>
        <w:widowControl/>
        <w:numPr>
          <w:ilvl w:val="0"/>
          <w:numId w:val="4"/>
        </w:numPr>
        <w:ind w:left="0" w:firstLine="480"/>
        <w:rPr>
          <w:kern w:val="0"/>
          <w:highlight w:val="none"/>
        </w:rPr>
      </w:pPr>
      <w:r>
        <w:rPr>
          <w:kern w:val="0"/>
          <w:highlight w:val="none"/>
        </w:rPr>
        <w:t>《广东省环境保护条例》（20</w:t>
      </w:r>
      <w:r>
        <w:rPr>
          <w:rFonts w:hint="eastAsia"/>
          <w:kern w:val="0"/>
          <w:highlight w:val="none"/>
        </w:rPr>
        <w:t>22</w:t>
      </w:r>
      <w:r>
        <w:rPr>
          <w:kern w:val="0"/>
          <w:highlight w:val="none"/>
        </w:rPr>
        <w:t>年修正）</w:t>
      </w:r>
    </w:p>
    <w:p>
      <w:pPr>
        <w:widowControl/>
        <w:numPr>
          <w:ilvl w:val="0"/>
          <w:numId w:val="4"/>
        </w:numPr>
        <w:ind w:left="0" w:firstLine="480"/>
        <w:rPr>
          <w:kern w:val="0"/>
          <w:highlight w:val="none"/>
        </w:rPr>
      </w:pPr>
      <w:r>
        <w:rPr>
          <w:kern w:val="0"/>
          <w:highlight w:val="none"/>
        </w:rPr>
        <w:t>《广东省水污染防治条例》（202</w:t>
      </w:r>
      <w:r>
        <w:rPr>
          <w:rFonts w:hint="eastAsia"/>
          <w:kern w:val="0"/>
          <w:highlight w:val="none"/>
        </w:rPr>
        <w:t>1</w:t>
      </w:r>
      <w:r>
        <w:rPr>
          <w:kern w:val="0"/>
          <w:highlight w:val="none"/>
        </w:rPr>
        <w:t>年修正）</w:t>
      </w:r>
    </w:p>
    <w:p>
      <w:pPr>
        <w:widowControl/>
        <w:numPr>
          <w:ilvl w:val="0"/>
          <w:numId w:val="4"/>
        </w:numPr>
        <w:ind w:left="0" w:firstLine="480"/>
        <w:rPr>
          <w:kern w:val="0"/>
          <w:highlight w:val="none"/>
        </w:rPr>
      </w:pPr>
      <w:r>
        <w:rPr>
          <w:kern w:val="0"/>
          <w:highlight w:val="none"/>
        </w:rPr>
        <w:t>《广东省林地保护管理条例》（2020年修</w:t>
      </w:r>
      <w:r>
        <w:rPr>
          <w:rFonts w:hint="eastAsia"/>
          <w:kern w:val="0"/>
          <w:highlight w:val="none"/>
        </w:rPr>
        <w:t>正</w:t>
      </w:r>
      <w:r>
        <w:rPr>
          <w:kern w:val="0"/>
          <w:highlight w:val="none"/>
        </w:rPr>
        <w:t>）</w:t>
      </w:r>
    </w:p>
    <w:p>
      <w:pPr>
        <w:widowControl/>
        <w:numPr>
          <w:ilvl w:val="0"/>
          <w:numId w:val="4"/>
        </w:numPr>
        <w:ind w:left="0" w:firstLine="480"/>
        <w:rPr>
          <w:kern w:val="0"/>
          <w:highlight w:val="none"/>
        </w:rPr>
      </w:pPr>
      <w:r>
        <w:rPr>
          <w:kern w:val="0"/>
          <w:highlight w:val="none"/>
        </w:rPr>
        <w:t>《广东省湿地保护条例》（2020年修订）</w:t>
      </w:r>
    </w:p>
    <w:p>
      <w:pPr>
        <w:widowControl/>
        <w:numPr>
          <w:ilvl w:val="0"/>
          <w:numId w:val="4"/>
        </w:numPr>
        <w:ind w:left="0" w:firstLine="480"/>
        <w:rPr>
          <w:kern w:val="0"/>
          <w:highlight w:val="none"/>
        </w:rPr>
      </w:pPr>
      <w:r>
        <w:rPr>
          <w:kern w:val="0"/>
          <w:highlight w:val="none"/>
        </w:rPr>
        <w:t>《广东省野生动物保护管理条例》（2020年修订）</w:t>
      </w:r>
    </w:p>
    <w:p>
      <w:pPr>
        <w:widowControl/>
        <w:numPr>
          <w:ilvl w:val="0"/>
          <w:numId w:val="4"/>
        </w:numPr>
        <w:ind w:left="0" w:firstLine="480"/>
        <w:rPr>
          <w:kern w:val="0"/>
          <w:highlight w:val="none"/>
        </w:rPr>
      </w:pPr>
      <w:r>
        <w:rPr>
          <w:kern w:val="0"/>
          <w:highlight w:val="none"/>
        </w:rPr>
        <w:t>《广东省森林病虫害防治实施办法》（2019年修改）</w:t>
      </w:r>
    </w:p>
    <w:p>
      <w:pPr>
        <w:widowControl/>
        <w:numPr>
          <w:ilvl w:val="0"/>
          <w:numId w:val="4"/>
        </w:numPr>
        <w:ind w:left="0" w:firstLine="480"/>
        <w:rPr>
          <w:kern w:val="0"/>
          <w:highlight w:val="none"/>
        </w:rPr>
      </w:pPr>
      <w:r>
        <w:rPr>
          <w:kern w:val="0"/>
          <w:highlight w:val="none"/>
        </w:rPr>
        <w:t>《广东省种子条例》（2019年）</w:t>
      </w:r>
    </w:p>
    <w:p>
      <w:pPr>
        <w:widowControl/>
        <w:numPr>
          <w:ilvl w:val="0"/>
          <w:numId w:val="4"/>
        </w:numPr>
        <w:ind w:left="0" w:firstLine="480"/>
        <w:rPr>
          <w:kern w:val="0"/>
          <w:highlight w:val="none"/>
        </w:rPr>
      </w:pPr>
      <w:r>
        <w:rPr>
          <w:kern w:val="0"/>
          <w:highlight w:val="none"/>
        </w:rPr>
        <w:t>《广东省森林和陆生野生动物类型自然保护区管理办法》（2017年）</w:t>
      </w:r>
    </w:p>
    <w:p>
      <w:pPr>
        <w:widowControl/>
        <w:numPr>
          <w:ilvl w:val="0"/>
          <w:numId w:val="4"/>
        </w:numPr>
        <w:ind w:left="0" w:firstLine="480"/>
        <w:rPr>
          <w:kern w:val="0"/>
          <w:highlight w:val="none"/>
        </w:rPr>
      </w:pPr>
      <w:r>
        <w:rPr>
          <w:kern w:val="0"/>
          <w:highlight w:val="none"/>
        </w:rPr>
        <w:t>《关于进一步加强野生植物保护管理工作的通知》（2017年）</w:t>
      </w:r>
    </w:p>
    <w:p>
      <w:pPr>
        <w:widowControl/>
        <w:numPr>
          <w:ilvl w:val="0"/>
          <w:numId w:val="4"/>
        </w:numPr>
        <w:ind w:left="0" w:firstLine="480"/>
        <w:rPr>
          <w:kern w:val="0"/>
          <w:highlight w:val="none"/>
        </w:rPr>
      </w:pPr>
      <w:r>
        <w:rPr>
          <w:kern w:val="0"/>
          <w:highlight w:val="none"/>
        </w:rPr>
        <w:t>《广东省主要乡土树种名录》（2021年）</w:t>
      </w:r>
    </w:p>
    <w:p>
      <w:pPr>
        <w:widowControl/>
        <w:numPr>
          <w:ilvl w:val="0"/>
          <w:numId w:val="4"/>
        </w:numPr>
        <w:ind w:left="0" w:firstLine="480"/>
        <w:rPr>
          <w:kern w:val="0"/>
          <w:highlight w:val="none"/>
        </w:rPr>
      </w:pPr>
      <w:r>
        <w:rPr>
          <w:kern w:val="0"/>
          <w:highlight w:val="none"/>
        </w:rPr>
        <w:t>《广东省林业局造林管理办法》（2022年）</w:t>
      </w:r>
    </w:p>
    <w:p>
      <w:pPr>
        <w:widowControl/>
        <w:numPr>
          <w:ilvl w:val="0"/>
          <w:numId w:val="4"/>
        </w:numPr>
        <w:ind w:left="0" w:firstLine="480"/>
        <w:rPr>
          <w:kern w:val="0"/>
          <w:highlight w:val="none"/>
        </w:rPr>
      </w:pPr>
      <w:r>
        <w:rPr>
          <w:kern w:val="0"/>
          <w:highlight w:val="none"/>
        </w:rPr>
        <w:t>《广东省林业局关于省重要湿地认定和名录发布管理办法》（2021年）</w:t>
      </w:r>
    </w:p>
    <w:p>
      <w:pPr>
        <w:widowControl/>
        <w:numPr>
          <w:ilvl w:val="0"/>
          <w:numId w:val="4"/>
        </w:numPr>
        <w:ind w:left="0" w:firstLine="480"/>
        <w:rPr>
          <w:kern w:val="0"/>
          <w:highlight w:val="none"/>
        </w:rPr>
      </w:pPr>
      <w:r>
        <w:rPr>
          <w:kern w:val="0"/>
          <w:highlight w:val="none"/>
        </w:rPr>
        <w:t>《广东省湿地公园管理暂行办法》（2017年）</w:t>
      </w:r>
    </w:p>
    <w:p>
      <w:pPr>
        <w:widowControl/>
        <w:numPr>
          <w:ilvl w:val="0"/>
          <w:numId w:val="4"/>
        </w:numPr>
        <w:ind w:left="0" w:firstLine="480"/>
        <w:rPr>
          <w:kern w:val="0"/>
          <w:highlight w:val="none"/>
        </w:rPr>
      </w:pPr>
      <w:r>
        <w:rPr>
          <w:kern w:val="0"/>
          <w:highlight w:val="none"/>
        </w:rPr>
        <w:t>《广东省林业局关于松材线虫病疫区和疫木的管理办法》（2020年）</w:t>
      </w:r>
    </w:p>
    <w:p>
      <w:pPr>
        <w:widowControl/>
        <w:numPr>
          <w:ilvl w:val="0"/>
          <w:numId w:val="4"/>
        </w:numPr>
        <w:ind w:left="0" w:firstLine="480"/>
        <w:rPr>
          <w:kern w:val="0"/>
          <w:highlight w:val="none"/>
        </w:rPr>
      </w:pPr>
      <w:r>
        <w:rPr>
          <w:kern w:val="0"/>
          <w:highlight w:val="none"/>
        </w:rPr>
        <w:t>《广东省林业局关于加强省级森林公园总体规划编制相关工作的通知》（2018年）</w:t>
      </w:r>
    </w:p>
    <w:p>
      <w:pPr>
        <w:widowControl/>
        <w:numPr>
          <w:ilvl w:val="0"/>
          <w:numId w:val="4"/>
        </w:numPr>
        <w:ind w:left="0" w:firstLine="480"/>
        <w:rPr>
          <w:kern w:val="0"/>
          <w:highlight w:val="none"/>
        </w:rPr>
      </w:pPr>
      <w:r>
        <w:rPr>
          <w:kern w:val="0"/>
          <w:highlight w:val="none"/>
        </w:rPr>
        <w:t>《广东省省级生态公益林效益补偿资金管理办法》（2018年）</w:t>
      </w:r>
    </w:p>
    <w:p>
      <w:pPr>
        <w:widowControl/>
        <w:numPr>
          <w:ilvl w:val="0"/>
          <w:numId w:val="4"/>
        </w:numPr>
        <w:ind w:left="0" w:firstLine="480"/>
        <w:rPr>
          <w:kern w:val="0"/>
          <w:highlight w:val="none"/>
        </w:rPr>
      </w:pPr>
      <w:r>
        <w:rPr>
          <w:kern w:val="0"/>
          <w:highlight w:val="none"/>
        </w:rPr>
        <w:t>《广东省人民政府办公厅印发广东省最严格水资源管理制度实施方案的通知》（2011年）</w:t>
      </w:r>
    </w:p>
    <w:p>
      <w:pPr>
        <w:widowControl/>
        <w:numPr>
          <w:ilvl w:val="0"/>
          <w:numId w:val="4"/>
        </w:numPr>
        <w:ind w:left="0" w:firstLine="480"/>
        <w:rPr>
          <w:kern w:val="0"/>
          <w:highlight w:val="none"/>
        </w:rPr>
      </w:pPr>
      <w:r>
        <w:rPr>
          <w:kern w:val="0"/>
          <w:highlight w:val="none"/>
        </w:rPr>
        <w:t>《广东省实施〈中华人民共和国土壤污染防治法〉办法》（2018年）</w:t>
      </w:r>
    </w:p>
    <w:p>
      <w:pPr>
        <w:widowControl/>
        <w:numPr>
          <w:ilvl w:val="0"/>
          <w:numId w:val="4"/>
        </w:numPr>
        <w:ind w:left="0" w:firstLine="480"/>
        <w:rPr>
          <w:kern w:val="0"/>
          <w:highlight w:val="none"/>
        </w:rPr>
      </w:pPr>
      <w:r>
        <w:rPr>
          <w:kern w:val="0"/>
          <w:highlight w:val="none"/>
        </w:rPr>
        <w:t>《广东省生态环境厅关于进一步加强工业园区环境保护工作的意见》（2019年）</w:t>
      </w:r>
    </w:p>
    <w:p>
      <w:pPr>
        <w:widowControl/>
        <w:numPr>
          <w:ilvl w:val="0"/>
          <w:numId w:val="4"/>
        </w:numPr>
        <w:ind w:left="0" w:firstLine="480"/>
        <w:rPr>
          <w:kern w:val="0"/>
          <w:highlight w:val="none"/>
        </w:rPr>
      </w:pPr>
      <w:r>
        <w:rPr>
          <w:kern w:val="0"/>
          <w:highlight w:val="none"/>
        </w:rPr>
        <w:t>《广东省生态环境厅关于进一步加强土壤污染重点监管单位环境管理的通知》（</w:t>
      </w:r>
      <w:r>
        <w:rPr>
          <w:rFonts w:hint="eastAsia"/>
          <w:kern w:val="0"/>
          <w:highlight w:val="none"/>
        </w:rPr>
        <w:t>2021年</w:t>
      </w:r>
      <w:r>
        <w:rPr>
          <w:kern w:val="0"/>
          <w:highlight w:val="none"/>
        </w:rPr>
        <w:t>）</w:t>
      </w:r>
    </w:p>
    <w:p>
      <w:pPr>
        <w:widowControl/>
        <w:numPr>
          <w:ilvl w:val="0"/>
          <w:numId w:val="4"/>
        </w:numPr>
        <w:ind w:left="0" w:firstLine="480"/>
        <w:rPr>
          <w:kern w:val="0"/>
          <w:highlight w:val="none"/>
        </w:rPr>
      </w:pPr>
      <w:r>
        <w:rPr>
          <w:kern w:val="0"/>
          <w:highlight w:val="none"/>
        </w:rPr>
        <w:t>《广东省生态环境厅广东省自然资源厅广东省住房和城乡建设厅广东省工业和信息化厅关于进一步加强建设用地土壤环境联动监管的通知》（</w:t>
      </w:r>
      <w:r>
        <w:rPr>
          <w:rFonts w:hint="eastAsia"/>
          <w:kern w:val="0"/>
          <w:highlight w:val="none"/>
        </w:rPr>
        <w:t>2021年</w:t>
      </w:r>
      <w:r>
        <w:rPr>
          <w:kern w:val="0"/>
          <w:highlight w:val="none"/>
        </w:rPr>
        <w:t>）</w:t>
      </w:r>
    </w:p>
    <w:p>
      <w:pPr>
        <w:widowControl/>
        <w:numPr>
          <w:ilvl w:val="0"/>
          <w:numId w:val="4"/>
        </w:numPr>
        <w:ind w:left="0" w:firstLine="480"/>
        <w:rPr>
          <w:kern w:val="0"/>
          <w:highlight w:val="none"/>
        </w:rPr>
      </w:pPr>
      <w:r>
        <w:rPr>
          <w:kern w:val="0"/>
          <w:highlight w:val="none"/>
        </w:rPr>
        <w:t xml:space="preserve">《广东省地表水环境功能区划》（2011年） </w:t>
      </w:r>
    </w:p>
    <w:p>
      <w:pPr>
        <w:widowControl/>
        <w:numPr>
          <w:ilvl w:val="0"/>
          <w:numId w:val="4"/>
        </w:numPr>
        <w:ind w:left="0" w:firstLine="480"/>
        <w:rPr>
          <w:kern w:val="0"/>
          <w:highlight w:val="none"/>
        </w:rPr>
      </w:pPr>
      <w:r>
        <w:rPr>
          <w:kern w:val="0"/>
          <w:highlight w:val="none"/>
        </w:rPr>
        <w:t>《广东省环境保护厅关于印发南粤水更清行动计划（修订本）（2017-2020年）的通知》（2017年）</w:t>
      </w:r>
    </w:p>
    <w:p>
      <w:pPr>
        <w:widowControl/>
        <w:numPr>
          <w:ilvl w:val="0"/>
          <w:numId w:val="4"/>
        </w:numPr>
        <w:ind w:left="0" w:firstLine="480"/>
        <w:rPr>
          <w:kern w:val="0"/>
          <w:highlight w:val="none"/>
        </w:rPr>
      </w:pPr>
      <w:r>
        <w:rPr>
          <w:kern w:val="0"/>
          <w:highlight w:val="none"/>
        </w:rPr>
        <w:t>《广东省人民政府关于印发广东省“三线一单”生态环境分区管控方案的通知》（2021年）</w:t>
      </w:r>
    </w:p>
    <w:p>
      <w:pPr>
        <w:widowControl/>
        <w:numPr>
          <w:ilvl w:val="0"/>
          <w:numId w:val="4"/>
        </w:numPr>
        <w:ind w:left="0" w:firstLine="480"/>
        <w:rPr>
          <w:kern w:val="0"/>
          <w:highlight w:val="none"/>
        </w:rPr>
      </w:pPr>
      <w:r>
        <w:rPr>
          <w:kern w:val="0"/>
          <w:highlight w:val="none"/>
        </w:rPr>
        <w:t>《广东省国土空间生态修复规划（2021-2035年）》（2022年）</w:t>
      </w:r>
    </w:p>
    <w:p>
      <w:pPr>
        <w:widowControl/>
        <w:numPr>
          <w:ilvl w:val="0"/>
          <w:numId w:val="4"/>
        </w:numPr>
        <w:ind w:left="0" w:firstLine="480"/>
        <w:rPr>
          <w:kern w:val="0"/>
          <w:highlight w:val="none"/>
        </w:rPr>
      </w:pPr>
      <w:r>
        <w:rPr>
          <w:kern w:val="0"/>
          <w:highlight w:val="none"/>
        </w:rPr>
        <w:t>《广东省林业保护发展</w:t>
      </w:r>
      <w:r>
        <w:rPr>
          <w:rFonts w:hint="eastAsia" w:ascii="宋体" w:hAnsi="宋体" w:eastAsia="宋体" w:cs="宋体"/>
          <w:kern w:val="0"/>
          <w:highlight w:val="none"/>
        </w:rPr>
        <w:t>“十四五”</w:t>
      </w:r>
      <w:r>
        <w:rPr>
          <w:kern w:val="0"/>
          <w:highlight w:val="none"/>
        </w:rPr>
        <w:t>规划》（2021年）</w:t>
      </w:r>
    </w:p>
    <w:p>
      <w:pPr>
        <w:widowControl/>
        <w:numPr>
          <w:ilvl w:val="0"/>
          <w:numId w:val="4"/>
        </w:numPr>
        <w:ind w:left="0" w:firstLine="480"/>
        <w:rPr>
          <w:kern w:val="0"/>
          <w:highlight w:val="none"/>
        </w:rPr>
      </w:pPr>
      <w:r>
        <w:rPr>
          <w:kern w:val="0"/>
          <w:highlight w:val="none"/>
        </w:rPr>
        <w:t>《广东省高质量水源林建设规划》（2020年）</w:t>
      </w:r>
    </w:p>
    <w:p>
      <w:pPr>
        <w:widowControl/>
        <w:numPr>
          <w:ilvl w:val="0"/>
          <w:numId w:val="4"/>
        </w:numPr>
        <w:ind w:left="0" w:firstLine="480"/>
        <w:rPr>
          <w:kern w:val="0"/>
          <w:highlight w:val="none"/>
        </w:rPr>
      </w:pPr>
      <w:r>
        <w:rPr>
          <w:kern w:val="0"/>
          <w:highlight w:val="none"/>
        </w:rPr>
        <w:t>《广东省林业有害生物防治</w:t>
      </w:r>
      <w:r>
        <w:rPr>
          <w:rFonts w:hint="eastAsia" w:ascii="宋体" w:hAnsi="宋体" w:eastAsia="宋体" w:cs="宋体"/>
          <w:kern w:val="0"/>
          <w:highlight w:val="none"/>
        </w:rPr>
        <w:t>“十四五”</w:t>
      </w:r>
      <w:r>
        <w:rPr>
          <w:kern w:val="0"/>
          <w:highlight w:val="none"/>
        </w:rPr>
        <w:t>规划》（2021年）</w:t>
      </w:r>
    </w:p>
    <w:p>
      <w:pPr>
        <w:widowControl/>
        <w:numPr>
          <w:ilvl w:val="0"/>
          <w:numId w:val="4"/>
        </w:numPr>
        <w:ind w:left="0" w:firstLine="480"/>
        <w:rPr>
          <w:kern w:val="0"/>
          <w:highlight w:val="none"/>
        </w:rPr>
      </w:pPr>
      <w:r>
        <w:rPr>
          <w:kern w:val="0"/>
          <w:highlight w:val="none"/>
        </w:rPr>
        <w:t>《广东省自然保护地规划（2021-2035年）》（2021年）</w:t>
      </w:r>
    </w:p>
    <w:p>
      <w:pPr>
        <w:widowControl/>
        <w:numPr>
          <w:ilvl w:val="0"/>
          <w:numId w:val="4"/>
        </w:numPr>
        <w:ind w:left="0" w:firstLine="480"/>
        <w:rPr>
          <w:kern w:val="0"/>
          <w:highlight w:val="none"/>
        </w:rPr>
      </w:pPr>
      <w:r>
        <w:rPr>
          <w:kern w:val="0"/>
          <w:highlight w:val="none"/>
        </w:rPr>
        <w:t>《广东省自然资源保护与开发</w:t>
      </w:r>
      <w:r>
        <w:rPr>
          <w:rFonts w:hint="eastAsia" w:ascii="宋体" w:hAnsi="宋体" w:eastAsia="宋体" w:cs="宋体"/>
          <w:kern w:val="0"/>
          <w:highlight w:val="none"/>
        </w:rPr>
        <w:t>“十四五”</w:t>
      </w:r>
      <w:r>
        <w:rPr>
          <w:kern w:val="0"/>
          <w:highlight w:val="none"/>
        </w:rPr>
        <w:t>规划》（2022年）</w:t>
      </w:r>
    </w:p>
    <w:p>
      <w:pPr>
        <w:widowControl/>
        <w:numPr>
          <w:ilvl w:val="0"/>
          <w:numId w:val="4"/>
        </w:numPr>
        <w:ind w:left="0" w:firstLine="480"/>
        <w:rPr>
          <w:kern w:val="0"/>
          <w:highlight w:val="none"/>
        </w:rPr>
      </w:pPr>
      <w:r>
        <w:rPr>
          <w:kern w:val="0"/>
          <w:highlight w:val="none"/>
        </w:rPr>
        <w:t>《广东省绿色矿业发展五年行动方案（2021-2025年）》（2021年）</w:t>
      </w:r>
    </w:p>
    <w:p>
      <w:pPr>
        <w:widowControl/>
        <w:numPr>
          <w:ilvl w:val="0"/>
          <w:numId w:val="4"/>
        </w:numPr>
        <w:ind w:left="0" w:firstLine="480"/>
        <w:rPr>
          <w:kern w:val="0"/>
          <w:highlight w:val="none"/>
        </w:rPr>
      </w:pPr>
      <w:r>
        <w:rPr>
          <w:kern w:val="0"/>
          <w:highlight w:val="none"/>
        </w:rPr>
        <w:t>《广东省高标准农田建设规划（2021-2030年）》（2022年）</w:t>
      </w:r>
    </w:p>
    <w:p>
      <w:pPr>
        <w:widowControl/>
        <w:numPr>
          <w:ilvl w:val="0"/>
          <w:numId w:val="4"/>
        </w:numPr>
        <w:ind w:left="0" w:firstLine="480"/>
        <w:rPr>
          <w:kern w:val="0"/>
          <w:highlight w:val="none"/>
        </w:rPr>
      </w:pPr>
      <w:r>
        <w:rPr>
          <w:rFonts w:hint="eastAsia"/>
          <w:kern w:val="0"/>
          <w:highlight w:val="none"/>
        </w:rPr>
        <w:t>《河源市国民经济和社会发展第十四个五年规划和2035年远景目标纲要》（2021年）</w:t>
      </w:r>
    </w:p>
    <w:p>
      <w:pPr>
        <w:widowControl/>
        <w:numPr>
          <w:ilvl w:val="0"/>
          <w:numId w:val="4"/>
        </w:numPr>
        <w:ind w:firstLineChars="0"/>
        <w:rPr>
          <w:kern w:val="0"/>
          <w:highlight w:val="none"/>
        </w:rPr>
      </w:pPr>
      <w:r>
        <w:rPr>
          <w:rFonts w:hint="eastAsia"/>
          <w:kern w:val="0"/>
          <w:highlight w:val="none"/>
        </w:rPr>
        <w:t>《河源市矿产资源总体规划（2021-2025年）》（2023年）</w:t>
      </w:r>
    </w:p>
    <w:p>
      <w:pPr>
        <w:widowControl/>
        <w:numPr>
          <w:ilvl w:val="0"/>
          <w:numId w:val="4"/>
        </w:numPr>
        <w:ind w:left="0" w:firstLine="480"/>
        <w:rPr>
          <w:kern w:val="0"/>
          <w:highlight w:val="none"/>
        </w:rPr>
      </w:pPr>
      <w:r>
        <w:rPr>
          <w:rFonts w:hint="eastAsia"/>
          <w:kern w:val="0"/>
          <w:highlight w:val="none"/>
        </w:rPr>
        <w:t>《河源市新丰江水库及其主要支流水环境（降氮控磷）综合整治行动方案（2021-2025年）》（2021年）</w:t>
      </w:r>
    </w:p>
    <w:p>
      <w:pPr>
        <w:widowControl/>
        <w:numPr>
          <w:ilvl w:val="0"/>
          <w:numId w:val="4"/>
        </w:numPr>
        <w:ind w:firstLineChars="0"/>
        <w:rPr>
          <w:kern w:val="0"/>
          <w:highlight w:val="none"/>
        </w:rPr>
      </w:pPr>
      <w:r>
        <w:rPr>
          <w:rFonts w:hint="eastAsia"/>
          <w:kern w:val="0"/>
          <w:highlight w:val="none"/>
        </w:rPr>
        <w:t>《河源市生态环境保护</w:t>
      </w:r>
      <w:r>
        <w:rPr>
          <w:rFonts w:hint="eastAsia"/>
          <w:kern w:val="0"/>
          <w:highlight w:val="none"/>
          <w:lang w:eastAsia="zh-CN"/>
        </w:rPr>
        <w:t>“</w:t>
      </w:r>
      <w:r>
        <w:rPr>
          <w:rFonts w:hint="eastAsia"/>
          <w:kern w:val="0"/>
          <w:highlight w:val="none"/>
        </w:rPr>
        <w:t>十四五</w:t>
      </w:r>
      <w:r>
        <w:rPr>
          <w:rFonts w:hint="eastAsia"/>
          <w:kern w:val="0"/>
          <w:highlight w:val="none"/>
          <w:lang w:eastAsia="zh-CN"/>
        </w:rPr>
        <w:t>”</w:t>
      </w:r>
      <w:r>
        <w:rPr>
          <w:rFonts w:hint="eastAsia"/>
          <w:kern w:val="0"/>
          <w:highlight w:val="none"/>
        </w:rPr>
        <w:t>规划》（2022年）</w:t>
      </w:r>
    </w:p>
    <w:p>
      <w:pPr>
        <w:widowControl/>
        <w:numPr>
          <w:ilvl w:val="0"/>
          <w:numId w:val="4"/>
        </w:numPr>
        <w:ind w:firstLineChars="0"/>
        <w:rPr>
          <w:kern w:val="0"/>
          <w:highlight w:val="none"/>
        </w:rPr>
      </w:pPr>
      <w:r>
        <w:rPr>
          <w:rFonts w:hint="eastAsia"/>
          <w:kern w:val="0"/>
          <w:highlight w:val="none"/>
        </w:rPr>
        <w:t>《河源市水生态环境保护“十四五”规划》（2022年）</w:t>
      </w:r>
    </w:p>
    <w:p>
      <w:pPr>
        <w:widowControl/>
        <w:numPr>
          <w:ilvl w:val="0"/>
          <w:numId w:val="4"/>
        </w:numPr>
        <w:ind w:left="0" w:firstLine="480"/>
        <w:rPr>
          <w:kern w:val="0"/>
          <w:highlight w:val="none"/>
        </w:rPr>
      </w:pPr>
      <w:r>
        <w:rPr>
          <w:rFonts w:hint="eastAsia"/>
          <w:kern w:val="0"/>
          <w:highlight w:val="none"/>
        </w:rPr>
        <w:t>《河源市生态文明建设“十四五”规划》（2022年）</w:t>
      </w:r>
    </w:p>
    <w:p>
      <w:pPr>
        <w:widowControl/>
        <w:numPr>
          <w:ilvl w:val="0"/>
          <w:numId w:val="4"/>
        </w:numPr>
        <w:ind w:left="0" w:firstLine="480"/>
        <w:rPr>
          <w:kern w:val="0"/>
          <w:highlight w:val="none"/>
        </w:rPr>
      </w:pPr>
      <w:r>
        <w:rPr>
          <w:rFonts w:hint="eastAsia"/>
          <w:kern w:val="0"/>
          <w:highlight w:val="none"/>
        </w:rPr>
        <w:t>《河源市创建国家生态文明建设示范市规划》（2022年）</w:t>
      </w:r>
    </w:p>
    <w:p>
      <w:pPr>
        <w:widowControl/>
        <w:numPr>
          <w:ilvl w:val="0"/>
          <w:numId w:val="4"/>
        </w:numPr>
        <w:ind w:left="0" w:firstLine="480"/>
        <w:rPr>
          <w:kern w:val="0"/>
          <w:highlight w:val="none"/>
        </w:rPr>
      </w:pPr>
      <w:r>
        <w:rPr>
          <w:rFonts w:hint="eastAsia"/>
          <w:kern w:val="0"/>
          <w:highlight w:val="none"/>
        </w:rPr>
        <w:t>《河源市水利发展“十四五”规划》（2023年）</w:t>
      </w:r>
    </w:p>
    <w:p>
      <w:pPr>
        <w:widowControl/>
        <w:numPr>
          <w:ilvl w:val="0"/>
          <w:numId w:val="4"/>
        </w:numPr>
        <w:ind w:left="0" w:firstLine="480"/>
        <w:rPr>
          <w:kern w:val="0"/>
          <w:highlight w:val="none"/>
        </w:rPr>
      </w:pPr>
      <w:r>
        <w:rPr>
          <w:rFonts w:hint="eastAsia"/>
          <w:kern w:val="0"/>
          <w:highlight w:val="none"/>
        </w:rPr>
        <w:t>《河源市水土保持规划（2019-2030年）》（2020年）</w:t>
      </w:r>
    </w:p>
    <w:p>
      <w:pPr>
        <w:widowControl/>
        <w:numPr>
          <w:ilvl w:val="0"/>
          <w:numId w:val="4"/>
        </w:numPr>
        <w:ind w:left="0" w:firstLine="480"/>
        <w:rPr>
          <w:kern w:val="0"/>
          <w:highlight w:val="none"/>
        </w:rPr>
      </w:pPr>
      <w:r>
        <w:rPr>
          <w:rFonts w:hint="eastAsia"/>
          <w:kern w:val="0"/>
          <w:highlight w:val="none"/>
        </w:rPr>
        <w:t>《河源市“十四五”重金属污染防治工作方案》（2022年）</w:t>
      </w:r>
    </w:p>
    <w:p>
      <w:pPr>
        <w:widowControl/>
        <w:numPr>
          <w:ilvl w:val="0"/>
          <w:numId w:val="4"/>
        </w:numPr>
        <w:ind w:left="0" w:firstLine="480"/>
        <w:rPr>
          <w:kern w:val="0"/>
          <w:highlight w:val="none"/>
        </w:rPr>
      </w:pPr>
      <w:r>
        <w:rPr>
          <w:rFonts w:hint="eastAsia"/>
          <w:kern w:val="0"/>
          <w:highlight w:val="none"/>
        </w:rPr>
        <w:t>《河源市连平县农村生活污水治理专项规划（2021-2025）》（2022年）</w:t>
      </w:r>
    </w:p>
    <w:p>
      <w:pPr>
        <w:widowControl/>
        <w:numPr>
          <w:ilvl w:val="0"/>
          <w:numId w:val="4"/>
        </w:numPr>
        <w:ind w:firstLineChars="0"/>
        <w:rPr>
          <w:kern w:val="0"/>
          <w:highlight w:val="none"/>
        </w:rPr>
      </w:pPr>
      <w:r>
        <w:rPr>
          <w:rFonts w:hint="eastAsia"/>
          <w:kern w:val="0"/>
          <w:highlight w:val="none"/>
        </w:rPr>
        <w:t>《河源市连平县生态环境保护“十四五”规划》（2022年）</w:t>
      </w:r>
    </w:p>
    <w:p>
      <w:pPr>
        <w:widowControl/>
        <w:numPr>
          <w:ilvl w:val="0"/>
          <w:numId w:val="4"/>
        </w:numPr>
        <w:ind w:firstLineChars="0"/>
        <w:rPr>
          <w:kern w:val="0"/>
          <w:highlight w:val="none"/>
        </w:rPr>
      </w:pPr>
      <w:r>
        <w:rPr>
          <w:rFonts w:hint="eastAsia"/>
          <w:kern w:val="0"/>
          <w:highlight w:val="none"/>
        </w:rPr>
        <w:t>《连平县桉树林改造实施方案》（2021年）</w:t>
      </w:r>
    </w:p>
    <w:p>
      <w:pPr>
        <w:widowControl/>
        <w:numPr>
          <w:ilvl w:val="0"/>
          <w:numId w:val="4"/>
        </w:numPr>
        <w:ind w:firstLineChars="0"/>
        <w:rPr>
          <w:kern w:val="0"/>
          <w:highlight w:val="none"/>
        </w:rPr>
      </w:pPr>
      <w:r>
        <w:rPr>
          <w:rFonts w:hint="eastAsia"/>
          <w:kern w:val="0"/>
          <w:highlight w:val="none"/>
        </w:rPr>
        <w:t>《连平县自然保护地整合优化方案》（2023年）</w:t>
      </w:r>
    </w:p>
    <w:p>
      <w:pPr>
        <w:widowControl/>
        <w:numPr>
          <w:ilvl w:val="0"/>
          <w:numId w:val="4"/>
        </w:numPr>
        <w:ind w:firstLineChars="0"/>
        <w:rPr>
          <w:kern w:val="0"/>
          <w:highlight w:val="none"/>
        </w:rPr>
      </w:pPr>
      <w:r>
        <w:rPr>
          <w:rFonts w:hint="eastAsia"/>
          <w:kern w:val="0"/>
          <w:highlight w:val="none"/>
        </w:rPr>
        <w:t>《河源市连平县水利改革发展“十四五”规划》（2020年）</w:t>
      </w:r>
    </w:p>
    <w:p>
      <w:pPr>
        <w:widowControl/>
        <w:numPr>
          <w:ilvl w:val="0"/>
          <w:numId w:val="4"/>
        </w:numPr>
        <w:ind w:firstLineChars="0"/>
        <w:rPr>
          <w:kern w:val="0"/>
          <w:highlight w:val="none"/>
        </w:rPr>
      </w:pPr>
      <w:r>
        <w:rPr>
          <w:rFonts w:hint="eastAsia"/>
          <w:kern w:val="0"/>
          <w:highlight w:val="none"/>
        </w:rPr>
        <w:t>《广东省河源市连平县江河流域综合规划修编报告》（2020年）</w:t>
      </w:r>
    </w:p>
    <w:p>
      <w:pPr>
        <w:widowControl/>
        <w:numPr>
          <w:ilvl w:val="0"/>
          <w:numId w:val="4"/>
        </w:numPr>
        <w:ind w:firstLineChars="0"/>
        <w:rPr>
          <w:kern w:val="0"/>
          <w:highlight w:val="none"/>
        </w:rPr>
      </w:pPr>
      <w:r>
        <w:rPr>
          <w:rFonts w:hint="eastAsia"/>
          <w:kern w:val="0"/>
          <w:highlight w:val="none"/>
        </w:rPr>
        <w:t>《连平县小水电清理整改工作方案》（2022年）</w:t>
      </w:r>
    </w:p>
    <w:p>
      <w:pPr>
        <w:widowControl/>
        <w:numPr>
          <w:ilvl w:val="0"/>
          <w:numId w:val="4"/>
        </w:numPr>
        <w:ind w:firstLineChars="0"/>
        <w:rPr>
          <w:kern w:val="0"/>
          <w:highlight w:val="none"/>
        </w:rPr>
      </w:pPr>
      <w:r>
        <w:rPr>
          <w:rFonts w:hint="eastAsia"/>
          <w:kern w:val="0"/>
          <w:highlight w:val="none"/>
        </w:rPr>
        <w:t>《连平县矿产资源总体规划（2021-2025年）》（2022年）</w:t>
      </w:r>
    </w:p>
    <w:p>
      <w:pPr>
        <w:pStyle w:val="87"/>
        <w:ind w:left="0" w:firstLine="0"/>
        <w:rPr>
          <w:rFonts w:eastAsia="宋体"/>
          <w:color w:val="auto"/>
          <w:sz w:val="28"/>
          <w:szCs w:val="21"/>
          <w:highlight w:val="none"/>
        </w:rPr>
      </w:pPr>
      <w:bookmarkStart w:id="17" w:name="_Toc140764083"/>
      <w:bookmarkStart w:id="18" w:name="_Toc95899950"/>
      <w:r>
        <w:rPr>
          <w:rFonts w:eastAsia="宋体"/>
          <w:color w:val="auto"/>
          <w:sz w:val="28"/>
          <w:szCs w:val="21"/>
          <w:highlight w:val="none"/>
        </w:rPr>
        <w:t>范围与时限</w:t>
      </w:r>
      <w:bookmarkEnd w:id="17"/>
      <w:bookmarkEnd w:id="18"/>
    </w:p>
    <w:p>
      <w:pPr>
        <w:pStyle w:val="89"/>
        <w:numPr>
          <w:ilvl w:val="2"/>
          <w:numId w:val="1"/>
        </w:numPr>
        <w:ind w:left="0" w:firstLine="0"/>
        <w:rPr>
          <w:rFonts w:eastAsia="宋体"/>
          <w:highlight w:val="none"/>
        </w:rPr>
      </w:pPr>
      <w:bookmarkStart w:id="19" w:name="_Toc140764084"/>
      <w:r>
        <w:rPr>
          <w:rFonts w:eastAsia="宋体"/>
          <w:highlight w:val="none"/>
        </w:rPr>
        <w:t>规划范围</w:t>
      </w:r>
      <w:bookmarkEnd w:id="19"/>
    </w:p>
    <w:p>
      <w:pPr>
        <w:ind w:firstLine="480"/>
        <w:rPr>
          <w:highlight w:val="none"/>
        </w:rPr>
      </w:pPr>
      <w:r>
        <w:rPr>
          <w:highlight w:val="none"/>
        </w:rPr>
        <w:t>本规划范围为</w:t>
      </w:r>
      <w:r>
        <w:rPr>
          <w:rFonts w:hint="eastAsia"/>
          <w:highlight w:val="none"/>
        </w:rPr>
        <w:t>连平</w:t>
      </w:r>
      <w:r>
        <w:rPr>
          <w:highlight w:val="none"/>
        </w:rPr>
        <w:t>县全域范围，包括</w:t>
      </w:r>
      <w:r>
        <w:rPr>
          <w:rFonts w:hint="eastAsia"/>
          <w:highlight w:val="none"/>
        </w:rPr>
        <w:t>13个镇（上坪、内莞、元善、陂头、溪山、隆街、田源、油溪、忠信、高莞、大湖、三角、绣缎），16个社区，159个行政村，</w:t>
      </w:r>
      <w:r>
        <w:rPr>
          <w:highlight w:val="none"/>
        </w:rPr>
        <w:t>总面积22</w:t>
      </w:r>
      <w:r>
        <w:rPr>
          <w:rFonts w:hint="eastAsia"/>
          <w:highlight w:val="none"/>
        </w:rPr>
        <w:t>75.01</w:t>
      </w:r>
      <w:r>
        <w:rPr>
          <w:highlight w:val="none"/>
        </w:rPr>
        <w:t>平方公里。</w:t>
      </w:r>
    </w:p>
    <w:p>
      <w:pPr>
        <w:pStyle w:val="89"/>
        <w:numPr>
          <w:ilvl w:val="2"/>
          <w:numId w:val="1"/>
        </w:numPr>
        <w:ind w:left="0" w:firstLine="0"/>
        <w:rPr>
          <w:rFonts w:eastAsia="宋体"/>
          <w:highlight w:val="none"/>
        </w:rPr>
      </w:pPr>
      <w:bookmarkStart w:id="20" w:name="_Toc140764085"/>
      <w:r>
        <w:rPr>
          <w:rFonts w:eastAsia="宋体"/>
          <w:highlight w:val="none"/>
        </w:rPr>
        <w:t>规划时限</w:t>
      </w:r>
      <w:bookmarkEnd w:id="20"/>
    </w:p>
    <w:p>
      <w:pPr>
        <w:ind w:firstLine="480"/>
        <w:rPr>
          <w:highlight w:val="none"/>
        </w:rPr>
      </w:pPr>
      <w:r>
        <w:rPr>
          <w:highlight w:val="none"/>
        </w:rPr>
        <w:t>本规划基准年为202</w:t>
      </w:r>
      <w:r>
        <w:rPr>
          <w:rFonts w:hint="eastAsia"/>
          <w:highlight w:val="none"/>
        </w:rPr>
        <w:t>1</w:t>
      </w:r>
      <w:r>
        <w:rPr>
          <w:highlight w:val="none"/>
        </w:rPr>
        <w:t>年</w:t>
      </w:r>
      <w:r>
        <w:rPr>
          <w:rFonts w:hint="eastAsia"/>
          <w:highlight w:val="none"/>
        </w:rPr>
        <w:t>（部分数据更新至2</w:t>
      </w:r>
      <w:r>
        <w:rPr>
          <w:highlight w:val="none"/>
        </w:rPr>
        <w:t>02</w:t>
      </w:r>
      <w:r>
        <w:rPr>
          <w:rFonts w:hint="eastAsia"/>
          <w:highlight w:val="none"/>
        </w:rPr>
        <w:t>2年）</w:t>
      </w:r>
      <w:r>
        <w:rPr>
          <w:highlight w:val="none"/>
        </w:rPr>
        <w:t>，规划目标年为2025年。</w:t>
      </w:r>
    </w:p>
    <w:p>
      <w:pPr>
        <w:pStyle w:val="87"/>
        <w:ind w:left="0" w:firstLine="0"/>
        <w:rPr>
          <w:rFonts w:eastAsia="宋体"/>
          <w:color w:val="auto"/>
          <w:sz w:val="28"/>
          <w:szCs w:val="21"/>
          <w:highlight w:val="none"/>
        </w:rPr>
      </w:pPr>
      <w:bookmarkStart w:id="21" w:name="_Toc140764086"/>
      <w:bookmarkStart w:id="22" w:name="_Toc95899951"/>
      <w:r>
        <w:rPr>
          <w:rFonts w:eastAsia="宋体"/>
          <w:color w:val="auto"/>
          <w:sz w:val="28"/>
          <w:szCs w:val="21"/>
          <w:highlight w:val="none"/>
        </w:rPr>
        <w:t>指导思想</w:t>
      </w:r>
      <w:bookmarkEnd w:id="21"/>
      <w:bookmarkEnd w:id="22"/>
    </w:p>
    <w:p>
      <w:pPr>
        <w:ind w:firstLine="480"/>
        <w:rPr>
          <w:highlight w:val="none"/>
        </w:rPr>
      </w:pPr>
      <w:r>
        <w:rPr>
          <w:rFonts w:hint="eastAsia"/>
          <w:highlight w:val="none"/>
        </w:rPr>
        <w:t>高举中国特色社会主义伟大旗帜，坚持以习近平新时代中国特色社会主义思想为指导，全面贯彻党的二十大精神，牢固树立和践行绿水青山就是金山银山的理念，</w:t>
      </w:r>
      <w:r>
        <w:rPr>
          <w:highlight w:val="none"/>
        </w:rPr>
        <w:t>依据</w:t>
      </w:r>
      <w:r>
        <w:rPr>
          <w:rFonts w:hint="eastAsia"/>
          <w:highlight w:val="none"/>
        </w:rPr>
        <w:t>连平</w:t>
      </w:r>
      <w:r>
        <w:rPr>
          <w:highlight w:val="none"/>
        </w:rPr>
        <w:t>自然地理、气候现状及生态功能定位，立足新发展阶段，构建新发展格局，坚持节约优先、保护优先、自然恢复为主的方针，按照问题导向</w:t>
      </w:r>
      <w:r>
        <w:rPr>
          <w:rFonts w:hint="eastAsia"/>
          <w:highlight w:val="none"/>
        </w:rPr>
        <w:t>为</w:t>
      </w:r>
      <w:r>
        <w:rPr>
          <w:highlight w:val="none"/>
        </w:rPr>
        <w:t>原则，以统筹山水林田湖草一体化保护和修复为主线，综合运用科学、法律、政策和经济等手段，扎实推进生态功能保护修复重大工程，提升重点生态功能区生态产品供给能力</w:t>
      </w:r>
      <w:r>
        <w:rPr>
          <w:rFonts w:hint="eastAsia"/>
          <w:highlight w:val="none"/>
        </w:rPr>
        <w:t>，全力筑牢粤北生态屏障，打造绿色发展连平样板，推动连平奋力争当北部生态发展区高质量发展排头兵。</w:t>
      </w:r>
    </w:p>
    <w:p>
      <w:pPr>
        <w:pStyle w:val="87"/>
        <w:ind w:left="0" w:firstLine="0"/>
        <w:rPr>
          <w:rFonts w:eastAsia="宋体"/>
          <w:color w:val="auto"/>
          <w:sz w:val="28"/>
          <w:szCs w:val="21"/>
          <w:highlight w:val="none"/>
        </w:rPr>
      </w:pPr>
      <w:bookmarkStart w:id="23" w:name="_Toc95899952"/>
      <w:bookmarkStart w:id="24" w:name="_Toc140764087"/>
      <w:r>
        <w:rPr>
          <w:rFonts w:eastAsia="宋体"/>
          <w:color w:val="auto"/>
          <w:sz w:val="28"/>
          <w:szCs w:val="21"/>
          <w:highlight w:val="none"/>
        </w:rPr>
        <w:t>基本原则</w:t>
      </w:r>
      <w:bookmarkEnd w:id="23"/>
      <w:bookmarkEnd w:id="24"/>
    </w:p>
    <w:p>
      <w:pPr>
        <w:ind w:firstLine="482"/>
        <w:rPr>
          <w:b/>
          <w:highlight w:val="none"/>
        </w:rPr>
      </w:pPr>
      <w:r>
        <w:rPr>
          <w:b/>
          <w:highlight w:val="none"/>
        </w:rPr>
        <w:t>（1）尊重自然，生态优先</w:t>
      </w:r>
    </w:p>
    <w:p>
      <w:pPr>
        <w:ind w:firstLine="480"/>
        <w:rPr>
          <w:highlight w:val="none"/>
        </w:rPr>
      </w:pPr>
      <w:r>
        <w:rPr>
          <w:highlight w:val="none"/>
        </w:rPr>
        <w:t>牢固树立尊重自然、顺应自然、保护自然的生态文明理念，坚持保护优先、自然恢复为主、人工修复为辅的方针，遵循自然生态系统演替和地带性分布规律，充分发挥生态系统自我修复能力，利用生态优势保护生态环境，实现人与自然和谐共生。</w:t>
      </w:r>
    </w:p>
    <w:p>
      <w:pPr>
        <w:ind w:firstLine="482"/>
        <w:rPr>
          <w:b/>
          <w:highlight w:val="none"/>
        </w:rPr>
      </w:pPr>
      <w:r>
        <w:rPr>
          <w:b/>
          <w:highlight w:val="none"/>
        </w:rPr>
        <w:t>（2）问题导向，统筹规划</w:t>
      </w:r>
    </w:p>
    <w:p>
      <w:pPr>
        <w:ind w:firstLine="480"/>
        <w:rPr>
          <w:highlight w:val="none"/>
        </w:rPr>
      </w:pPr>
      <w:r>
        <w:rPr>
          <w:highlight w:val="none"/>
        </w:rPr>
        <w:t>梳理山水林田湖草生态系统保护修复存在的突出问题，围绕提升重点生态功能区生态产品供给能力，聚焦重点区域、领域和关键问题，统筹推进矿山生态修复、地质灾害治理、水生态环境保护修复、森林生态环境保护修复、</w:t>
      </w:r>
      <w:r>
        <w:rPr>
          <w:rFonts w:hint="eastAsia"/>
          <w:highlight w:val="none"/>
        </w:rPr>
        <w:t>耕地</w:t>
      </w:r>
      <w:r>
        <w:rPr>
          <w:highlight w:val="none"/>
        </w:rPr>
        <w:t>安全利用、水土流失防治</w:t>
      </w:r>
      <w:r>
        <w:rPr>
          <w:rFonts w:hint="eastAsia"/>
          <w:highlight w:val="none"/>
        </w:rPr>
        <w:t>、</w:t>
      </w:r>
      <w:r>
        <w:rPr>
          <w:highlight w:val="none"/>
        </w:rPr>
        <w:t>生物多样性保护等生态功能保护修复工程。</w:t>
      </w:r>
    </w:p>
    <w:p>
      <w:pPr>
        <w:ind w:firstLine="482"/>
        <w:rPr>
          <w:b/>
          <w:highlight w:val="none"/>
        </w:rPr>
      </w:pPr>
      <w:r>
        <w:rPr>
          <w:b/>
          <w:highlight w:val="none"/>
        </w:rPr>
        <w:t>（3）分区发展，分类指导</w:t>
      </w:r>
    </w:p>
    <w:p>
      <w:pPr>
        <w:ind w:firstLine="480"/>
        <w:rPr>
          <w:highlight w:val="none"/>
        </w:rPr>
      </w:pPr>
      <w:r>
        <w:rPr>
          <w:highlight w:val="none"/>
        </w:rPr>
        <w:t>依据区域自然、生态环境特点以及生态问题诊断结果，综合考虑流域上下游的关系、区域间生态功能的互补作用以及自然生态的系统性和功能的完整性，坚持自然、生态、人文单元完整性的原则，科学划分生态功能保护修复区，分类施策，部署各类生态功能保护修复工程。</w:t>
      </w:r>
    </w:p>
    <w:p>
      <w:pPr>
        <w:ind w:firstLine="482"/>
        <w:rPr>
          <w:b/>
          <w:highlight w:val="none"/>
        </w:rPr>
      </w:pPr>
      <w:r>
        <w:rPr>
          <w:b/>
          <w:highlight w:val="none"/>
        </w:rPr>
        <w:t>（4）政府主导，多方参与</w:t>
      </w:r>
    </w:p>
    <w:p>
      <w:pPr>
        <w:ind w:firstLine="480"/>
        <w:rPr>
          <w:highlight w:val="none"/>
        </w:rPr>
      </w:pPr>
      <w:r>
        <w:rPr>
          <w:highlight w:val="none"/>
        </w:rPr>
        <w:t>充分发挥政府在生态</w:t>
      </w:r>
      <w:r>
        <w:rPr>
          <w:rFonts w:hint="eastAsia"/>
          <w:highlight w:val="none"/>
        </w:rPr>
        <w:t>功能</w:t>
      </w:r>
      <w:r>
        <w:rPr>
          <w:highlight w:val="none"/>
        </w:rPr>
        <w:t>保护修复规划、建设、监督管理等方面的主体作用，建立健全政府、企业、社会组织和公众等多方参与的</w:t>
      </w:r>
      <w:r>
        <w:rPr>
          <w:rFonts w:hint="eastAsia"/>
          <w:highlight w:val="none"/>
        </w:rPr>
        <w:t>生态功能保护</w:t>
      </w:r>
      <w:r>
        <w:rPr>
          <w:highlight w:val="none"/>
        </w:rPr>
        <w:t>体系和长效机制，保障公众生态环境的知情权、参与权和监督权，积极引导全民有序参与生态环境保护，营造全社会共同为生态环境持续改善做出努力的新局面。</w:t>
      </w:r>
    </w:p>
    <w:p>
      <w:pPr>
        <w:pStyle w:val="87"/>
        <w:ind w:left="0" w:firstLine="0"/>
        <w:rPr>
          <w:rFonts w:eastAsia="宋体"/>
          <w:color w:val="auto"/>
          <w:sz w:val="28"/>
          <w:szCs w:val="21"/>
          <w:highlight w:val="none"/>
        </w:rPr>
      </w:pPr>
      <w:bookmarkStart w:id="25" w:name="_Toc95899953"/>
      <w:bookmarkStart w:id="26" w:name="_Toc140764088"/>
      <w:r>
        <w:rPr>
          <w:rFonts w:eastAsia="宋体"/>
          <w:color w:val="auto"/>
          <w:sz w:val="28"/>
          <w:szCs w:val="21"/>
          <w:highlight w:val="none"/>
        </w:rPr>
        <w:t>规划目标</w:t>
      </w:r>
      <w:bookmarkEnd w:id="25"/>
      <w:bookmarkEnd w:id="26"/>
    </w:p>
    <w:p>
      <w:pPr>
        <w:ind w:firstLine="480"/>
        <w:rPr>
          <w:highlight w:val="none"/>
        </w:rPr>
      </w:pPr>
      <w:r>
        <w:rPr>
          <w:highlight w:val="none"/>
        </w:rPr>
        <w:t>至2025年，全面完成山水林田湖草保护修复各项任务，生态环境质量显著改善，绿色发展水平持续提升，重点生态功能区生态产品供给能力明显提升。</w:t>
      </w:r>
    </w:p>
    <w:p>
      <w:pPr>
        <w:ind w:firstLine="480"/>
        <w:rPr>
          <w:highlight w:val="none"/>
        </w:rPr>
      </w:pPr>
      <w:r>
        <w:rPr>
          <w:highlight w:val="none"/>
        </w:rPr>
        <w:t>——</w:t>
      </w:r>
      <w:r>
        <w:rPr>
          <w:rFonts w:hint="eastAsia"/>
          <w:highlight w:val="none"/>
        </w:rPr>
        <w:t>矿山</w:t>
      </w:r>
      <w:r>
        <w:rPr>
          <w:highlight w:val="none"/>
        </w:rPr>
        <w:t>地质环境得到恢复治理。以创建绿色矿山为目标，统筹推进历史遗留矿山地质环境问题治理，实现矿山开采利用与生态环境保护的可持续发展。至2025年，按市下达指标</w:t>
      </w:r>
      <w:r>
        <w:rPr>
          <w:rFonts w:hint="eastAsia"/>
          <w:highlight w:val="none"/>
        </w:rPr>
        <w:t>任务</w:t>
      </w:r>
      <w:r>
        <w:rPr>
          <w:highlight w:val="none"/>
        </w:rPr>
        <w:t>完成历史遗留矿山环境治理，</w:t>
      </w:r>
      <w:r>
        <w:rPr>
          <w:rFonts w:hint="eastAsia"/>
          <w:highlight w:val="none"/>
        </w:rPr>
        <w:t>持证在采矿山达到绿色矿山建设标准比例</w:t>
      </w:r>
      <w:r>
        <w:rPr>
          <w:highlight w:val="none"/>
        </w:rPr>
        <w:t>达到100%。</w:t>
      </w:r>
    </w:p>
    <w:p>
      <w:pPr>
        <w:ind w:firstLine="480"/>
        <w:rPr>
          <w:highlight w:val="none"/>
        </w:rPr>
      </w:pPr>
      <w:r>
        <w:rPr>
          <w:highlight w:val="none"/>
        </w:rPr>
        <w:t>——水土流失得到有效控制。完成水源地水土流失防治及大湖水</w:t>
      </w:r>
      <w:r>
        <w:rPr>
          <w:rFonts w:hint="eastAsia"/>
          <w:highlight w:val="none"/>
        </w:rPr>
        <w:t>、</w:t>
      </w:r>
      <w:r>
        <w:rPr>
          <w:highlight w:val="none"/>
        </w:rPr>
        <w:t>上坪水</w:t>
      </w:r>
      <w:r>
        <w:rPr>
          <w:rFonts w:hint="eastAsia"/>
          <w:highlight w:val="none"/>
        </w:rPr>
        <w:t>（大席河上坪段）、</w:t>
      </w:r>
      <w:r>
        <w:rPr>
          <w:highlight w:val="none"/>
        </w:rPr>
        <w:t>陂头水等小流域综合治理</w:t>
      </w:r>
      <w:r>
        <w:rPr>
          <w:rFonts w:hint="eastAsia"/>
          <w:highlight w:val="none"/>
        </w:rPr>
        <w:t>，</w:t>
      </w:r>
      <w:r>
        <w:rPr>
          <w:highlight w:val="none"/>
        </w:rPr>
        <w:t>建立较为完善的水土保持综合防治体系，水土流失得到有效控制。至2025年，力争新增水土流失治理面积达到</w:t>
      </w:r>
      <w:r>
        <w:rPr>
          <w:rFonts w:hint="eastAsia"/>
          <w:highlight w:val="none"/>
        </w:rPr>
        <w:t>67.46平方公里</w:t>
      </w:r>
      <w:r>
        <w:rPr>
          <w:highlight w:val="none"/>
        </w:rPr>
        <w:t>。</w:t>
      </w:r>
    </w:p>
    <w:p>
      <w:pPr>
        <w:ind w:firstLine="480"/>
        <w:rPr>
          <w:color w:val="FF0000"/>
          <w:highlight w:val="none"/>
        </w:rPr>
      </w:pPr>
      <w:r>
        <w:rPr>
          <w:highlight w:val="none"/>
        </w:rPr>
        <w:t>——水生态环境质量得到全面改善。深入打好污染防治攻坚战，水生态系统功能进一步提升</w:t>
      </w:r>
      <w:r>
        <w:rPr>
          <w:rFonts w:hint="eastAsia"/>
          <w:highlight w:val="none"/>
        </w:rPr>
        <w:t>，</w:t>
      </w:r>
      <w:r>
        <w:rPr>
          <w:highlight w:val="none"/>
        </w:rPr>
        <w:t>水生态安全得到全面</w:t>
      </w:r>
      <w:r>
        <w:rPr>
          <w:rFonts w:hint="eastAsia"/>
          <w:highlight w:val="none"/>
        </w:rPr>
        <w:t>保障</w:t>
      </w:r>
      <w:r>
        <w:rPr>
          <w:highlight w:val="none"/>
        </w:rPr>
        <w:t>。至2025年，</w:t>
      </w:r>
      <w:r>
        <w:rPr>
          <w:rFonts w:hint="eastAsia"/>
          <w:highlight w:val="none"/>
        </w:rPr>
        <w:t>县控以上</w:t>
      </w:r>
      <w:r>
        <w:rPr>
          <w:highlight w:val="none"/>
        </w:rPr>
        <w:t>地表水水质达到或优于Ⅲ类水体的比例保持100%，</w:t>
      </w:r>
      <w:r>
        <w:rPr>
          <w:rFonts w:hint="eastAsia"/>
          <w:highlight w:val="none"/>
        </w:rPr>
        <w:t>县级以上</w:t>
      </w:r>
      <w:r>
        <w:rPr>
          <w:highlight w:val="none"/>
        </w:rPr>
        <w:t>集中式饮用水水源地水质达标率保持100%，重要河湖岸线保护率达到市下达目标要求</w:t>
      </w:r>
      <w:r>
        <w:rPr>
          <w:rFonts w:hint="eastAsia"/>
          <w:highlight w:val="none"/>
        </w:rPr>
        <w:t>，</w:t>
      </w:r>
      <w:r>
        <w:rPr>
          <w:highlight w:val="none"/>
        </w:rPr>
        <w:t>湿地保有量稳定在</w:t>
      </w:r>
      <w:r>
        <w:rPr>
          <w:rFonts w:hint="eastAsia"/>
          <w:highlight w:val="none"/>
        </w:rPr>
        <w:t>75.24公顷以上</w:t>
      </w:r>
      <w:r>
        <w:rPr>
          <w:highlight w:val="none"/>
        </w:rPr>
        <w:t>。</w:t>
      </w:r>
    </w:p>
    <w:p>
      <w:pPr>
        <w:ind w:firstLine="480"/>
        <w:rPr>
          <w:color w:val="FF0000"/>
          <w:highlight w:val="none"/>
        </w:rPr>
      </w:pPr>
      <w:r>
        <w:rPr>
          <w:highlight w:val="none"/>
        </w:rPr>
        <w:t>——森林生态系统服务功能明显提升。重点推进森林资源保护与培育，森林生态系统服务功能明显提升。至2025年，森林覆盖率达到</w:t>
      </w:r>
      <w:r>
        <w:rPr>
          <w:rFonts w:hint="eastAsia"/>
          <w:highlight w:val="none"/>
        </w:rPr>
        <w:t>74.82</w:t>
      </w:r>
      <w:r>
        <w:rPr>
          <w:highlight w:val="none"/>
        </w:rPr>
        <w:t>%以上，新增森林质量精准提升面积</w:t>
      </w:r>
      <w:r>
        <w:rPr>
          <w:rFonts w:hint="eastAsia"/>
          <w:highlight w:val="none"/>
        </w:rPr>
        <w:t>25.19万亩。</w:t>
      </w:r>
    </w:p>
    <w:p>
      <w:pPr>
        <w:ind w:firstLine="480"/>
        <w:rPr>
          <w:color w:val="FF0000"/>
          <w:highlight w:val="none"/>
        </w:rPr>
      </w:pPr>
      <w:r>
        <w:rPr>
          <w:highlight w:val="none"/>
        </w:rPr>
        <w:t>——</w:t>
      </w:r>
      <w:r>
        <w:rPr>
          <w:rFonts w:hint="eastAsia"/>
          <w:highlight w:val="none"/>
        </w:rPr>
        <w:t>生物多样性</w:t>
      </w:r>
      <w:r>
        <w:rPr>
          <w:highlight w:val="none"/>
        </w:rPr>
        <w:t>得到有效保护。</w:t>
      </w:r>
      <w:r>
        <w:rPr>
          <w:rFonts w:hint="eastAsia"/>
          <w:highlight w:val="none"/>
        </w:rPr>
        <w:t>按市工作安排落实自然保护地优化调整，持续推进生物多样性本底调查与评估，构建生物多样性监测网络和相对稳定的生物多样性保护空间格局。至2025年，</w:t>
      </w:r>
      <w:r>
        <w:rPr>
          <w:highlight w:val="none"/>
        </w:rPr>
        <w:t>国家重点保护野生动植物保护率达到95%，建立健全野生动物及其栖息地保护管理长效机制。</w:t>
      </w:r>
    </w:p>
    <w:p>
      <w:pPr>
        <w:ind w:firstLine="480"/>
        <w:rPr>
          <w:highlight w:val="none"/>
        </w:rPr>
      </w:pPr>
      <w:r>
        <w:rPr>
          <w:highlight w:val="none"/>
        </w:rPr>
        <w:t>——</w:t>
      </w:r>
      <w:bookmarkStart w:id="27" w:name="OLE_LINK4"/>
      <w:bookmarkStart w:id="28" w:name="OLE_LINK3"/>
      <w:r>
        <w:rPr>
          <w:rFonts w:hint="eastAsia"/>
          <w:highlight w:val="none"/>
        </w:rPr>
        <w:t>农田</w:t>
      </w:r>
      <w:r>
        <w:rPr>
          <w:highlight w:val="none"/>
        </w:rPr>
        <w:t>生态环境保护与修复</w:t>
      </w:r>
      <w:r>
        <w:rPr>
          <w:rFonts w:hint="eastAsia"/>
          <w:highlight w:val="none"/>
        </w:rPr>
        <w:t>持续</w:t>
      </w:r>
      <w:r>
        <w:rPr>
          <w:highlight w:val="none"/>
        </w:rPr>
        <w:t>深化</w:t>
      </w:r>
      <w:bookmarkEnd w:id="27"/>
      <w:bookmarkEnd w:id="28"/>
      <w:r>
        <w:rPr>
          <w:highlight w:val="none"/>
        </w:rPr>
        <w:t>。统筹推进受污染耕地安全利用，耕地安全利用水平得到巩固提升。至2025年，按市下达指标完成</w:t>
      </w:r>
      <w:r>
        <w:rPr>
          <w:rFonts w:hint="eastAsia"/>
          <w:highlight w:val="none"/>
        </w:rPr>
        <w:t>受污染耕地安全利用与治理修复任务，</w:t>
      </w:r>
      <w:r>
        <w:rPr>
          <w:highlight w:val="none"/>
        </w:rPr>
        <w:t>力争受污染耕地安全利用率达到</w:t>
      </w:r>
      <w:r>
        <w:rPr>
          <w:rFonts w:hint="eastAsia"/>
          <w:highlight w:val="none"/>
        </w:rPr>
        <w:t>97.7</w:t>
      </w:r>
      <w:r>
        <w:rPr>
          <w:highlight w:val="none"/>
        </w:rPr>
        <w:t>%以上。</w:t>
      </w:r>
    </w:p>
    <w:p>
      <w:pPr>
        <w:ind w:firstLine="482"/>
        <w:jc w:val="center"/>
        <w:rPr>
          <w:b/>
          <w:color w:val="FF0000"/>
          <w:highlight w:val="none"/>
        </w:rPr>
        <w:sectPr>
          <w:footerReference r:id="rId13" w:type="default"/>
          <w:pgSz w:w="11907" w:h="16840"/>
          <w:pgMar w:top="1440" w:right="1797" w:bottom="1440" w:left="1797" w:header="851" w:footer="992" w:gutter="0"/>
          <w:pgNumType w:start="1"/>
          <w:cols w:space="0" w:num="1"/>
          <w:docGrid w:type="lines" w:linePitch="326" w:charSpace="0"/>
        </w:sectPr>
      </w:pPr>
    </w:p>
    <w:p>
      <w:pPr>
        <w:ind w:firstLine="482"/>
        <w:jc w:val="center"/>
        <w:rPr>
          <w:b/>
          <w:highlight w:val="none"/>
        </w:rPr>
      </w:pPr>
      <w:r>
        <w:rPr>
          <w:b/>
          <w:highlight w:val="none"/>
        </w:rPr>
        <w:t xml:space="preserve">表1.6-1 </w:t>
      </w:r>
      <w:r>
        <w:rPr>
          <w:rFonts w:hint="eastAsia"/>
          <w:b/>
          <w:highlight w:val="none"/>
        </w:rPr>
        <w:t>连平</w:t>
      </w:r>
      <w:r>
        <w:rPr>
          <w:b/>
          <w:highlight w:val="none"/>
        </w:rPr>
        <w:t>县生态功能保护修复指标与目标</w:t>
      </w:r>
    </w:p>
    <w:tbl>
      <w:tblPr>
        <w:tblStyle w:val="33"/>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079"/>
        <w:gridCol w:w="3018"/>
        <w:gridCol w:w="850"/>
        <w:gridCol w:w="1276"/>
        <w:gridCol w:w="1283"/>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568" w:type="dxa"/>
            <w:vAlign w:val="center"/>
          </w:tcPr>
          <w:p>
            <w:pPr>
              <w:spacing w:line="240" w:lineRule="auto"/>
              <w:ind w:firstLine="0" w:firstLineChars="0"/>
              <w:jc w:val="center"/>
              <w:rPr>
                <w:b/>
                <w:sz w:val="21"/>
                <w:szCs w:val="21"/>
                <w:highlight w:val="none"/>
              </w:rPr>
            </w:pPr>
            <w:r>
              <w:rPr>
                <w:b/>
                <w:sz w:val="21"/>
                <w:szCs w:val="21"/>
                <w:highlight w:val="none"/>
              </w:rPr>
              <w:t>序号</w:t>
            </w:r>
          </w:p>
        </w:tc>
        <w:tc>
          <w:tcPr>
            <w:tcW w:w="1079"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类别</w:t>
            </w:r>
          </w:p>
        </w:tc>
        <w:tc>
          <w:tcPr>
            <w:tcW w:w="3018"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指标名称</w:t>
            </w:r>
          </w:p>
        </w:tc>
        <w:tc>
          <w:tcPr>
            <w:tcW w:w="850"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单位</w:t>
            </w:r>
          </w:p>
        </w:tc>
        <w:tc>
          <w:tcPr>
            <w:tcW w:w="1276" w:type="dxa"/>
            <w:vAlign w:val="center"/>
          </w:tcPr>
          <w:p>
            <w:pPr>
              <w:spacing w:line="240" w:lineRule="auto"/>
              <w:ind w:firstLine="0" w:firstLineChars="0"/>
              <w:jc w:val="center"/>
              <w:rPr>
                <w:b/>
                <w:sz w:val="21"/>
                <w:szCs w:val="21"/>
                <w:highlight w:val="none"/>
              </w:rPr>
            </w:pPr>
            <w:r>
              <w:rPr>
                <w:b/>
                <w:sz w:val="21"/>
                <w:szCs w:val="21"/>
                <w:highlight w:val="none"/>
              </w:rPr>
              <w:t>现状</w:t>
            </w:r>
          </w:p>
          <w:p>
            <w:pPr>
              <w:spacing w:line="240" w:lineRule="auto"/>
              <w:ind w:firstLine="0" w:firstLineChars="0"/>
              <w:jc w:val="center"/>
              <w:rPr>
                <w:b/>
                <w:sz w:val="21"/>
                <w:szCs w:val="21"/>
                <w:highlight w:val="none"/>
              </w:rPr>
            </w:pPr>
            <w:r>
              <w:rPr>
                <w:rFonts w:hint="eastAsia"/>
                <w:b/>
                <w:sz w:val="21"/>
                <w:szCs w:val="21"/>
                <w:highlight w:val="none"/>
              </w:rPr>
              <w:t>（2021年）</w:t>
            </w:r>
          </w:p>
        </w:tc>
        <w:tc>
          <w:tcPr>
            <w:tcW w:w="1283"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目标</w:t>
            </w:r>
          </w:p>
          <w:p>
            <w:pPr>
              <w:spacing w:line="240" w:lineRule="auto"/>
              <w:ind w:firstLine="0" w:firstLineChars="0"/>
              <w:jc w:val="center"/>
              <w:rPr>
                <w:b/>
                <w:sz w:val="21"/>
                <w:szCs w:val="21"/>
                <w:highlight w:val="none"/>
              </w:rPr>
            </w:pPr>
            <w:r>
              <w:rPr>
                <w:rFonts w:hint="eastAsia"/>
                <w:b/>
                <w:sz w:val="21"/>
                <w:szCs w:val="21"/>
                <w:highlight w:val="none"/>
              </w:rPr>
              <w:t>（2025年）</w:t>
            </w:r>
          </w:p>
        </w:tc>
        <w:tc>
          <w:tcPr>
            <w:tcW w:w="949"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指标</w:t>
            </w:r>
          </w:p>
          <w:p>
            <w:pPr>
              <w:spacing w:line="240" w:lineRule="auto"/>
              <w:ind w:firstLine="0" w:firstLineChars="0"/>
              <w:jc w:val="center"/>
              <w:rPr>
                <w:b/>
                <w:sz w:val="21"/>
                <w:szCs w:val="21"/>
                <w:highlight w:val="none"/>
              </w:rPr>
            </w:pPr>
            <w:r>
              <w:rPr>
                <w:b/>
                <w:sz w:val="21"/>
                <w:szCs w:val="21"/>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sz w:val="21"/>
                <w:szCs w:val="21"/>
                <w:highlight w:val="none"/>
              </w:rPr>
              <w:t>1</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矿山地质环境</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持证在采矿山达到绿色矿山建设标准比例</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100</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100</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历史遗留矿山生态修复</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公顷</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8.11</w:t>
            </w:r>
            <w:r>
              <w:rPr>
                <w:sz w:val="18"/>
                <w:highlight w:val="none"/>
                <w:vertAlign w:val="superscript"/>
              </w:rPr>
              <w:t>[1]</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按市下达</w:t>
            </w:r>
          </w:p>
          <w:p>
            <w:pPr>
              <w:spacing w:line="240" w:lineRule="auto"/>
              <w:ind w:firstLine="0" w:firstLineChars="0"/>
              <w:jc w:val="center"/>
              <w:rPr>
                <w:sz w:val="21"/>
                <w:szCs w:val="21"/>
                <w:highlight w:val="none"/>
              </w:rPr>
            </w:pPr>
            <w:r>
              <w:rPr>
                <w:sz w:val="21"/>
                <w:szCs w:val="21"/>
                <w:highlight w:val="none"/>
              </w:rPr>
              <w:t>指标</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1079" w:type="dxa"/>
            <w:shd w:val="clear" w:color="auto" w:fill="auto"/>
            <w:vAlign w:val="center"/>
          </w:tcPr>
          <w:p>
            <w:pPr>
              <w:spacing w:line="240" w:lineRule="auto"/>
              <w:ind w:firstLine="0" w:firstLineChars="0"/>
              <w:jc w:val="center"/>
              <w:rPr>
                <w:sz w:val="21"/>
                <w:szCs w:val="21"/>
                <w:highlight w:val="none"/>
              </w:rPr>
            </w:pPr>
            <w:r>
              <w:rPr>
                <w:sz w:val="21"/>
                <w:szCs w:val="21"/>
                <w:highlight w:val="none"/>
              </w:rPr>
              <w:t>水土流失防治</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新增水土流失治理面积</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平方公里</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40.31</w:t>
            </w:r>
            <w:r>
              <w:rPr>
                <w:sz w:val="18"/>
                <w:highlight w:val="none"/>
                <w:vertAlign w:val="superscript"/>
              </w:rPr>
              <w:t>[</w:t>
            </w:r>
            <w:r>
              <w:rPr>
                <w:rFonts w:hint="eastAsia"/>
                <w:sz w:val="18"/>
                <w:highlight w:val="none"/>
                <w:vertAlign w:val="superscript"/>
              </w:rPr>
              <w:t>2</w:t>
            </w:r>
            <w:r>
              <w:rPr>
                <w:sz w:val="18"/>
                <w:highlight w:val="none"/>
                <w:vertAlign w:val="superscript"/>
              </w:rPr>
              <w:t>]</w:t>
            </w:r>
          </w:p>
        </w:tc>
        <w:tc>
          <w:tcPr>
            <w:tcW w:w="1283"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67.46</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水生态环境</w:t>
            </w:r>
          </w:p>
        </w:tc>
        <w:tc>
          <w:tcPr>
            <w:tcW w:w="3018"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县控以上</w:t>
            </w:r>
            <w:r>
              <w:rPr>
                <w:sz w:val="21"/>
                <w:szCs w:val="21"/>
                <w:highlight w:val="none"/>
              </w:rPr>
              <w:t>地表水水质达到或优于Ⅲ类水体的比例</w:t>
            </w:r>
            <w:r>
              <w:rPr>
                <w:sz w:val="18"/>
                <w:highlight w:val="none"/>
                <w:vertAlign w:val="superscript"/>
              </w:rPr>
              <w:t>[</w:t>
            </w:r>
            <w:r>
              <w:rPr>
                <w:rFonts w:hint="eastAsia"/>
                <w:sz w:val="18"/>
                <w:highlight w:val="none"/>
                <w:vertAlign w:val="superscript"/>
              </w:rPr>
              <w:t>3</w:t>
            </w:r>
            <w:r>
              <w:rPr>
                <w:sz w:val="18"/>
                <w:highlight w:val="none"/>
                <w:vertAlign w:val="superscript"/>
              </w:rPr>
              <w:t>]</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sz w:val="21"/>
                <w:szCs w:val="21"/>
                <w:highlight w:val="none"/>
              </w:rPr>
              <w:t>100</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100</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县级以上</w:t>
            </w:r>
            <w:r>
              <w:rPr>
                <w:sz w:val="21"/>
                <w:szCs w:val="21"/>
                <w:highlight w:val="none"/>
              </w:rPr>
              <w:t>集中式饮用水源地水质达标率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sz w:val="21"/>
                <w:szCs w:val="21"/>
                <w:highlight w:val="none"/>
              </w:rPr>
              <w:t>100</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100</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湿地保有量</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公顷</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75.24</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r>
              <w:rPr>
                <w:rFonts w:hint="eastAsia"/>
                <w:sz w:val="21"/>
                <w:szCs w:val="21"/>
                <w:highlight w:val="none"/>
              </w:rPr>
              <w:t>75.24</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森林生态环境</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森林覆盖率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74.82</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r>
              <w:rPr>
                <w:rFonts w:hint="eastAsia"/>
                <w:sz w:val="21"/>
                <w:szCs w:val="21"/>
                <w:highlight w:val="none"/>
              </w:rPr>
              <w:t>74.82</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新增森林质量精准提升面积</w:t>
            </w:r>
          </w:p>
        </w:tc>
        <w:tc>
          <w:tcPr>
            <w:tcW w:w="850"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万</w:t>
            </w:r>
            <w:r>
              <w:rPr>
                <w:sz w:val="21"/>
                <w:szCs w:val="21"/>
                <w:highlight w:val="none"/>
              </w:rPr>
              <w:t>亩</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53.87</w:t>
            </w:r>
            <w:r>
              <w:rPr>
                <w:sz w:val="18"/>
                <w:highlight w:val="none"/>
                <w:vertAlign w:val="superscript"/>
              </w:rPr>
              <w:t>[</w:t>
            </w:r>
            <w:r>
              <w:rPr>
                <w:rFonts w:hint="eastAsia"/>
                <w:sz w:val="18"/>
                <w:highlight w:val="none"/>
                <w:vertAlign w:val="superscript"/>
              </w:rPr>
              <w:t>4</w:t>
            </w:r>
            <w:r>
              <w:rPr>
                <w:sz w:val="18"/>
                <w:highlight w:val="none"/>
                <w:vertAlign w:val="superscript"/>
              </w:rPr>
              <w:t>]</w:t>
            </w:r>
          </w:p>
        </w:tc>
        <w:tc>
          <w:tcPr>
            <w:tcW w:w="1283"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25.19</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9</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生物多样性</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自然保护地面积占国土面积比例</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12.27</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按市下达</w:t>
            </w:r>
          </w:p>
          <w:p>
            <w:pPr>
              <w:spacing w:line="240" w:lineRule="auto"/>
              <w:ind w:firstLine="0" w:firstLineChars="0"/>
              <w:jc w:val="center"/>
              <w:rPr>
                <w:sz w:val="21"/>
                <w:szCs w:val="21"/>
                <w:highlight w:val="none"/>
              </w:rPr>
            </w:pPr>
            <w:r>
              <w:rPr>
                <w:sz w:val="21"/>
                <w:szCs w:val="21"/>
                <w:highlight w:val="none"/>
              </w:rPr>
              <w:t>指标</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8" w:type="dxa"/>
            <w:vAlign w:val="center"/>
          </w:tcPr>
          <w:p>
            <w:pPr>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0</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国家重点保护野生动植物保护率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95</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1</w:t>
            </w:r>
          </w:p>
        </w:tc>
        <w:tc>
          <w:tcPr>
            <w:tcW w:w="1079" w:type="dxa"/>
            <w:shd w:val="clear" w:color="auto" w:fill="auto"/>
            <w:vAlign w:val="center"/>
          </w:tcPr>
          <w:p>
            <w:pPr>
              <w:spacing w:line="240" w:lineRule="auto"/>
              <w:ind w:firstLine="0" w:firstLineChars="0"/>
              <w:jc w:val="center"/>
              <w:rPr>
                <w:sz w:val="21"/>
                <w:szCs w:val="21"/>
                <w:highlight w:val="none"/>
              </w:rPr>
            </w:pPr>
            <w:r>
              <w:rPr>
                <w:sz w:val="21"/>
                <w:szCs w:val="21"/>
                <w:highlight w:val="none"/>
              </w:rPr>
              <w:t>农田生态环境</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受污染耕地安全利用率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97.7</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≥97.7</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bl>
    <w:p>
      <w:pPr>
        <w:spacing w:line="240" w:lineRule="auto"/>
        <w:ind w:firstLine="0" w:firstLineChars="0"/>
        <w:rPr>
          <w:sz w:val="18"/>
          <w:highlight w:val="none"/>
        </w:rPr>
      </w:pPr>
      <w:r>
        <w:rPr>
          <w:sz w:val="18"/>
          <w:highlight w:val="none"/>
        </w:rPr>
        <w:t>[1]：为</w:t>
      </w:r>
      <w:r>
        <w:rPr>
          <w:rFonts w:hint="eastAsia"/>
          <w:sz w:val="18"/>
          <w:highlight w:val="none"/>
        </w:rPr>
        <w:t>2022年对应指标数值；</w:t>
      </w:r>
    </w:p>
    <w:p>
      <w:pPr>
        <w:spacing w:line="240" w:lineRule="auto"/>
        <w:ind w:firstLine="0" w:firstLineChars="0"/>
        <w:rPr>
          <w:rFonts w:ascii="Calibri" w:hAnsi="Calibri"/>
          <w:sz w:val="21"/>
          <w:highlight w:val="none"/>
        </w:rPr>
      </w:pPr>
      <w:r>
        <w:rPr>
          <w:sz w:val="18"/>
          <w:highlight w:val="none"/>
        </w:rPr>
        <w:t>[</w:t>
      </w:r>
      <w:r>
        <w:rPr>
          <w:rFonts w:hint="eastAsia"/>
          <w:sz w:val="18"/>
          <w:highlight w:val="none"/>
        </w:rPr>
        <w:t>2</w:t>
      </w:r>
      <w:r>
        <w:rPr>
          <w:sz w:val="18"/>
          <w:highlight w:val="none"/>
        </w:rPr>
        <w:t>]：</w:t>
      </w:r>
      <w:r>
        <w:rPr>
          <w:rFonts w:hint="eastAsia"/>
          <w:sz w:val="18"/>
          <w:highlight w:val="none"/>
        </w:rPr>
        <w:t>为2016~2019年期间对应指标数值；</w:t>
      </w:r>
    </w:p>
    <w:p>
      <w:pPr>
        <w:spacing w:line="240" w:lineRule="auto"/>
        <w:ind w:firstLine="0" w:firstLineChars="0"/>
        <w:rPr>
          <w:sz w:val="18"/>
          <w:highlight w:val="none"/>
        </w:rPr>
      </w:pPr>
      <w:r>
        <w:rPr>
          <w:sz w:val="18"/>
          <w:highlight w:val="none"/>
        </w:rPr>
        <w:t>[</w:t>
      </w:r>
      <w:r>
        <w:rPr>
          <w:rFonts w:hint="eastAsia"/>
          <w:sz w:val="18"/>
          <w:highlight w:val="none"/>
        </w:rPr>
        <w:t>3</w:t>
      </w:r>
      <w:r>
        <w:rPr>
          <w:sz w:val="18"/>
          <w:highlight w:val="none"/>
        </w:rPr>
        <w:t>]：包括规划范围内</w:t>
      </w:r>
      <w:r>
        <w:rPr>
          <w:rFonts w:hint="eastAsia"/>
          <w:sz w:val="18"/>
          <w:highlight w:val="none"/>
        </w:rPr>
        <w:t>隆街大桥、合水桥、连中桥、黄潭寺和大席水共五个</w:t>
      </w:r>
      <w:r>
        <w:rPr>
          <w:sz w:val="18"/>
          <w:highlight w:val="none"/>
        </w:rPr>
        <w:t>断面；</w:t>
      </w:r>
    </w:p>
    <w:p>
      <w:pPr>
        <w:spacing w:line="240" w:lineRule="auto"/>
        <w:ind w:firstLine="0" w:firstLineChars="0"/>
        <w:rPr>
          <w:rFonts w:ascii="Calibri" w:hAnsi="Calibri"/>
          <w:color w:val="FF0000"/>
          <w:sz w:val="21"/>
          <w:highlight w:val="none"/>
        </w:rPr>
      </w:pPr>
      <w:r>
        <w:rPr>
          <w:sz w:val="18"/>
          <w:highlight w:val="none"/>
        </w:rPr>
        <w:t>[</w:t>
      </w:r>
      <w:r>
        <w:rPr>
          <w:rFonts w:hint="eastAsia"/>
          <w:sz w:val="18"/>
          <w:highlight w:val="none"/>
        </w:rPr>
        <w:t>4</w:t>
      </w:r>
      <w:r>
        <w:rPr>
          <w:sz w:val="18"/>
          <w:highlight w:val="none"/>
        </w:rPr>
        <w:t>]：</w:t>
      </w:r>
      <w:r>
        <w:rPr>
          <w:rFonts w:hint="eastAsia"/>
          <w:sz w:val="18"/>
          <w:highlight w:val="none"/>
        </w:rPr>
        <w:t>为“十三五”期间对应指标数值。</w:t>
      </w:r>
    </w:p>
    <w:p>
      <w:pPr>
        <w:ind w:firstLine="0" w:firstLineChars="0"/>
        <w:rPr>
          <w:color w:val="FF0000"/>
          <w:highlight w:val="none"/>
        </w:rPr>
        <w:sectPr>
          <w:pgSz w:w="11907" w:h="16840"/>
          <w:pgMar w:top="1440" w:right="1797" w:bottom="1440" w:left="1797" w:header="851" w:footer="992" w:gutter="0"/>
          <w:cols w:space="0" w:num="1"/>
          <w:docGrid w:type="lines" w:linePitch="326" w:charSpace="0"/>
        </w:sectPr>
      </w:pPr>
    </w:p>
    <w:p>
      <w:pPr>
        <w:pStyle w:val="85"/>
        <w:spacing w:before="652" w:after="326"/>
        <w:rPr>
          <w:rFonts w:ascii="Times New Roman" w:hAnsi="Times New Roman" w:eastAsia="宋体" w:cs="Times New Roman"/>
          <w:highlight w:val="none"/>
        </w:rPr>
      </w:pPr>
      <w:bookmarkStart w:id="29" w:name="_Toc140764089"/>
      <w:bookmarkStart w:id="30" w:name="_Toc95899955"/>
      <w:r>
        <w:rPr>
          <w:rFonts w:ascii="Times New Roman" w:hAnsi="Times New Roman" w:eastAsia="宋体" w:cs="Times New Roman"/>
          <w:highlight w:val="none"/>
        </w:rPr>
        <w:t>区域概况</w:t>
      </w:r>
      <w:bookmarkEnd w:id="29"/>
      <w:bookmarkEnd w:id="30"/>
    </w:p>
    <w:p>
      <w:pPr>
        <w:pStyle w:val="87"/>
        <w:ind w:left="0" w:firstLine="0"/>
        <w:rPr>
          <w:rFonts w:eastAsia="宋体"/>
          <w:color w:val="auto"/>
          <w:sz w:val="28"/>
          <w:szCs w:val="21"/>
          <w:highlight w:val="none"/>
        </w:rPr>
      </w:pPr>
      <w:bookmarkStart w:id="31" w:name="_Toc95899956"/>
      <w:bookmarkStart w:id="32" w:name="_Toc140764090"/>
      <w:r>
        <w:rPr>
          <w:rFonts w:eastAsia="宋体"/>
          <w:color w:val="auto"/>
          <w:sz w:val="28"/>
          <w:szCs w:val="21"/>
          <w:highlight w:val="none"/>
        </w:rPr>
        <w:t>地理位置</w:t>
      </w:r>
      <w:bookmarkEnd w:id="31"/>
      <w:bookmarkEnd w:id="32"/>
    </w:p>
    <w:p>
      <w:pPr>
        <w:ind w:firstLine="480"/>
        <w:rPr>
          <w:szCs w:val="28"/>
          <w:highlight w:val="none"/>
        </w:rPr>
      </w:pPr>
      <w:r>
        <w:rPr>
          <w:szCs w:val="28"/>
          <w:highlight w:val="none"/>
        </w:rPr>
        <w:t>连平县地处广东省北部，河源市西北部，东江流域上游。东邻和平县，南连东源县、新丰县，西接翁源县，北与江西省龙南、全南两县交界。位于东经114°14′44″～114º56′51″，北纬24°05′48″～24°28′08″之间。县境东西长约72.4公里，南北宽约55.6公里，总面积2275.0</w:t>
      </w:r>
      <w:r>
        <w:rPr>
          <w:rFonts w:hint="eastAsia"/>
          <w:szCs w:val="28"/>
          <w:highlight w:val="none"/>
        </w:rPr>
        <w:t>1</w:t>
      </w:r>
      <w:r>
        <w:rPr>
          <w:szCs w:val="28"/>
          <w:highlight w:val="none"/>
        </w:rPr>
        <w:t>平方公里。县城距省会广州市217公里、河源市102公里，大广、汕昆、武深、粤赣高速和国道105线、358线及省道253线贯穿境内，为国道105线和大广高速公路入粤第一县。</w:t>
      </w:r>
    </w:p>
    <w:p>
      <w:pPr>
        <w:pStyle w:val="87"/>
        <w:ind w:left="0" w:firstLine="0"/>
        <w:rPr>
          <w:rFonts w:eastAsia="宋体"/>
          <w:color w:val="auto"/>
          <w:sz w:val="28"/>
          <w:szCs w:val="21"/>
          <w:highlight w:val="none"/>
        </w:rPr>
      </w:pPr>
      <w:bookmarkStart w:id="33" w:name="_Toc112094240"/>
      <w:bookmarkStart w:id="34" w:name="_Toc140764091"/>
      <w:r>
        <w:rPr>
          <w:rFonts w:eastAsia="宋体"/>
          <w:color w:val="auto"/>
          <w:sz w:val="28"/>
          <w:szCs w:val="21"/>
          <w:highlight w:val="none"/>
        </w:rPr>
        <w:t>自然环境</w:t>
      </w:r>
      <w:bookmarkEnd w:id="33"/>
      <w:bookmarkEnd w:id="34"/>
    </w:p>
    <w:p>
      <w:pPr>
        <w:pStyle w:val="89"/>
        <w:numPr>
          <w:ilvl w:val="2"/>
          <w:numId w:val="1"/>
        </w:numPr>
        <w:ind w:left="0" w:firstLine="0"/>
        <w:rPr>
          <w:rFonts w:eastAsia="宋体"/>
          <w:highlight w:val="none"/>
        </w:rPr>
      </w:pPr>
      <w:bookmarkStart w:id="35" w:name="_Toc112094241"/>
      <w:bookmarkStart w:id="36" w:name="_Toc140764092"/>
      <w:r>
        <w:rPr>
          <w:rFonts w:eastAsia="宋体"/>
          <w:highlight w:val="none"/>
        </w:rPr>
        <w:t>地形地貌</w:t>
      </w:r>
      <w:bookmarkEnd w:id="35"/>
      <w:bookmarkEnd w:id="36"/>
    </w:p>
    <w:p>
      <w:pPr>
        <w:ind w:firstLine="480"/>
        <w:rPr>
          <w:szCs w:val="28"/>
          <w:highlight w:val="none"/>
        </w:rPr>
      </w:pPr>
      <w:r>
        <w:rPr>
          <w:rFonts w:hint="eastAsia"/>
          <w:szCs w:val="28"/>
          <w:highlight w:val="none"/>
        </w:rPr>
        <w:t>连平县地处粤北九连山区，境内地形复杂，山丘绵亘，地势北高南低、西高东低，九连山脉在境内自北分别向西和西南方向延伸，平均海拔为693.5米。两大水系（东江水系、北江水系），六条主要河流（连平河、大席河、忠信河、大湖河、陂头河、贵东河）纵横全境。北、中部多为中低山，西南部大多是丘陵地带，东南部以谷底盆地为主。山地、丘陵、盆地占全县总面积的90%以上，是一个典型的山区县。</w:t>
      </w:r>
    </w:p>
    <w:p>
      <w:pPr>
        <w:ind w:firstLine="480"/>
        <w:rPr>
          <w:szCs w:val="28"/>
          <w:highlight w:val="none"/>
        </w:rPr>
        <w:sectPr>
          <w:pgSz w:w="11907" w:h="16840"/>
          <w:pgMar w:top="1440" w:right="1803" w:bottom="1440" w:left="1803" w:header="851" w:footer="992" w:gutter="0"/>
          <w:cols w:space="0" w:num="1"/>
          <w:docGrid w:type="lines" w:linePitch="326" w:charSpace="0"/>
        </w:sectPr>
      </w:pPr>
      <w:r>
        <w:rPr>
          <w:rFonts w:hint="eastAsia"/>
          <w:szCs w:val="28"/>
          <w:highlight w:val="none"/>
        </w:rPr>
        <w:t>根据地貌形态特征，县内地貌大致可分为北、中部山地区，西南部丘陵区和东南部谷底盆地区及陂头、内莞喀斯特地形区。</w:t>
      </w:r>
    </w:p>
    <w:p>
      <w:pPr>
        <w:ind w:firstLine="482"/>
        <w:rPr>
          <w:b/>
          <w:szCs w:val="28"/>
          <w:highlight w:val="none"/>
        </w:rPr>
      </w:pPr>
      <w:r>
        <w:rPr>
          <w:rFonts w:hint="eastAsia"/>
          <w:b/>
          <w:szCs w:val="28"/>
          <w:highlight w:val="none"/>
        </w:rPr>
        <w:t>（1）北、中部山地区</w:t>
      </w:r>
    </w:p>
    <w:p>
      <w:pPr>
        <w:ind w:firstLine="480"/>
        <w:rPr>
          <w:szCs w:val="28"/>
          <w:highlight w:val="none"/>
        </w:rPr>
      </w:pPr>
      <w:r>
        <w:rPr>
          <w:rFonts w:hint="eastAsia"/>
          <w:szCs w:val="28"/>
          <w:highlight w:val="none"/>
        </w:rPr>
        <w:t>该区北接江西省，东至和平县，包括上坪镇及陂头、内莞、溪山、田源、油溪、高莞等镇的一部分。岩石组成主要有砂页岩、花岗岩、砾岩、片岩和石灰岩等。区内土壤质地疏松，土层较厚，养分充足，适宜林、草生长，为县内主要牧区和用材林区。区内地形多为中、低山，山脉连绵起伏。中山地势高耸而陡峭，坡度30～50度，最大坡度60～65度，山峰大多在海拔900米以上，海拔千米以上的山峰有79座，其中黄牛石顶海拔1430米，为全县最高峰。低山山势较缓，坡度30～40度，最低为10多度，海拔300～500米左右。多数沟谷切割较深，“V”形谷及嶂谷发育，山间夹有溪流，但流量不大。</w:t>
      </w:r>
    </w:p>
    <w:p>
      <w:pPr>
        <w:ind w:firstLine="480"/>
        <w:rPr>
          <w:szCs w:val="28"/>
          <w:highlight w:val="none"/>
        </w:rPr>
      </w:pPr>
      <w:r>
        <w:rPr>
          <w:rFonts w:hint="eastAsia"/>
          <w:szCs w:val="28"/>
          <w:highlight w:val="none"/>
        </w:rPr>
        <w:t>区内山脉为九连山脉的一段，可分为黄牛石和风吹蝴蝶两大山系。</w:t>
      </w:r>
    </w:p>
    <w:p>
      <w:pPr>
        <w:ind w:firstLine="480"/>
        <w:rPr>
          <w:szCs w:val="28"/>
          <w:highlight w:val="none"/>
        </w:rPr>
      </w:pPr>
      <w:r>
        <w:rPr>
          <w:rFonts w:hint="eastAsia"/>
          <w:szCs w:val="28"/>
          <w:highlight w:val="none"/>
        </w:rPr>
        <w:t>黄牛石山系起于县境北部粤赣交界处，主峰黄牛石顶</w:t>
      </w:r>
      <w:r>
        <w:rPr>
          <w:rFonts w:hint="eastAsia"/>
          <w:szCs w:val="28"/>
          <w:highlight w:val="none"/>
          <w:lang w:eastAsia="zh-CN"/>
        </w:rPr>
        <w:t>海拔</w:t>
      </w:r>
      <w:r>
        <w:rPr>
          <w:rFonts w:hint="eastAsia"/>
          <w:szCs w:val="28"/>
          <w:highlight w:val="none"/>
        </w:rPr>
        <w:t>1430米。山系一般海拔高度为900～1100米，坡度30～40度，向西伸展，自北至南海拔千米以上的主要山峰有：仙人嶂，海拔1036米，是与江西省之界山；大山尾，海拔1084米，是元善、隆街、陂头3镇之界山；老虎坳，海拔1022米，是隆街镇与陂头镇之界山；雷公礤，海拔1219米，是连平县与新丰县之界山；石牙头，海拔1283米，位于溪山镇境内；禾笔尖，海拔1233米，位于溪山镇与元善镇增坝的交界处。</w:t>
      </w:r>
    </w:p>
    <w:p>
      <w:pPr>
        <w:ind w:firstLine="480"/>
        <w:rPr>
          <w:szCs w:val="28"/>
          <w:highlight w:val="none"/>
        </w:rPr>
      </w:pPr>
      <w:r>
        <w:rPr>
          <w:rFonts w:hint="eastAsia"/>
          <w:szCs w:val="28"/>
          <w:highlight w:val="none"/>
        </w:rPr>
        <w:t>风吹蝴蝶山又称双峰山，位于县境东北部，连平县与和平县之界山。主峰海拔1272米，山系一般高度为海拔900～1000米，坡度30～50度。最大坡度60～65度，最小坡度10多度，大小坡度悬殊较大。整个山系由东北向西南伸展，自北至南海拔千米以上的主要山峰有：三堆树，海拔1219米，是上坪镇与内莞镇之界山；打石坑顶，海拔1100米，位于上坪镇境内；兰房合顶，海拔1151米，位于内莞镇北部；兰房尾，海拔1013米，东面是锯板坑矿区；寒山，海拔1249米，位于内莞镇内；七星墩，海拔1170米，是内莞镇与油溪镇之界山；朝天马，海拔1320米，是内莞镇与油溪镇之界山；滴水岩，海拔1305米，位于油溪镇境内；猫牙狸，海拔1034米，是油溪镇与元善镇之界山。</w:t>
      </w:r>
    </w:p>
    <w:p>
      <w:pPr>
        <w:ind w:firstLine="482"/>
        <w:rPr>
          <w:b/>
          <w:szCs w:val="28"/>
          <w:highlight w:val="none"/>
        </w:rPr>
      </w:pPr>
      <w:r>
        <w:rPr>
          <w:rFonts w:hint="eastAsia"/>
          <w:b/>
          <w:szCs w:val="28"/>
          <w:highlight w:val="none"/>
        </w:rPr>
        <w:t>（2）西南部丘陵区</w:t>
      </w:r>
    </w:p>
    <w:p>
      <w:pPr>
        <w:ind w:firstLine="480"/>
        <w:rPr>
          <w:szCs w:val="28"/>
          <w:highlight w:val="none"/>
        </w:rPr>
      </w:pPr>
      <w:r>
        <w:rPr>
          <w:rFonts w:hint="eastAsia"/>
          <w:szCs w:val="28"/>
          <w:highlight w:val="none"/>
        </w:rPr>
        <w:t>该区西接翁源县，南界新丰县，包括隆街、元善等镇及陂头、溪山、田源的大部分地区。地形多为丘陵及低山，海拔一般在500米以下，坡度为10～30度，岩石由泥质页岩、砂页岩和花岗岩组成。土壤多为中厚土层，土质较为肥沃。连平河流经元善、溪山、隆街等地。水资源丰富。该区适宜发展粮食作物和经济林，为连平主要的粮产区及经济林区。</w:t>
      </w:r>
    </w:p>
    <w:p>
      <w:pPr>
        <w:ind w:firstLine="482"/>
        <w:rPr>
          <w:b/>
          <w:szCs w:val="28"/>
          <w:highlight w:val="none"/>
        </w:rPr>
      </w:pPr>
      <w:r>
        <w:rPr>
          <w:rFonts w:hint="eastAsia"/>
          <w:b/>
          <w:szCs w:val="28"/>
          <w:highlight w:val="none"/>
        </w:rPr>
        <w:t>（3）东南部盆地区</w:t>
      </w:r>
    </w:p>
    <w:p>
      <w:pPr>
        <w:ind w:firstLine="480"/>
        <w:rPr>
          <w:szCs w:val="28"/>
          <w:highlight w:val="none"/>
        </w:rPr>
      </w:pPr>
      <w:r>
        <w:rPr>
          <w:rFonts w:hint="eastAsia"/>
          <w:szCs w:val="28"/>
          <w:highlight w:val="none"/>
        </w:rPr>
        <w:t>该区东至和平县，南接河源市郊区，包括忠信、大湖、绣缎等镇和莲塘茶场，以及高莞、油溪的大部分地区。地形多为盆地，盆地边缘有低丘陵。地势平坦，低矮平缓，高度一般在海拔200米以下。岩石组成多为砾石、砂及粘土，土壤质地疏松，土层深厚，适宜种植水稻、花生、大豆、蒜头、茶叶、油茶、油桐、沙梨和枫栗等，为县内粮食产区及主要经济作物区。</w:t>
      </w:r>
    </w:p>
    <w:p>
      <w:pPr>
        <w:ind w:firstLine="482"/>
        <w:rPr>
          <w:b/>
          <w:szCs w:val="28"/>
          <w:highlight w:val="none"/>
        </w:rPr>
      </w:pPr>
      <w:r>
        <w:rPr>
          <w:rFonts w:hint="eastAsia"/>
          <w:b/>
          <w:szCs w:val="28"/>
          <w:highlight w:val="none"/>
        </w:rPr>
        <w:t>（4）喀斯特地形区</w:t>
      </w:r>
    </w:p>
    <w:p>
      <w:pPr>
        <w:ind w:firstLine="480"/>
        <w:rPr>
          <w:szCs w:val="28"/>
          <w:highlight w:val="none"/>
        </w:rPr>
      </w:pPr>
      <w:r>
        <w:rPr>
          <w:rFonts w:hint="eastAsia"/>
          <w:szCs w:val="28"/>
          <w:highlight w:val="none"/>
        </w:rPr>
        <w:t>县内陂头洞周围山岭和内莞的莞中、塘兴、小洞等处山岭，因由石灰系灰岩、白云质灰岩构造，经长期的水溶侵蚀作用形成许多石峰和岩（溶）洞，构成了喀斯特地形区的特殊景观，为连平县主要旅游景点。主要岩洞有：</w:t>
      </w:r>
    </w:p>
    <w:p>
      <w:pPr>
        <w:ind w:firstLine="482"/>
        <w:rPr>
          <w:szCs w:val="28"/>
          <w:highlight w:val="none"/>
        </w:rPr>
      </w:pPr>
      <w:r>
        <w:rPr>
          <w:rFonts w:hint="eastAsia"/>
          <w:b/>
          <w:szCs w:val="28"/>
          <w:highlight w:val="none"/>
        </w:rPr>
        <w:t>圣迹苍岩：</w:t>
      </w:r>
      <w:r>
        <w:rPr>
          <w:rFonts w:hint="eastAsia"/>
          <w:szCs w:val="28"/>
          <w:highlight w:val="none"/>
        </w:rPr>
        <w:t>又名内莞岩，位于县城东向内莞镇境内。岩体为石灰系灰岩构造，经长期水溶作用，形成洞内千姿百态的自然景观。</w:t>
      </w:r>
    </w:p>
    <w:p>
      <w:pPr>
        <w:ind w:firstLine="482"/>
        <w:rPr>
          <w:szCs w:val="28"/>
          <w:highlight w:val="none"/>
        </w:rPr>
      </w:pPr>
      <w:r>
        <w:rPr>
          <w:rFonts w:hint="eastAsia"/>
          <w:b/>
          <w:szCs w:val="28"/>
          <w:highlight w:val="none"/>
        </w:rPr>
        <w:t>龙岩：</w:t>
      </w:r>
      <w:r>
        <w:rPr>
          <w:rFonts w:hint="eastAsia"/>
          <w:szCs w:val="28"/>
          <w:highlight w:val="none"/>
        </w:rPr>
        <w:t>旧称“龙潭喷雨”，位于连平县西部陂头镇腊溪洞尾龙岩山的半山腰处。洞长300米，洞内的石钟乳、石笋等别有风韵。春、夏季水从洞口涌出，秋、冬季水从洞底石缝中流出。一年四季水源稳定。1972年，在洞口下侧20米处拦水筑坝，开渠引水发电，装机容量800千瓦。洞内的水源从何而来尚未查明。</w:t>
      </w:r>
    </w:p>
    <w:p>
      <w:pPr>
        <w:ind w:firstLine="482"/>
        <w:rPr>
          <w:szCs w:val="28"/>
          <w:highlight w:val="none"/>
        </w:rPr>
      </w:pPr>
      <w:r>
        <w:rPr>
          <w:rFonts w:hint="eastAsia"/>
          <w:b/>
          <w:szCs w:val="28"/>
          <w:highlight w:val="none"/>
        </w:rPr>
        <w:t>上岩、下岩：</w:t>
      </w:r>
      <w:r>
        <w:rPr>
          <w:rFonts w:hint="eastAsia"/>
          <w:szCs w:val="28"/>
          <w:highlight w:val="none"/>
        </w:rPr>
        <w:t>位于连平县西部陂头镇境内，为石灰系灰岩天然溶洞。上岩、下岩两个岩洞相距约100米，因一个在上，另一个在下，故名。两洞的地面皆成长方形。其中上岩洞内面积1600平方米，下岩洞内面积1200平方米。两洞高度均为6米。1939年（民国28年），它们俱被国民党十二集团军余汉谋部整修为军事仓库。1948年（民国37年），这两处军事仓库搬迁至江西后，上、下岩废弃。</w:t>
      </w:r>
    </w:p>
    <w:p>
      <w:pPr>
        <w:ind w:firstLine="424" w:firstLineChars="177"/>
        <w:rPr>
          <w:color w:val="FF0000"/>
          <w:szCs w:val="28"/>
          <w:highlight w:val="none"/>
        </w:rPr>
        <w:sectPr>
          <w:pgSz w:w="11907" w:h="16840"/>
          <w:pgMar w:top="1440" w:right="1803" w:bottom="1440" w:left="1803" w:header="851" w:footer="992" w:gutter="0"/>
          <w:cols w:space="0" w:num="1"/>
          <w:docGrid w:type="lines" w:linePitch="326" w:charSpace="0"/>
        </w:sectPr>
      </w:pPr>
    </w:p>
    <w:p>
      <w:pPr>
        <w:pStyle w:val="89"/>
        <w:numPr>
          <w:ilvl w:val="2"/>
          <w:numId w:val="1"/>
        </w:numPr>
        <w:ind w:left="0" w:firstLine="0"/>
        <w:rPr>
          <w:rFonts w:eastAsia="宋体"/>
          <w:highlight w:val="none"/>
        </w:rPr>
      </w:pPr>
      <w:bookmarkStart w:id="37" w:name="_Toc140764093"/>
      <w:bookmarkStart w:id="38" w:name="_Toc112094242"/>
      <w:r>
        <w:rPr>
          <w:rFonts w:eastAsia="宋体"/>
          <w:highlight w:val="none"/>
        </w:rPr>
        <w:t>气候气象</w:t>
      </w:r>
      <w:bookmarkEnd w:id="37"/>
      <w:bookmarkEnd w:id="38"/>
    </w:p>
    <w:p>
      <w:pPr>
        <w:ind w:firstLine="480"/>
        <w:rPr>
          <w:szCs w:val="28"/>
          <w:highlight w:val="none"/>
        </w:rPr>
      </w:pPr>
      <w:r>
        <w:rPr>
          <w:rFonts w:hint="eastAsia"/>
          <w:szCs w:val="28"/>
          <w:highlight w:val="none"/>
        </w:rPr>
        <w:t>连平县属中亚热带季风气候，气候主要特征为夏冬长，春秋短，气候温和，四季分明，日照充足，热量丰富，降水季节明显。</w:t>
      </w:r>
    </w:p>
    <w:p>
      <w:pPr>
        <w:ind w:firstLine="482"/>
        <w:rPr>
          <w:b/>
          <w:bCs/>
          <w:szCs w:val="28"/>
          <w:highlight w:val="none"/>
        </w:rPr>
      </w:pPr>
      <w:r>
        <w:rPr>
          <w:b/>
          <w:bCs/>
          <w:szCs w:val="28"/>
          <w:highlight w:val="none"/>
        </w:rPr>
        <w:t>（1）雨量</w:t>
      </w:r>
    </w:p>
    <w:p>
      <w:pPr>
        <w:ind w:firstLine="480"/>
        <w:rPr>
          <w:szCs w:val="28"/>
          <w:highlight w:val="none"/>
        </w:rPr>
      </w:pPr>
      <w:r>
        <w:rPr>
          <w:rFonts w:hint="eastAsia"/>
          <w:szCs w:val="28"/>
          <w:highlight w:val="none"/>
        </w:rPr>
        <w:t>连平县多年平均降雨量为1729.41mm，但时空分布不均匀，4-6月份降雨量占全年的47.2%，7-9月份占30.8%，10月~次年3月份占22%。上半年降水主要集中在4~6月份，下半年降水主要集中在7~9月份。</w:t>
      </w:r>
    </w:p>
    <w:p>
      <w:pPr>
        <w:ind w:firstLine="482"/>
        <w:rPr>
          <w:b/>
          <w:bCs/>
          <w:szCs w:val="28"/>
          <w:highlight w:val="none"/>
        </w:rPr>
      </w:pPr>
      <w:r>
        <w:rPr>
          <w:b/>
          <w:bCs/>
          <w:szCs w:val="28"/>
          <w:highlight w:val="none"/>
        </w:rPr>
        <w:t>（2）日照</w:t>
      </w:r>
    </w:p>
    <w:p>
      <w:pPr>
        <w:ind w:firstLine="480"/>
        <w:rPr>
          <w:szCs w:val="28"/>
          <w:highlight w:val="none"/>
        </w:rPr>
      </w:pPr>
      <w:r>
        <w:rPr>
          <w:rFonts w:hint="eastAsia"/>
          <w:szCs w:val="28"/>
          <w:highlight w:val="none"/>
        </w:rPr>
        <w:t>连平县年平均相对湿度80%，无霜期307~317天，日照时数较长，多年平均月日照时间为134.7 h，上半年月均日照时间为96.5 h，下半年月均日照时间为172.9h，3-7月平均日照时间为116.1 h；7-10月平均日照时间为179.6h，日照时间最短出现在2~3月份，日照时间最长出现在7~10月份。</w:t>
      </w:r>
    </w:p>
    <w:p>
      <w:pPr>
        <w:ind w:firstLine="482"/>
        <w:rPr>
          <w:b/>
          <w:bCs/>
          <w:szCs w:val="28"/>
          <w:highlight w:val="none"/>
        </w:rPr>
      </w:pPr>
      <w:r>
        <w:rPr>
          <w:b/>
          <w:bCs/>
          <w:szCs w:val="28"/>
          <w:highlight w:val="none"/>
        </w:rPr>
        <w:t>（3）气温</w:t>
      </w:r>
    </w:p>
    <w:p>
      <w:pPr>
        <w:ind w:firstLine="480"/>
        <w:rPr>
          <w:szCs w:val="28"/>
          <w:highlight w:val="none"/>
        </w:rPr>
      </w:pPr>
      <w:r>
        <w:rPr>
          <w:rFonts w:hint="eastAsia"/>
          <w:szCs w:val="28"/>
          <w:highlight w:val="none"/>
        </w:rPr>
        <w:t>连平县多年平均气温为20.5℃，上半年月均气温为18.7℃，下半年月均气温为22.4℃，3-7月平均气温为23.2℃；7-10月平均气温为26.1℃，最低气温出现在1-2月，最高气温出现在6~8月份。</w:t>
      </w:r>
    </w:p>
    <w:p>
      <w:pPr>
        <w:pStyle w:val="89"/>
        <w:numPr>
          <w:ilvl w:val="2"/>
          <w:numId w:val="1"/>
        </w:numPr>
        <w:ind w:left="0" w:firstLine="0"/>
        <w:rPr>
          <w:rFonts w:eastAsia="宋体"/>
          <w:highlight w:val="none"/>
        </w:rPr>
      </w:pPr>
      <w:bookmarkStart w:id="39" w:name="_Toc112094244"/>
      <w:bookmarkStart w:id="40" w:name="_Toc140764094"/>
      <w:r>
        <w:rPr>
          <w:rFonts w:eastAsia="宋体"/>
          <w:highlight w:val="none"/>
        </w:rPr>
        <w:t>自然资源</w:t>
      </w:r>
      <w:bookmarkEnd w:id="39"/>
      <w:bookmarkEnd w:id="40"/>
    </w:p>
    <w:p>
      <w:pPr>
        <w:ind w:firstLine="482"/>
        <w:rPr>
          <w:b/>
          <w:bCs/>
          <w:szCs w:val="28"/>
          <w:highlight w:val="none"/>
        </w:rPr>
      </w:pPr>
      <w:bookmarkStart w:id="41" w:name="_Toc112094245"/>
      <w:r>
        <w:rPr>
          <w:rFonts w:hint="eastAsia"/>
          <w:b/>
          <w:bCs/>
          <w:szCs w:val="28"/>
          <w:highlight w:val="none"/>
        </w:rPr>
        <w:t>（1）土地资源</w:t>
      </w:r>
    </w:p>
    <w:p>
      <w:pPr>
        <w:ind w:firstLine="480"/>
        <w:rPr>
          <w:bCs/>
          <w:szCs w:val="28"/>
          <w:highlight w:val="none"/>
        </w:rPr>
      </w:pPr>
      <w:r>
        <w:rPr>
          <w:rFonts w:hint="eastAsia"/>
          <w:bCs/>
          <w:szCs w:val="28"/>
          <w:highlight w:val="none"/>
        </w:rPr>
        <w:t>根据土地利用现状变更调查结果，全县土地总面积3412614.15亩，其中集体土地3224100亩，国有土地188514.15亩；耕地面积306273亩，园地67294.95亩，林地2741681.7亩，草地59011.05亩，城镇村及工矿用地80867.25亩，交通用地32143.05亩，水域67518.3亩，其他土地57824.85亩。</w:t>
      </w:r>
    </w:p>
    <w:p>
      <w:pPr>
        <w:ind w:firstLine="482"/>
        <w:rPr>
          <w:b/>
          <w:bCs/>
          <w:szCs w:val="28"/>
          <w:highlight w:val="none"/>
        </w:rPr>
      </w:pPr>
      <w:r>
        <w:rPr>
          <w:b/>
          <w:bCs/>
          <w:szCs w:val="28"/>
          <w:highlight w:val="none"/>
        </w:rPr>
        <w:t>（</w:t>
      </w:r>
      <w:r>
        <w:rPr>
          <w:rFonts w:hint="eastAsia"/>
          <w:b/>
          <w:bCs/>
          <w:szCs w:val="28"/>
          <w:highlight w:val="none"/>
        </w:rPr>
        <w:t>2</w:t>
      </w:r>
      <w:r>
        <w:rPr>
          <w:b/>
          <w:bCs/>
          <w:szCs w:val="28"/>
          <w:highlight w:val="none"/>
        </w:rPr>
        <w:t>）动植物资源</w:t>
      </w:r>
    </w:p>
    <w:p>
      <w:pPr>
        <w:ind w:firstLine="480"/>
        <w:rPr>
          <w:szCs w:val="28"/>
          <w:highlight w:val="none"/>
        </w:rPr>
      </w:pPr>
      <w:r>
        <w:rPr>
          <w:rFonts w:hint="eastAsia"/>
          <w:szCs w:val="28"/>
          <w:highlight w:val="none"/>
        </w:rPr>
        <w:t>野生动植物资源丰富、种类繁多。经县林业局调查发现，县境内野生动物主要有两栖爬行动物20多种、哺乳动物20多种、鸟类50多种、昆虫100多种。按样地调查及标本采集，县内已发现的主要野生植物有1368种，其中苔藓8科8属8种、蕨类36科72属121种、裸子植物5科7属7种、被子植物152科617属1232种（双子叶植物127科489属1022种、单子叶植物25科128属210种）。</w:t>
      </w:r>
    </w:p>
    <w:p>
      <w:pPr>
        <w:ind w:firstLine="482"/>
        <w:rPr>
          <w:b/>
          <w:bCs/>
          <w:szCs w:val="28"/>
          <w:highlight w:val="none"/>
        </w:rPr>
      </w:pPr>
      <w:r>
        <w:rPr>
          <w:b/>
          <w:bCs/>
          <w:szCs w:val="28"/>
          <w:highlight w:val="none"/>
        </w:rPr>
        <w:t>（</w:t>
      </w:r>
      <w:r>
        <w:rPr>
          <w:rFonts w:hint="eastAsia"/>
          <w:b/>
          <w:bCs/>
          <w:szCs w:val="28"/>
          <w:highlight w:val="none"/>
        </w:rPr>
        <w:t>3</w:t>
      </w:r>
      <w:r>
        <w:rPr>
          <w:b/>
          <w:bCs/>
          <w:szCs w:val="28"/>
          <w:highlight w:val="none"/>
        </w:rPr>
        <w:t>）矿</w:t>
      </w:r>
      <w:r>
        <w:rPr>
          <w:rFonts w:hint="eastAsia"/>
          <w:b/>
          <w:bCs/>
          <w:szCs w:val="28"/>
          <w:highlight w:val="none"/>
        </w:rPr>
        <w:t>产</w:t>
      </w:r>
      <w:r>
        <w:rPr>
          <w:b/>
          <w:bCs/>
          <w:szCs w:val="28"/>
          <w:highlight w:val="none"/>
        </w:rPr>
        <w:t>资源</w:t>
      </w:r>
    </w:p>
    <w:p>
      <w:pPr>
        <w:ind w:firstLine="480"/>
        <w:rPr>
          <w:szCs w:val="28"/>
          <w:highlight w:val="none"/>
        </w:rPr>
      </w:pPr>
      <w:r>
        <w:rPr>
          <w:rFonts w:hint="eastAsia"/>
          <w:szCs w:val="28"/>
          <w:highlight w:val="none"/>
        </w:rPr>
        <w:t>矿产资源丰富、种类繁多，是广东省黑色金属和有色金属储量较为丰富的一个县，被誉为“粤北有色金属之乡”。截至2020年底，已发现矿种20多种，累计发现矿产地（矿点）75处。经地质工作评价并估算了资源储量的矿产地45处。在45处发现矿产地中，金属矿产9种，矿产地25处；非金属矿产10种，矿产地19处。</w:t>
      </w:r>
    </w:p>
    <w:p>
      <w:pPr>
        <w:ind w:firstLine="480"/>
        <w:rPr>
          <w:szCs w:val="28"/>
          <w:highlight w:val="none"/>
        </w:rPr>
      </w:pPr>
      <w:r>
        <w:rPr>
          <w:rFonts w:hint="eastAsia"/>
          <w:szCs w:val="28"/>
          <w:highlight w:val="none"/>
        </w:rPr>
        <w:t>①金属矿产</w:t>
      </w:r>
    </w:p>
    <w:p>
      <w:pPr>
        <w:ind w:firstLine="480"/>
        <w:rPr>
          <w:szCs w:val="28"/>
          <w:highlight w:val="none"/>
        </w:rPr>
      </w:pPr>
      <w:r>
        <w:rPr>
          <w:rFonts w:hint="eastAsia"/>
          <w:szCs w:val="28"/>
          <w:highlight w:val="none"/>
        </w:rPr>
        <w:t>金属矿产种类多，储量较为丰富，素有粤北“有色金属之乡”的称号，矿种主要有铁、钨、锡、钼、铅、锌等。</w:t>
      </w:r>
    </w:p>
    <w:p>
      <w:pPr>
        <w:ind w:firstLine="480"/>
        <w:rPr>
          <w:szCs w:val="28"/>
          <w:highlight w:val="none"/>
        </w:rPr>
      </w:pPr>
      <w:r>
        <w:rPr>
          <w:rFonts w:hint="eastAsia"/>
          <w:szCs w:val="28"/>
          <w:highlight w:val="none"/>
        </w:rPr>
        <w:t>铁矿：本县优势矿产资源，有矿产地3处，主要分布在油溪镇，其中已探明达大型的大顶铁矿保有资源量近2848.537万吨。</w:t>
      </w:r>
    </w:p>
    <w:p>
      <w:pPr>
        <w:ind w:firstLine="480"/>
        <w:rPr>
          <w:szCs w:val="28"/>
          <w:highlight w:val="none"/>
        </w:rPr>
      </w:pPr>
      <w:r>
        <w:rPr>
          <w:rFonts w:hint="eastAsia"/>
          <w:szCs w:val="28"/>
          <w:highlight w:val="none"/>
        </w:rPr>
        <w:t>钨锡矿：本县优势矿产资源，矿产地1处，为连平县珠江矿业有限公司锯板坑钨锡多金属矿，钨（WO3）保有资源量约3.11万吨；伴生锡资源量0.99万吨，储量规模为中型，是省内重要的钨矿产地。</w:t>
      </w:r>
    </w:p>
    <w:p>
      <w:pPr>
        <w:ind w:firstLine="480"/>
        <w:rPr>
          <w:szCs w:val="28"/>
          <w:highlight w:val="none"/>
        </w:rPr>
      </w:pPr>
      <w:r>
        <w:rPr>
          <w:rFonts w:hint="eastAsia"/>
          <w:szCs w:val="28"/>
          <w:highlight w:val="none"/>
        </w:rPr>
        <w:t>铅锌矿：矿产地1处，为分布在元善镇的大尖山铅锌矿，保有铅锌金属资源量879.844万吨，铅锌资源储量达到中型规模。</w:t>
      </w:r>
    </w:p>
    <w:p>
      <w:pPr>
        <w:ind w:firstLine="480"/>
        <w:rPr>
          <w:szCs w:val="28"/>
          <w:highlight w:val="none"/>
        </w:rPr>
      </w:pPr>
      <w:r>
        <w:rPr>
          <w:rFonts w:hint="eastAsia"/>
          <w:szCs w:val="28"/>
          <w:highlight w:val="none"/>
        </w:rPr>
        <w:t>钨钼矿：矿产地2处，为连平县隆街镇牛栏长垠钼多金属矿和连平县上坪镇鸡啼石钼多金属矿，其中连平县隆街镇牛栏长垠钼多金属矿已初步查明钨（WO3）资源量近7万吨，储量规模达大型。</w:t>
      </w:r>
    </w:p>
    <w:p>
      <w:pPr>
        <w:ind w:firstLine="480"/>
        <w:rPr>
          <w:szCs w:val="28"/>
          <w:highlight w:val="none"/>
        </w:rPr>
      </w:pPr>
      <w:r>
        <w:rPr>
          <w:rFonts w:hint="eastAsia"/>
          <w:szCs w:val="28"/>
          <w:highlight w:val="none"/>
        </w:rPr>
        <w:t>②非金属矿产</w:t>
      </w:r>
    </w:p>
    <w:p>
      <w:pPr>
        <w:ind w:firstLine="480"/>
        <w:rPr>
          <w:szCs w:val="28"/>
          <w:highlight w:val="none"/>
        </w:rPr>
      </w:pPr>
      <w:r>
        <w:rPr>
          <w:rFonts w:hint="eastAsia"/>
          <w:szCs w:val="28"/>
          <w:highlight w:val="none"/>
        </w:rPr>
        <w:t>非金属矿产分布较为分散，矿种主要有高岭土（矿产地1处）、建筑用辉绿岩（矿产地1处）、建筑用石料凝灰岩（矿产地1处）、建筑用砂岩（矿产地1处）、建筑用大理岩（矿产地3处）、建筑用石料灰岩（矿产地1处）、建筑用花岗岩（矿产地1处）、饰面用灰岩（矿产地1处）、砖瓦用砂岩（矿产地3处）、砖瓦用页岩（矿产地5处）。</w:t>
      </w:r>
    </w:p>
    <w:p>
      <w:pPr>
        <w:ind w:firstLine="480"/>
        <w:rPr>
          <w:szCs w:val="28"/>
          <w:highlight w:val="none"/>
        </w:rPr>
        <w:sectPr>
          <w:pgSz w:w="11907" w:h="16840"/>
          <w:pgMar w:top="1440" w:right="1803" w:bottom="1440" w:left="1803" w:header="851" w:footer="992" w:gutter="0"/>
          <w:cols w:space="0" w:num="1"/>
          <w:docGrid w:type="lines" w:linePitch="326" w:charSpace="0"/>
        </w:sectPr>
      </w:pPr>
    </w:p>
    <w:p>
      <w:pPr>
        <w:ind w:firstLine="0" w:firstLineChars="0"/>
        <w:jc w:val="center"/>
        <w:rPr>
          <w:b/>
          <w:szCs w:val="28"/>
          <w:highlight w:val="none"/>
        </w:rPr>
      </w:pPr>
      <w:r>
        <w:rPr>
          <w:rFonts w:hint="eastAsia"/>
          <w:b/>
          <w:szCs w:val="28"/>
          <w:highlight w:val="none"/>
        </w:rPr>
        <w:t>表2.2-1 连平县矿产资源概况</w:t>
      </w:r>
    </w:p>
    <w:tbl>
      <w:tblPr>
        <w:tblStyle w:val="33"/>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5155"/>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474" w:type="dxa"/>
            <w:vAlign w:val="center"/>
          </w:tcPr>
          <w:p>
            <w:pPr>
              <w:widowControl/>
              <w:spacing w:line="240" w:lineRule="auto"/>
              <w:ind w:firstLine="0" w:firstLineChars="0"/>
              <w:jc w:val="center"/>
              <w:rPr>
                <w:b/>
                <w:kern w:val="0"/>
                <w:sz w:val="21"/>
                <w:szCs w:val="21"/>
                <w:highlight w:val="none"/>
              </w:rPr>
            </w:pPr>
            <w:r>
              <w:rPr>
                <w:b/>
                <w:kern w:val="0"/>
                <w:sz w:val="21"/>
                <w:szCs w:val="21"/>
                <w:highlight w:val="none"/>
              </w:rPr>
              <w:t>分类</w:t>
            </w:r>
          </w:p>
        </w:tc>
        <w:tc>
          <w:tcPr>
            <w:tcW w:w="5155" w:type="dxa"/>
            <w:vAlign w:val="center"/>
          </w:tcPr>
          <w:p>
            <w:pPr>
              <w:widowControl/>
              <w:spacing w:line="240" w:lineRule="auto"/>
              <w:ind w:firstLine="0" w:firstLineChars="0"/>
              <w:jc w:val="center"/>
              <w:rPr>
                <w:b/>
                <w:kern w:val="0"/>
                <w:sz w:val="21"/>
                <w:szCs w:val="21"/>
                <w:highlight w:val="none"/>
              </w:rPr>
            </w:pPr>
            <w:r>
              <w:rPr>
                <w:b/>
                <w:kern w:val="0"/>
                <w:sz w:val="21"/>
                <w:szCs w:val="21"/>
                <w:highlight w:val="none"/>
              </w:rPr>
              <w:t>矿种</w:t>
            </w:r>
          </w:p>
        </w:tc>
        <w:tc>
          <w:tcPr>
            <w:tcW w:w="1888" w:type="dxa"/>
            <w:vAlign w:val="center"/>
          </w:tcPr>
          <w:p>
            <w:pPr>
              <w:widowControl/>
              <w:spacing w:line="240" w:lineRule="auto"/>
              <w:ind w:firstLine="0" w:firstLineChars="0"/>
              <w:jc w:val="center"/>
              <w:rPr>
                <w:b/>
                <w:kern w:val="0"/>
                <w:sz w:val="21"/>
                <w:szCs w:val="21"/>
                <w:highlight w:val="none"/>
              </w:rPr>
            </w:pPr>
            <w:r>
              <w:rPr>
                <w:b/>
                <w:kern w:val="0"/>
                <w:sz w:val="21"/>
                <w:szCs w:val="21"/>
                <w:highlight w:val="none"/>
              </w:rPr>
              <w:t>矿产地（矿点）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74" w:type="dxa"/>
            <w:vAlign w:val="center"/>
          </w:tcPr>
          <w:p>
            <w:pPr>
              <w:widowControl/>
              <w:spacing w:line="240" w:lineRule="auto"/>
              <w:ind w:firstLine="0" w:firstLineChars="0"/>
              <w:jc w:val="center"/>
              <w:rPr>
                <w:kern w:val="0"/>
                <w:sz w:val="21"/>
                <w:szCs w:val="21"/>
                <w:highlight w:val="none"/>
              </w:rPr>
            </w:pPr>
            <w:r>
              <w:rPr>
                <w:kern w:val="0"/>
                <w:sz w:val="21"/>
                <w:szCs w:val="21"/>
                <w:highlight w:val="none"/>
              </w:rPr>
              <w:t>金属矿产</w:t>
            </w:r>
          </w:p>
        </w:tc>
        <w:tc>
          <w:tcPr>
            <w:tcW w:w="5155" w:type="dxa"/>
            <w:vAlign w:val="center"/>
          </w:tcPr>
          <w:p>
            <w:pPr>
              <w:widowControl/>
              <w:spacing w:line="240" w:lineRule="auto"/>
              <w:ind w:firstLine="0" w:firstLineChars="0"/>
              <w:jc w:val="center"/>
              <w:rPr>
                <w:kern w:val="0"/>
                <w:sz w:val="21"/>
                <w:szCs w:val="21"/>
                <w:highlight w:val="none"/>
              </w:rPr>
            </w:pPr>
            <w:r>
              <w:rPr>
                <w:sz w:val="21"/>
                <w:szCs w:val="21"/>
                <w:highlight w:val="none"/>
              </w:rPr>
              <w:t>铁、铜、铅、锌、钨、金、银、锡、钼</w:t>
            </w:r>
          </w:p>
        </w:tc>
        <w:tc>
          <w:tcPr>
            <w:tcW w:w="1888" w:type="dxa"/>
            <w:vAlign w:val="center"/>
          </w:tcPr>
          <w:p>
            <w:pPr>
              <w:widowControl/>
              <w:spacing w:line="240" w:lineRule="auto"/>
              <w:ind w:firstLine="0" w:firstLineChars="0"/>
              <w:jc w:val="center"/>
              <w:rPr>
                <w:kern w:val="0"/>
                <w:sz w:val="21"/>
                <w:szCs w:val="21"/>
                <w:highlight w:val="none"/>
              </w:rPr>
            </w:pPr>
            <w:r>
              <w:rPr>
                <w:kern w:val="0"/>
                <w:sz w:val="21"/>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474" w:type="dxa"/>
            <w:vAlign w:val="center"/>
          </w:tcPr>
          <w:p>
            <w:pPr>
              <w:widowControl/>
              <w:spacing w:line="240" w:lineRule="auto"/>
              <w:ind w:firstLine="0" w:firstLineChars="0"/>
              <w:jc w:val="center"/>
              <w:rPr>
                <w:kern w:val="0"/>
                <w:sz w:val="21"/>
                <w:szCs w:val="21"/>
                <w:highlight w:val="none"/>
              </w:rPr>
            </w:pPr>
            <w:r>
              <w:rPr>
                <w:kern w:val="0"/>
                <w:sz w:val="21"/>
                <w:szCs w:val="21"/>
                <w:highlight w:val="none"/>
              </w:rPr>
              <w:t>非金属矿产</w:t>
            </w:r>
          </w:p>
        </w:tc>
        <w:tc>
          <w:tcPr>
            <w:tcW w:w="5155" w:type="dxa"/>
            <w:vAlign w:val="center"/>
          </w:tcPr>
          <w:p>
            <w:pPr>
              <w:widowControl/>
              <w:spacing w:line="240" w:lineRule="auto"/>
              <w:ind w:firstLine="0" w:firstLineChars="0"/>
              <w:jc w:val="center"/>
              <w:rPr>
                <w:kern w:val="0"/>
                <w:sz w:val="21"/>
                <w:szCs w:val="21"/>
                <w:highlight w:val="none"/>
              </w:rPr>
            </w:pPr>
            <w:r>
              <w:rPr>
                <w:sz w:val="21"/>
                <w:szCs w:val="21"/>
                <w:highlight w:val="none"/>
              </w:rPr>
              <w:t>高岭土矿、建筑用辉绿岩、建筑用石料（凝灰岩）、建筑用砂岩、建筑用大理岩、建筑用石料灰岩、建筑用花岗石、饰面用灰岩、砖瓦用砂岩、砖瓦用页岩</w:t>
            </w:r>
          </w:p>
        </w:tc>
        <w:tc>
          <w:tcPr>
            <w:tcW w:w="1888" w:type="dxa"/>
            <w:vAlign w:val="center"/>
          </w:tcPr>
          <w:p>
            <w:pPr>
              <w:widowControl/>
              <w:spacing w:line="240" w:lineRule="auto"/>
              <w:ind w:firstLine="0" w:firstLineChars="0"/>
              <w:jc w:val="center"/>
              <w:rPr>
                <w:kern w:val="0"/>
                <w:sz w:val="21"/>
                <w:szCs w:val="21"/>
                <w:highlight w:val="none"/>
              </w:rPr>
            </w:pPr>
            <w:r>
              <w:rPr>
                <w:kern w:val="0"/>
                <w:sz w:val="21"/>
                <w:szCs w:val="21"/>
                <w:highlight w:val="none"/>
              </w:rPr>
              <w:t>19</w:t>
            </w:r>
          </w:p>
        </w:tc>
      </w:tr>
    </w:tbl>
    <w:p>
      <w:pPr>
        <w:pStyle w:val="89"/>
        <w:numPr>
          <w:ilvl w:val="2"/>
          <w:numId w:val="1"/>
        </w:numPr>
        <w:ind w:left="0" w:firstLine="0"/>
        <w:rPr>
          <w:rFonts w:eastAsia="宋体"/>
          <w:highlight w:val="none"/>
        </w:rPr>
      </w:pPr>
      <w:bookmarkStart w:id="42" w:name="_Toc140764095"/>
      <w:r>
        <w:rPr>
          <w:rFonts w:eastAsia="宋体"/>
          <w:highlight w:val="none"/>
        </w:rPr>
        <w:t>河流水系</w:t>
      </w:r>
      <w:bookmarkEnd w:id="41"/>
      <w:bookmarkEnd w:id="42"/>
    </w:p>
    <w:p>
      <w:pPr>
        <w:ind w:firstLine="480"/>
        <w:rPr>
          <w:szCs w:val="28"/>
          <w:highlight w:val="none"/>
        </w:rPr>
      </w:pPr>
      <w:r>
        <w:rPr>
          <w:rFonts w:hint="eastAsia"/>
          <w:szCs w:val="28"/>
          <w:highlight w:val="none"/>
        </w:rPr>
        <w:t>连平县境内河流分属东江、北江两大水系。东江水系河流有连平河、大席河、忠信河和大湖河，流域面积1965.5平方公里，占全县土地总面积的83.11%。大小支流57条，其中集雨面积10平方公里以上支流42条。北江水系主要河流有陂头河和贵东河，流域面积313.4平方公里，占全县土地面积的13.25%。大小支流11条，其中集雨面积10平方公里以上支流7条。境内地下水资源比较丰富，水质良好，全县地下水平均每日涌水量8873.76吨。</w:t>
      </w:r>
    </w:p>
    <w:p>
      <w:pPr>
        <w:ind w:firstLine="426" w:firstLineChars="177"/>
        <w:rPr>
          <w:b/>
          <w:szCs w:val="28"/>
          <w:highlight w:val="none"/>
        </w:rPr>
      </w:pPr>
      <w:r>
        <w:rPr>
          <w:rFonts w:hint="eastAsia"/>
          <w:b/>
          <w:szCs w:val="28"/>
          <w:highlight w:val="none"/>
        </w:rPr>
        <w:t>（1）东江水系</w:t>
      </w:r>
    </w:p>
    <w:p>
      <w:pPr>
        <w:ind w:firstLine="426" w:firstLineChars="177"/>
        <w:rPr>
          <w:b/>
          <w:szCs w:val="28"/>
          <w:highlight w:val="none"/>
        </w:rPr>
      </w:pPr>
      <w:r>
        <w:rPr>
          <w:rFonts w:hint="eastAsia"/>
          <w:b/>
          <w:szCs w:val="28"/>
          <w:highlight w:val="none"/>
        </w:rPr>
        <w:t>①连平河</w:t>
      </w:r>
    </w:p>
    <w:p>
      <w:pPr>
        <w:ind w:firstLine="424" w:firstLineChars="177"/>
        <w:rPr>
          <w:szCs w:val="28"/>
          <w:highlight w:val="none"/>
        </w:rPr>
      </w:pPr>
      <w:r>
        <w:rPr>
          <w:rFonts w:hint="eastAsia"/>
          <w:szCs w:val="28"/>
          <w:highlight w:val="none"/>
        </w:rPr>
        <w:t>发源于黄牛石东，流经连平县城（元善镇）、溪山、隆街到源塘河口流入新丰江。干流长74km，连平县内河流长度68.91km（其中连平、新丰界河有0.61km）集雨面积593</w:t>
      </w:r>
      <w:r>
        <w:rPr>
          <w:rFonts w:hint="eastAsia"/>
          <w:szCs w:val="28"/>
          <w:highlight w:val="none"/>
          <w:lang w:val="en-US" w:eastAsia="zh-CN"/>
        </w:rPr>
        <w:t>平方千米</w:t>
      </w:r>
      <w:r>
        <w:rPr>
          <w:rFonts w:hint="eastAsia"/>
          <w:szCs w:val="28"/>
          <w:highlight w:val="none"/>
        </w:rPr>
        <w:t>（包括三级支流崧头河），多年平均流量17.93</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，河道平均坡降为0.0145，天然落差1030m。主要支流有崧头河，流域面积168</w:t>
      </w:r>
      <w:r>
        <w:rPr>
          <w:rFonts w:hint="eastAsia"/>
          <w:szCs w:val="28"/>
          <w:highlight w:val="none"/>
          <w:lang w:val="en-US" w:eastAsia="zh-CN"/>
        </w:rPr>
        <w:t>平方千米</w:t>
      </w:r>
      <w:r>
        <w:rPr>
          <w:rFonts w:hint="eastAsia"/>
          <w:szCs w:val="28"/>
          <w:highlight w:val="none"/>
        </w:rPr>
        <w:t xml:space="preserve">，发源于冬桃嶂西南，河流长度29.77km，多年平均流量5.38 </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，平均坡降0.0109，自然落差为410m。</w:t>
      </w:r>
    </w:p>
    <w:p>
      <w:pPr>
        <w:ind w:firstLine="424" w:firstLineChars="177"/>
        <w:rPr>
          <w:szCs w:val="28"/>
          <w:highlight w:val="none"/>
        </w:rPr>
      </w:pPr>
      <w:r>
        <w:rPr>
          <w:rFonts w:hint="eastAsia"/>
          <w:szCs w:val="28"/>
          <w:highlight w:val="none"/>
        </w:rPr>
        <w:t>连平河流域内有元善、溪山、隆街三个镇，现有耕地74813亩（其中水田41798亩），占全县现有耕地30.1%，宜农可垦耕地16800亩，占可垦面积25.7%，沿河两岸农田土质肥沃，由于上游山高坡陡，集雨面积大，而中、下游河床逐年淤积严重，虽上游建有几座小型水库，但境内缺乏骨干水库，因此，旱、洪灾害比较严重，加上上游尖山铅锌矿的开采及县城、厂矿三废排向河流，水质污染比较突出，有待认真研究解决。</w:t>
      </w:r>
    </w:p>
    <w:p>
      <w:pPr>
        <w:ind w:firstLine="424" w:firstLineChars="177"/>
        <w:rPr>
          <w:szCs w:val="28"/>
          <w:highlight w:val="none"/>
        </w:rPr>
      </w:pPr>
      <w:r>
        <w:rPr>
          <w:rFonts w:hint="eastAsia"/>
          <w:szCs w:val="28"/>
          <w:highlight w:val="none"/>
        </w:rPr>
        <w:t>流域内共建成小（一）型水库5宗，小（二）型水库32宗，塘坝44宗，控制集雨面积42.3</w:t>
      </w:r>
      <w:r>
        <w:rPr>
          <w:rFonts w:hint="eastAsia"/>
          <w:szCs w:val="28"/>
          <w:highlight w:val="none"/>
          <w:lang w:val="en-US" w:eastAsia="zh-CN"/>
        </w:rPr>
        <w:t>平方千米</w:t>
      </w:r>
      <w:r>
        <w:rPr>
          <w:rFonts w:hint="eastAsia"/>
          <w:szCs w:val="28"/>
          <w:highlight w:val="none"/>
        </w:rPr>
        <w:t>，灌溉库容543.8万</w:t>
      </w:r>
      <w:r>
        <w:rPr>
          <w:rFonts w:hint="eastAsia"/>
          <w:szCs w:val="28"/>
          <w:highlight w:val="none"/>
          <w:lang w:val="en-US" w:eastAsia="zh-CN"/>
        </w:rPr>
        <w:t>立方米</w:t>
      </w:r>
      <w:r>
        <w:rPr>
          <w:rFonts w:hint="eastAsia"/>
          <w:szCs w:val="28"/>
          <w:highlight w:val="none"/>
        </w:rPr>
        <w:t>，引水工程112宗，引水流量5.32</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，提水工程17宗，现有水利设施保证灌溉面积39600亩，占耕地63.7%，其中旱涝保收37500亩。本流域水力资源丰富，理论蕴藏量33473kW，可开发电力 32585kW，现已建成小水电71宗，装机30825kW，占可开发电力94.5%，占土地资源潜力亦大，是连平县农业综合开发重点流域之一。</w:t>
      </w:r>
    </w:p>
    <w:p>
      <w:pPr>
        <w:ind w:firstLine="482"/>
        <w:rPr>
          <w:b/>
          <w:szCs w:val="28"/>
          <w:highlight w:val="none"/>
        </w:rPr>
      </w:pPr>
      <w:r>
        <w:rPr>
          <w:rFonts w:hint="eastAsia"/>
          <w:b/>
          <w:szCs w:val="28"/>
          <w:highlight w:val="none"/>
        </w:rPr>
        <w:t>②大席河</w:t>
      </w:r>
    </w:p>
    <w:p>
      <w:pPr>
        <w:ind w:firstLine="480"/>
        <w:rPr>
          <w:szCs w:val="28"/>
          <w:highlight w:val="none"/>
        </w:rPr>
      </w:pPr>
      <w:r>
        <w:rPr>
          <w:rFonts w:hint="eastAsia"/>
          <w:szCs w:val="28"/>
          <w:highlight w:val="none"/>
        </w:rPr>
        <w:t>发源于上坪的三株松，流经上坪、内莞、大埠、河头到新丰县大席河口流入新丰江。干流长79km，连平县河流长度64.41km（其中连平、新丰界河有0.34km）集雨面积631</w:t>
      </w:r>
      <w:r>
        <w:rPr>
          <w:rFonts w:hint="eastAsia"/>
          <w:szCs w:val="28"/>
          <w:highlight w:val="none"/>
          <w:lang w:val="en-US" w:eastAsia="zh-CN"/>
        </w:rPr>
        <w:t>平方千米</w:t>
      </w:r>
      <w:r>
        <w:rPr>
          <w:rFonts w:hint="eastAsia"/>
          <w:szCs w:val="28"/>
          <w:highlight w:val="none"/>
        </w:rPr>
        <w:t>（连平境内521.7</w:t>
      </w:r>
      <w:r>
        <w:rPr>
          <w:rFonts w:hint="eastAsia"/>
          <w:szCs w:val="28"/>
          <w:highlight w:val="none"/>
          <w:lang w:val="en-US" w:eastAsia="zh-CN"/>
        </w:rPr>
        <w:t>平方千米</w:t>
      </w:r>
      <w:r>
        <w:rPr>
          <w:rFonts w:hint="eastAsia"/>
          <w:szCs w:val="28"/>
          <w:highlight w:val="none"/>
        </w:rPr>
        <w:t xml:space="preserve">，河长59km），多年平均流量18.38 </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，天然落差1070m，平均坡降0.00398，主要支流有三洞河，流域面积88.6</w:t>
      </w:r>
      <w:r>
        <w:rPr>
          <w:rFonts w:hint="eastAsia"/>
          <w:szCs w:val="28"/>
          <w:highlight w:val="none"/>
          <w:lang w:val="en-US" w:eastAsia="zh-CN"/>
        </w:rPr>
        <w:t>平方千米</w:t>
      </w:r>
      <w:r>
        <w:rPr>
          <w:rFonts w:hint="eastAsia"/>
          <w:szCs w:val="28"/>
          <w:highlight w:val="none"/>
        </w:rPr>
        <w:t>，发源于上坪的横坑顶，河长20.4km，平均坡降0.0102，天然落差495m，多年平均流量2.68</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，其次是小水河，发源于三元顶，流域面积54.4</w:t>
      </w:r>
      <w:r>
        <w:rPr>
          <w:rFonts w:hint="eastAsia"/>
          <w:szCs w:val="28"/>
          <w:highlight w:val="none"/>
          <w:lang w:val="en-US" w:eastAsia="zh-CN"/>
        </w:rPr>
        <w:t>平方千米</w:t>
      </w:r>
      <w:r>
        <w:rPr>
          <w:rFonts w:hint="eastAsia"/>
          <w:szCs w:val="28"/>
          <w:highlight w:val="none"/>
        </w:rPr>
        <w:t>，河长14.4km，平均坡降 0.0094，天然落差235m，多年平均流量1.55</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w:t>
      </w:r>
    </w:p>
    <w:p>
      <w:pPr>
        <w:ind w:firstLine="480"/>
        <w:rPr>
          <w:szCs w:val="28"/>
          <w:highlight w:val="none"/>
        </w:rPr>
      </w:pPr>
      <w:r>
        <w:rPr>
          <w:rFonts w:hint="eastAsia"/>
          <w:szCs w:val="28"/>
          <w:highlight w:val="none"/>
        </w:rPr>
        <w:t>大席河流域内有上坪、内莞二个镇和元善镇的大埠、留潭二个村，以及田源镇的新河村，现有耕地 49206 亩（其中水田 25499 亩，）占全县耕地 19.8%，宜农可垦耕地12900亩，占可垦面积19.8%。由于上游上坪段几年前105国道改造时，造成水土流失比较严重。</w:t>
      </w:r>
    </w:p>
    <w:p>
      <w:pPr>
        <w:ind w:firstLine="480"/>
        <w:rPr>
          <w:szCs w:val="28"/>
          <w:highlight w:val="none"/>
        </w:rPr>
      </w:pPr>
      <w:r>
        <w:rPr>
          <w:rFonts w:hint="eastAsia"/>
          <w:szCs w:val="28"/>
          <w:highlight w:val="none"/>
        </w:rPr>
        <w:t>流域内共建成小（一）型水库3宗，小（二）型水库21宗，塘坝5宗，控制集雨面积769</w:t>
      </w:r>
      <w:r>
        <w:rPr>
          <w:rFonts w:hint="eastAsia"/>
          <w:szCs w:val="28"/>
          <w:highlight w:val="none"/>
          <w:lang w:val="en-US" w:eastAsia="zh-CN"/>
        </w:rPr>
        <w:t>平方千米</w:t>
      </w:r>
      <w:r>
        <w:rPr>
          <w:rFonts w:hint="eastAsia"/>
          <w:szCs w:val="28"/>
          <w:highlight w:val="none"/>
        </w:rPr>
        <w:t>，灌溉库容324.3万</w:t>
      </w:r>
      <w:r>
        <w:rPr>
          <w:rFonts w:hint="eastAsia"/>
          <w:szCs w:val="28"/>
          <w:highlight w:val="none"/>
          <w:lang w:val="en-US" w:eastAsia="zh-CN"/>
        </w:rPr>
        <w:t>立方米</w:t>
      </w:r>
      <w:r>
        <w:rPr>
          <w:rFonts w:hint="eastAsia"/>
          <w:szCs w:val="28"/>
          <w:highlight w:val="none"/>
        </w:rPr>
        <w:t>，引水工程98宗，引水流量6.23</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；提水工程1宗，现有水利设施保灌面积20378亩，占耕地77.7%，其中旱、涝保收 18930 亩。本流域天然落差大，骨干工程布局、梯级电站条件好，水力资源丰富，水能蕴藏量36300kW，可开发电力35865kW。现已建成小水电40宗，装机 31850kW，占可开发量的88.8%。</w:t>
      </w:r>
    </w:p>
    <w:p>
      <w:pPr>
        <w:ind w:firstLine="482"/>
        <w:rPr>
          <w:b/>
          <w:szCs w:val="28"/>
          <w:highlight w:val="none"/>
        </w:rPr>
      </w:pPr>
      <w:r>
        <w:rPr>
          <w:rFonts w:hint="eastAsia"/>
          <w:b/>
          <w:szCs w:val="28"/>
          <w:highlight w:val="none"/>
        </w:rPr>
        <w:t>③忠信河</w:t>
      </w:r>
    </w:p>
    <w:p>
      <w:pPr>
        <w:ind w:firstLine="480"/>
        <w:rPr>
          <w:szCs w:val="28"/>
          <w:highlight w:val="none"/>
        </w:rPr>
      </w:pPr>
      <w:r>
        <w:rPr>
          <w:rFonts w:hint="eastAsia"/>
          <w:szCs w:val="28"/>
          <w:highlight w:val="none"/>
        </w:rPr>
        <w:t>忠信发源于和平县青洲乡蚬仔塘，向西南流经锯板坑东侧，折向南流入县境。流经九连乡、油溪镇、忠信镇，于忠信石塘水出境流入东源县。沿途收腊杵下水、小水水、八礤水、龙龟洞水、九潭水、长潭水、三条坑水、金花洞水、绿湖水、兴中水、莞洞水、山下水、桥蓝江水、金坑水、中洞水等左右诸水。境内河长65km，流域面积593.4</w:t>
      </w:r>
      <w:r>
        <w:rPr>
          <w:rFonts w:hint="eastAsia"/>
          <w:szCs w:val="28"/>
          <w:highlight w:val="none"/>
          <w:lang w:val="en-US" w:eastAsia="zh-CN"/>
        </w:rPr>
        <w:t>平方千米</w:t>
      </w:r>
      <w:r>
        <w:rPr>
          <w:rFonts w:hint="eastAsia"/>
          <w:szCs w:val="28"/>
          <w:highlight w:val="none"/>
        </w:rPr>
        <w:t>，河道平均比降0.0409，天然落差819m，多年平均流量 14.24</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w:t>
      </w:r>
    </w:p>
    <w:p>
      <w:pPr>
        <w:ind w:firstLine="482"/>
        <w:rPr>
          <w:b/>
          <w:szCs w:val="28"/>
          <w:highlight w:val="none"/>
        </w:rPr>
      </w:pPr>
      <w:r>
        <w:rPr>
          <w:rFonts w:hint="eastAsia"/>
          <w:b/>
          <w:szCs w:val="28"/>
          <w:highlight w:val="none"/>
        </w:rPr>
        <w:t>④大湖河</w:t>
      </w:r>
    </w:p>
    <w:p>
      <w:pPr>
        <w:ind w:firstLine="480"/>
        <w:rPr>
          <w:szCs w:val="28"/>
          <w:highlight w:val="none"/>
        </w:rPr>
      </w:pPr>
      <w:r>
        <w:rPr>
          <w:rFonts w:hint="eastAsia"/>
          <w:szCs w:val="28"/>
          <w:highlight w:val="none"/>
        </w:rPr>
        <w:t>大湖河发源于和平县的和尚栋，流经三丫水、罗陂、油村、石马到东源县的水口与奇岭河汇合流入船塘河。干流长43km，连平县河流长度28.54km（其中连平、东源界河有0.17km，连平、和平界河有0.39km），集雨面积176</w:t>
      </w:r>
      <w:r>
        <w:rPr>
          <w:rFonts w:hint="eastAsia"/>
          <w:szCs w:val="28"/>
          <w:highlight w:val="none"/>
          <w:lang w:val="en-US" w:eastAsia="zh-CN"/>
        </w:rPr>
        <w:t>平方千米</w:t>
      </w:r>
      <w:r>
        <w:rPr>
          <w:rFonts w:hint="eastAsia"/>
          <w:szCs w:val="28"/>
          <w:highlight w:val="none"/>
        </w:rPr>
        <w:t>，多年平均流量</w:t>
      </w:r>
      <w:r>
        <w:rPr>
          <w:szCs w:val="28"/>
          <w:highlight w:val="none"/>
        </w:rPr>
        <w:t>5.30</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 xml:space="preserve">，平均坡降0.00756，天然落差700m。主要支流有小溪尾水，集雨面积31.5 </w:t>
      </w:r>
      <w:r>
        <w:rPr>
          <w:rFonts w:hint="eastAsia"/>
          <w:szCs w:val="28"/>
          <w:highlight w:val="none"/>
          <w:lang w:val="en-US" w:eastAsia="zh-CN"/>
        </w:rPr>
        <w:t>平方千米</w:t>
      </w:r>
      <w:r>
        <w:rPr>
          <w:rFonts w:hint="eastAsia"/>
          <w:szCs w:val="28"/>
          <w:highlight w:val="none"/>
        </w:rPr>
        <w:t>，发源于和平县的打水坳，河长18.8km，多年平均流量0.65</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，平均坡降0.0104，天然落差230m。</w:t>
      </w:r>
    </w:p>
    <w:p>
      <w:pPr>
        <w:ind w:firstLine="480"/>
        <w:rPr>
          <w:szCs w:val="28"/>
          <w:highlight w:val="none"/>
        </w:rPr>
      </w:pPr>
      <w:r>
        <w:rPr>
          <w:rFonts w:hint="eastAsia"/>
          <w:szCs w:val="28"/>
          <w:highlight w:val="none"/>
        </w:rPr>
        <w:t>大湖河流域内有大湖、绣缎、三角等三个镇，现有耕地33401亩，占全县耕地 13.4%（其中水田25221亩），宜农可垦耕地18000亩，占可垦面积27.6%，大湖地区是连平县革命老区，历史性水、旱灾害严重，</w:t>
      </w:r>
      <w:r>
        <w:rPr>
          <w:rFonts w:hint="eastAsia"/>
          <w:szCs w:val="28"/>
          <w:highlight w:val="none"/>
          <w:lang w:val="en-US" w:eastAsia="zh-CN"/>
        </w:rPr>
        <w:t>1949年后</w:t>
      </w:r>
      <w:r>
        <w:rPr>
          <w:rFonts w:hint="eastAsia"/>
          <w:szCs w:val="28"/>
          <w:highlight w:val="none"/>
        </w:rPr>
        <w:t>建设了一批水利工程，现有中型水库1宗（翁潭水库），小（一）型水库2宗，小（二）型水库20宗，塘库96宗，控制集雨面积137.3</w:t>
      </w:r>
      <w:r>
        <w:rPr>
          <w:rFonts w:hint="eastAsia"/>
          <w:szCs w:val="28"/>
          <w:highlight w:val="none"/>
          <w:lang w:val="en-US" w:eastAsia="zh-CN"/>
        </w:rPr>
        <w:t>平方千米</w:t>
      </w:r>
      <w:r>
        <w:rPr>
          <w:rFonts w:hint="eastAsia"/>
          <w:szCs w:val="28"/>
          <w:highlight w:val="none"/>
        </w:rPr>
        <w:t>，灌溉库容3539.3万</w:t>
      </w:r>
      <w:r>
        <w:rPr>
          <w:rFonts w:hint="eastAsia"/>
          <w:szCs w:val="28"/>
          <w:highlight w:val="none"/>
          <w:lang w:val="en-US" w:eastAsia="zh-CN"/>
        </w:rPr>
        <w:t>立方米</w:t>
      </w:r>
      <w:r>
        <w:rPr>
          <w:rFonts w:hint="eastAsia"/>
          <w:szCs w:val="28"/>
          <w:highlight w:val="none"/>
        </w:rPr>
        <w:t>，引水工程65宗，引水流量3.3</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提水工程7宗，现有水利保灌23500亩，占耕地68.3%，其中旱涝保收22700亩。流域内水能蕴藏量17682kW，可开发电力17145kW，现已建成小水电20宗，装机14515kW，水、土资源丰富，水利条件较好，是具备充分开发利用的流域之一，占可开发的84.6%。</w:t>
      </w:r>
    </w:p>
    <w:p>
      <w:pPr>
        <w:ind w:firstLine="426" w:firstLineChars="177"/>
        <w:rPr>
          <w:b/>
          <w:szCs w:val="28"/>
          <w:highlight w:val="none"/>
        </w:rPr>
      </w:pPr>
      <w:r>
        <w:rPr>
          <w:rFonts w:hint="eastAsia"/>
          <w:b/>
          <w:szCs w:val="28"/>
          <w:highlight w:val="none"/>
        </w:rPr>
        <w:t>（2）北江水系</w:t>
      </w:r>
    </w:p>
    <w:p>
      <w:pPr>
        <w:ind w:firstLine="426" w:firstLineChars="177"/>
        <w:rPr>
          <w:b/>
          <w:szCs w:val="28"/>
          <w:highlight w:val="none"/>
        </w:rPr>
      </w:pPr>
      <w:r>
        <w:rPr>
          <w:rFonts w:hint="eastAsia"/>
          <w:b/>
          <w:szCs w:val="28"/>
          <w:highlight w:val="none"/>
        </w:rPr>
        <w:t>①陂头河</w:t>
      </w:r>
    </w:p>
    <w:p>
      <w:pPr>
        <w:ind w:firstLine="424" w:firstLineChars="177"/>
        <w:rPr>
          <w:szCs w:val="28"/>
          <w:highlight w:val="none"/>
        </w:rPr>
      </w:pPr>
      <w:r>
        <w:rPr>
          <w:rFonts w:hint="eastAsia"/>
          <w:szCs w:val="28"/>
          <w:highlight w:val="none"/>
        </w:rPr>
        <w:t>陂头河发源于连平县葫芦洞，流经牛岭水、陂头街，到翁源县南埔镇形成大坪水，汇入翁江，干流河长35km，连平县河流长度24.14km（其中连平、翁源界河有0.90km），集雨面积184.55</w:t>
      </w:r>
      <w:r>
        <w:rPr>
          <w:rFonts w:hint="eastAsia"/>
          <w:szCs w:val="28"/>
          <w:highlight w:val="none"/>
          <w:lang w:val="en-US" w:eastAsia="zh-CN"/>
        </w:rPr>
        <w:t>平方千米</w:t>
      </w:r>
      <w:r>
        <w:rPr>
          <w:rFonts w:hint="eastAsia"/>
          <w:szCs w:val="28"/>
          <w:highlight w:val="none"/>
        </w:rPr>
        <w:t>，多年平均流量5.38</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；平均坡降0.00782，天然落差828m。主要支流为和甲岭水，发源于分水坳，集雨面积75.1</w:t>
      </w:r>
      <w:r>
        <w:rPr>
          <w:rFonts w:hint="eastAsia"/>
          <w:szCs w:val="28"/>
          <w:highlight w:val="none"/>
          <w:lang w:val="en-US" w:eastAsia="zh-CN"/>
        </w:rPr>
        <w:t>平方千米</w:t>
      </w:r>
      <w:r>
        <w:rPr>
          <w:rFonts w:hint="eastAsia"/>
          <w:szCs w:val="28"/>
          <w:highlight w:val="none"/>
        </w:rPr>
        <w:t>，河长14.6km，平均坡降0.02。</w:t>
      </w:r>
    </w:p>
    <w:p>
      <w:pPr>
        <w:ind w:firstLine="424" w:firstLineChars="177"/>
        <w:rPr>
          <w:szCs w:val="28"/>
          <w:highlight w:val="none"/>
        </w:rPr>
      </w:pPr>
      <w:r>
        <w:rPr>
          <w:rFonts w:hint="eastAsia"/>
          <w:szCs w:val="28"/>
          <w:highlight w:val="none"/>
        </w:rPr>
        <w:t>陂头河流域有陂头镇和牛岭水林场，现有耕地21811亩，占全县耕地8.8%，宜农可垦耕地2500亩，占可垦面积3.8%，该流域水利设施较差，小（二）型水库3宗，现有塘库5宗，控制集雨面积5.9</w:t>
      </w:r>
      <w:r>
        <w:rPr>
          <w:rFonts w:hint="eastAsia"/>
          <w:szCs w:val="28"/>
          <w:highlight w:val="none"/>
          <w:lang w:val="en-US" w:eastAsia="zh-CN"/>
        </w:rPr>
        <w:t>平方千米</w:t>
      </w:r>
      <w:r>
        <w:rPr>
          <w:rFonts w:hint="eastAsia"/>
          <w:szCs w:val="28"/>
          <w:highlight w:val="none"/>
        </w:rPr>
        <w:t>，现有水利保灌13700亩，其中旱涝保收3400亩。流域内大部分为石灰岩地区，水资源和地下径流丰富，水能蕴藏量14560kW，可开发电力9965kW，现已建成小水电16宗，装机6915kW。</w:t>
      </w:r>
    </w:p>
    <w:p>
      <w:pPr>
        <w:ind w:firstLine="426" w:firstLineChars="177"/>
        <w:rPr>
          <w:b/>
          <w:szCs w:val="28"/>
          <w:highlight w:val="none"/>
        </w:rPr>
      </w:pPr>
      <w:r>
        <w:rPr>
          <w:rFonts w:hint="eastAsia"/>
          <w:b/>
          <w:szCs w:val="28"/>
          <w:highlight w:val="none"/>
        </w:rPr>
        <w:t>②贵东河</w:t>
      </w:r>
    </w:p>
    <w:p>
      <w:pPr>
        <w:ind w:firstLine="480"/>
        <w:rPr>
          <w:szCs w:val="28"/>
          <w:highlight w:val="none"/>
        </w:rPr>
      </w:pPr>
      <w:r>
        <w:rPr>
          <w:rFonts w:hint="eastAsia"/>
          <w:szCs w:val="28"/>
          <w:highlight w:val="none"/>
        </w:rPr>
        <w:t>贵东河发源于大吉山南，流径塘田、贵东街、贵塘至翁源县李子园流入翁江，干流长52km，连平县河流长度17.04km，集雨面积128.85</w:t>
      </w:r>
      <w:r>
        <w:rPr>
          <w:rFonts w:hint="eastAsia"/>
          <w:szCs w:val="28"/>
          <w:highlight w:val="none"/>
          <w:lang w:val="en-US" w:eastAsia="zh-CN"/>
        </w:rPr>
        <w:t>平方千米</w:t>
      </w:r>
      <w:r>
        <w:rPr>
          <w:rFonts w:hint="eastAsia"/>
          <w:szCs w:val="28"/>
          <w:highlight w:val="none"/>
        </w:rPr>
        <w:t>，多年平均流量3.80</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，平均坡降0.00894，天然落差350m。主要支流为大华水，集雨面积47.7</w:t>
      </w:r>
      <w:r>
        <w:rPr>
          <w:rFonts w:hint="eastAsia"/>
          <w:szCs w:val="28"/>
          <w:highlight w:val="none"/>
          <w:lang w:val="en-US" w:eastAsia="zh-CN"/>
        </w:rPr>
        <w:t>平方千米</w:t>
      </w:r>
      <w:r>
        <w:rPr>
          <w:rFonts w:hint="eastAsia"/>
          <w:szCs w:val="28"/>
          <w:highlight w:val="none"/>
        </w:rPr>
        <w:t>，多年平均流量1.39</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，河长11km，平均坡降0.0131。</w:t>
      </w:r>
    </w:p>
    <w:p>
      <w:pPr>
        <w:ind w:firstLine="480"/>
        <w:rPr>
          <w:szCs w:val="28"/>
          <w:highlight w:val="none"/>
        </w:rPr>
      </w:pPr>
      <w:r>
        <w:rPr>
          <w:rFonts w:hint="eastAsia"/>
          <w:szCs w:val="28"/>
          <w:highlight w:val="none"/>
        </w:rPr>
        <w:t>贵东水流域有陂头镇贵东片区，现有耕地7106亩，占全县耕地2.86%（其中水田5828亩），宜农可垦耕地1000亩，小（二）型水库2宗，现已建成小型塘库1宗，灌溉库容4.0万</w:t>
      </w:r>
      <w:r>
        <w:rPr>
          <w:rFonts w:hint="eastAsia"/>
          <w:szCs w:val="28"/>
          <w:highlight w:val="none"/>
          <w:lang w:val="en-US" w:eastAsia="zh-CN"/>
        </w:rPr>
        <w:t>立方米</w:t>
      </w:r>
      <w:r>
        <w:rPr>
          <w:rFonts w:hint="eastAsia"/>
          <w:szCs w:val="28"/>
          <w:highlight w:val="none"/>
        </w:rPr>
        <w:t>，引水工程31宗，引水流量0.82</w:t>
      </w:r>
      <w:r>
        <w:rPr>
          <w:rFonts w:hint="eastAsia"/>
          <w:szCs w:val="28"/>
          <w:highlight w:val="none"/>
          <w:lang w:val="en-US" w:eastAsia="zh-CN"/>
        </w:rPr>
        <w:t>立方米</w:t>
      </w:r>
      <w:r>
        <w:rPr>
          <w:rFonts w:hint="eastAsia"/>
          <w:szCs w:val="28"/>
          <w:highlight w:val="none"/>
        </w:rPr>
        <w:t>/</w:t>
      </w:r>
      <w:r>
        <w:rPr>
          <w:rFonts w:hint="eastAsia"/>
          <w:szCs w:val="28"/>
          <w:highlight w:val="none"/>
          <w:lang w:val="en-US" w:eastAsia="zh-CN"/>
        </w:rPr>
        <w:t>秒</w:t>
      </w:r>
      <w:r>
        <w:rPr>
          <w:rFonts w:hint="eastAsia"/>
          <w:szCs w:val="28"/>
          <w:highlight w:val="none"/>
        </w:rPr>
        <w:t>。现有水利保灌4700亩，占耕地67.8%。流域内水能蕴藏量4650kW，可开发电力3300kW，现有小水电10宗，装机2875kW。</w:t>
      </w:r>
    </w:p>
    <w:p>
      <w:pPr>
        <w:ind w:firstLine="480"/>
        <w:rPr>
          <w:szCs w:val="28"/>
          <w:highlight w:val="none"/>
        </w:rPr>
        <w:sectPr>
          <w:pgSz w:w="11907" w:h="16840"/>
          <w:pgMar w:top="1440" w:right="1803" w:bottom="1440" w:left="1803" w:header="851" w:footer="992" w:gutter="0"/>
          <w:cols w:space="0" w:num="1"/>
          <w:docGrid w:type="lines" w:linePitch="326" w:charSpace="0"/>
        </w:sectPr>
      </w:pPr>
    </w:p>
    <w:p>
      <w:pPr>
        <w:pStyle w:val="87"/>
        <w:ind w:left="0" w:firstLine="0"/>
        <w:rPr>
          <w:rFonts w:eastAsia="宋体"/>
          <w:color w:val="auto"/>
          <w:sz w:val="28"/>
          <w:szCs w:val="21"/>
          <w:highlight w:val="none"/>
        </w:rPr>
      </w:pPr>
      <w:bookmarkStart w:id="43" w:name="_Toc112094246"/>
      <w:bookmarkStart w:id="44" w:name="_Toc140764096"/>
      <w:r>
        <w:rPr>
          <w:rFonts w:eastAsia="宋体"/>
          <w:color w:val="auto"/>
          <w:sz w:val="28"/>
          <w:szCs w:val="21"/>
          <w:highlight w:val="none"/>
        </w:rPr>
        <w:t>社会经济</w:t>
      </w:r>
      <w:bookmarkEnd w:id="43"/>
      <w:bookmarkEnd w:id="44"/>
    </w:p>
    <w:p>
      <w:pPr>
        <w:pStyle w:val="89"/>
        <w:numPr>
          <w:ilvl w:val="2"/>
          <w:numId w:val="1"/>
        </w:numPr>
        <w:ind w:left="0" w:firstLine="0"/>
        <w:rPr>
          <w:rFonts w:eastAsia="宋体"/>
          <w:highlight w:val="none"/>
        </w:rPr>
      </w:pPr>
      <w:bookmarkStart w:id="45" w:name="_Toc140764097"/>
      <w:bookmarkStart w:id="46" w:name="_Toc112094247"/>
      <w:r>
        <w:rPr>
          <w:rFonts w:eastAsia="宋体"/>
          <w:highlight w:val="none"/>
        </w:rPr>
        <w:t>行政区划</w:t>
      </w:r>
      <w:bookmarkEnd w:id="45"/>
      <w:bookmarkEnd w:id="46"/>
    </w:p>
    <w:p>
      <w:pPr>
        <w:ind w:firstLine="480"/>
        <w:rPr>
          <w:szCs w:val="28"/>
          <w:highlight w:val="none"/>
        </w:rPr>
      </w:pPr>
      <w:r>
        <w:rPr>
          <w:rFonts w:hint="eastAsia"/>
          <w:szCs w:val="28"/>
          <w:highlight w:val="none"/>
        </w:rPr>
        <w:t>连平县辖13个镇（上坪、内莞、元善、陂头、溪山、隆街、田源、油溪、忠信、高莞、大湖、三角、绣缎），16个社区，159个行政村，县政府驻元善镇，全县总面积2275.0</w:t>
      </w:r>
      <w:r>
        <w:rPr>
          <w:rFonts w:hint="eastAsia"/>
          <w:szCs w:val="28"/>
          <w:highlight w:val="none"/>
          <w:lang w:val="en-US" w:eastAsia="zh-CN"/>
        </w:rPr>
        <w:t>8</w:t>
      </w:r>
      <w:r>
        <w:rPr>
          <w:rFonts w:hint="eastAsia"/>
          <w:szCs w:val="28"/>
          <w:highlight w:val="none"/>
        </w:rPr>
        <w:t>平方公里。</w:t>
      </w:r>
    </w:p>
    <w:p>
      <w:pPr>
        <w:ind w:firstLine="0" w:firstLineChars="0"/>
        <w:jc w:val="center"/>
        <w:rPr>
          <w:b/>
          <w:szCs w:val="28"/>
          <w:highlight w:val="none"/>
        </w:rPr>
      </w:pPr>
      <w:r>
        <w:rPr>
          <w:rFonts w:hint="eastAsia"/>
          <w:b/>
          <w:szCs w:val="28"/>
          <w:highlight w:val="none"/>
        </w:rPr>
        <w:t>表2.3-1 连平县行政区划</w:t>
      </w:r>
    </w:p>
    <w:tbl>
      <w:tblPr>
        <w:tblStyle w:val="33"/>
        <w:tblW w:w="5422"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38"/>
        <w:gridCol w:w="985"/>
        <w:gridCol w:w="850"/>
        <w:gridCol w:w="1417"/>
        <w:gridCol w:w="52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b/>
                <w:color w:val="333333"/>
                <w:kern w:val="0"/>
                <w:sz w:val="21"/>
                <w:szCs w:val="21"/>
                <w:highlight w:val="none"/>
              </w:rPr>
            </w:pPr>
            <w:r>
              <w:rPr>
                <w:b/>
                <w:sz w:val="21"/>
                <w:szCs w:val="21"/>
                <w:highlight w:val="none"/>
              </w:rPr>
              <w:t>镇别</w:t>
            </w:r>
          </w:p>
        </w:tc>
        <w:tc>
          <w:tcPr>
            <w:tcW w:w="533" w:type="pct"/>
            <w:shd w:val="clear" w:color="000000" w:fill="FFFFFF"/>
            <w:vAlign w:val="center"/>
          </w:tcPr>
          <w:p>
            <w:pPr>
              <w:widowControl/>
              <w:spacing w:line="240" w:lineRule="auto"/>
              <w:ind w:firstLine="0" w:firstLineChars="0"/>
              <w:jc w:val="center"/>
              <w:rPr>
                <w:b/>
                <w:color w:val="333333"/>
                <w:kern w:val="0"/>
                <w:sz w:val="21"/>
                <w:szCs w:val="21"/>
                <w:highlight w:val="none"/>
              </w:rPr>
            </w:pPr>
            <w:r>
              <w:rPr>
                <w:b/>
                <w:sz w:val="21"/>
                <w:szCs w:val="21"/>
                <w:highlight w:val="none"/>
              </w:rPr>
              <w:t>社区个数</w:t>
            </w:r>
          </w:p>
        </w:tc>
        <w:tc>
          <w:tcPr>
            <w:tcW w:w="460" w:type="pct"/>
            <w:shd w:val="clear" w:color="000000" w:fill="FFFFFF"/>
            <w:vAlign w:val="center"/>
          </w:tcPr>
          <w:p>
            <w:pPr>
              <w:widowControl/>
              <w:spacing w:line="240" w:lineRule="auto"/>
              <w:ind w:firstLine="0" w:firstLineChars="0"/>
              <w:jc w:val="center"/>
              <w:rPr>
                <w:b/>
                <w:color w:val="333333"/>
                <w:kern w:val="0"/>
                <w:sz w:val="21"/>
                <w:szCs w:val="21"/>
                <w:highlight w:val="none"/>
              </w:rPr>
            </w:pPr>
            <w:r>
              <w:rPr>
                <w:b/>
                <w:sz w:val="21"/>
                <w:szCs w:val="21"/>
                <w:highlight w:val="none"/>
              </w:rPr>
              <w:t>行政村个数</w:t>
            </w:r>
          </w:p>
        </w:tc>
        <w:tc>
          <w:tcPr>
            <w:tcW w:w="767" w:type="pct"/>
            <w:shd w:val="clear" w:color="000000" w:fill="FFFFFF"/>
            <w:vAlign w:val="center"/>
          </w:tcPr>
          <w:p>
            <w:pPr>
              <w:widowControl/>
              <w:spacing w:line="240" w:lineRule="auto"/>
              <w:ind w:firstLine="0" w:firstLineChars="0"/>
              <w:jc w:val="center"/>
              <w:rPr>
                <w:b/>
                <w:color w:val="333333"/>
                <w:kern w:val="0"/>
                <w:sz w:val="21"/>
                <w:szCs w:val="21"/>
                <w:highlight w:val="none"/>
              </w:rPr>
            </w:pPr>
            <w:r>
              <w:rPr>
                <w:b/>
                <w:sz w:val="21"/>
                <w:szCs w:val="21"/>
                <w:highlight w:val="none"/>
              </w:rPr>
              <w:t>社区名称</w:t>
            </w:r>
          </w:p>
        </w:tc>
        <w:tc>
          <w:tcPr>
            <w:tcW w:w="2840" w:type="pct"/>
            <w:shd w:val="clear" w:color="000000" w:fill="FFFFFF"/>
            <w:vAlign w:val="center"/>
          </w:tcPr>
          <w:p>
            <w:pPr>
              <w:widowControl/>
              <w:spacing w:line="240" w:lineRule="auto"/>
              <w:ind w:firstLine="0" w:firstLineChars="0"/>
              <w:jc w:val="center"/>
              <w:rPr>
                <w:b/>
                <w:color w:val="333333"/>
                <w:kern w:val="0"/>
                <w:sz w:val="21"/>
                <w:szCs w:val="21"/>
                <w:highlight w:val="none"/>
              </w:rPr>
            </w:pPr>
            <w:r>
              <w:rPr>
                <w:b/>
                <w:sz w:val="21"/>
                <w:szCs w:val="21"/>
                <w:highlight w:val="none"/>
              </w:rPr>
              <w:t>行政村名称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元善</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5</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15</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城东、城南、城西、城北、南湖</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醒狮、前锋、警雄、新龙、鹤湖、密溪、增坝、河坝、东联、江面、</w:t>
            </w:r>
            <w:r>
              <w:rPr>
                <w:rFonts w:hint="eastAsia"/>
                <w:color w:val="333333"/>
                <w:kern w:val="0"/>
                <w:sz w:val="21"/>
                <w:szCs w:val="21"/>
                <w:highlight w:val="none"/>
              </w:rPr>
              <w:t>留</w:t>
            </w:r>
            <w:r>
              <w:rPr>
                <w:color w:val="333333"/>
                <w:kern w:val="0"/>
                <w:sz w:val="21"/>
                <w:szCs w:val="21"/>
                <w:highlight w:val="none"/>
              </w:rPr>
              <w:t>潭、东河、邓村、石龙、大埠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上坪</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15</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街道</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中村、古坑、小水、旗石、新镇、东南、东阳、惠西、西坪、下楼、布联、新陂、石陂、下洞、三洞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内莞</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11</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横水、莞中、大陂、塘兴、蓝州、显村、小洞、大水、高湖、蕉坪、桃坪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陂头</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16</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街道</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资溪、陂头、夏田、金中、连光、连星、官岭、李坑、腊溪、三水、分水、贵塘、蒲田、塘田、大华、花山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溪山</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9</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茶山、岐山、丰盘、软坑、百高、马洞、溪西、东水、东罗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隆街</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20</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街道</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百叟、沐河、龙埔、岑告、隆东、隆兴、隆河、镇南、立新、古石、贵岭、东坑、东埔、三坑、梅洞、沙心、双头、长沙、沙圳、径头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田源</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7</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长翠、田西、田东、新河、永吉、水西、肖屋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油溪</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18</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蕉园</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溪南、下扬、兴中、大东、富乐、茶新、大塘、彭田、金龙、油东、小溪、上镇、官桥、新溪、长潭、九潭、长丰、石背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忠信</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5</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12</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黄岭、老街、栗园、径口、官陂</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上坣、大陂、司前、西湖、新下、中洞、柘陂、水滣、东升、黄花、曲塘、大坪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高莞</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10</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二联、徐村、丁村、太平、高村、中平、西南、河西、高陂、右坑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大湖</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8</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新街</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盘石、湖西、湖东、五禾、油村、罗经、活水、库区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三角</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9</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桐岗、向阳、阳江、白石、石马、塘背、新村、石源、新民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40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绣缎</w:t>
            </w:r>
          </w:p>
        </w:tc>
        <w:tc>
          <w:tcPr>
            <w:tcW w:w="533"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1</w:t>
            </w:r>
          </w:p>
        </w:tc>
        <w:tc>
          <w:tcPr>
            <w:tcW w:w="46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9</w:t>
            </w:r>
          </w:p>
        </w:tc>
        <w:tc>
          <w:tcPr>
            <w:tcW w:w="767"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老街</w:t>
            </w:r>
          </w:p>
        </w:tc>
        <w:tc>
          <w:tcPr>
            <w:tcW w:w="2840" w:type="pct"/>
            <w:shd w:val="clear" w:color="000000" w:fill="FFFFFF"/>
            <w:vAlign w:val="center"/>
          </w:tcPr>
          <w:p>
            <w:pPr>
              <w:widowControl/>
              <w:spacing w:line="240" w:lineRule="auto"/>
              <w:ind w:firstLine="0" w:firstLineChars="0"/>
              <w:jc w:val="center"/>
              <w:rPr>
                <w:color w:val="333333"/>
                <w:kern w:val="0"/>
                <w:sz w:val="21"/>
                <w:szCs w:val="21"/>
                <w:highlight w:val="none"/>
              </w:rPr>
            </w:pPr>
            <w:r>
              <w:rPr>
                <w:color w:val="333333"/>
                <w:kern w:val="0"/>
                <w:sz w:val="21"/>
                <w:szCs w:val="21"/>
                <w:highlight w:val="none"/>
              </w:rPr>
              <w:t>沙径、坳头、金溪、民主、红星、尚岭、新建、塔岭、建民</w:t>
            </w:r>
          </w:p>
        </w:tc>
      </w:tr>
    </w:tbl>
    <w:p>
      <w:pPr>
        <w:ind w:firstLine="0" w:firstLineChars="0"/>
        <w:rPr>
          <w:szCs w:val="28"/>
          <w:highlight w:val="none"/>
        </w:rPr>
        <w:sectPr>
          <w:pgSz w:w="11907" w:h="16840"/>
          <w:pgMar w:top="1440" w:right="1803" w:bottom="1440" w:left="1803" w:header="851" w:footer="992" w:gutter="0"/>
          <w:cols w:space="0" w:num="1"/>
          <w:docGrid w:type="lines" w:linePitch="326" w:charSpace="0"/>
        </w:sectPr>
      </w:pPr>
    </w:p>
    <w:p>
      <w:pPr>
        <w:pStyle w:val="89"/>
        <w:numPr>
          <w:ilvl w:val="2"/>
          <w:numId w:val="1"/>
        </w:numPr>
        <w:ind w:left="0" w:firstLine="0"/>
        <w:rPr>
          <w:rFonts w:eastAsia="宋体"/>
          <w:highlight w:val="none"/>
        </w:rPr>
      </w:pPr>
      <w:bookmarkStart w:id="47" w:name="_Toc112094248"/>
      <w:bookmarkStart w:id="48" w:name="_Toc140764098"/>
      <w:r>
        <w:rPr>
          <w:rFonts w:eastAsia="宋体"/>
          <w:highlight w:val="none"/>
        </w:rPr>
        <w:t>人口</w:t>
      </w:r>
      <w:bookmarkEnd w:id="47"/>
      <w:r>
        <w:rPr>
          <w:rFonts w:eastAsia="宋体"/>
          <w:highlight w:val="none"/>
        </w:rPr>
        <w:t>概况</w:t>
      </w:r>
      <w:bookmarkEnd w:id="48"/>
    </w:p>
    <w:p>
      <w:pPr>
        <w:ind w:firstLine="480"/>
        <w:rPr>
          <w:szCs w:val="28"/>
          <w:highlight w:val="none"/>
        </w:rPr>
      </w:pPr>
      <w:bookmarkStart w:id="49" w:name="_Toc112094249"/>
      <w:r>
        <w:rPr>
          <w:rFonts w:hint="eastAsia"/>
          <w:szCs w:val="28"/>
          <w:highlight w:val="none"/>
        </w:rPr>
        <w:t>根据</w:t>
      </w:r>
      <w:r>
        <w:rPr>
          <w:szCs w:val="28"/>
          <w:highlight w:val="none"/>
        </w:rPr>
        <w:t>第七次全国人口普查</w:t>
      </w:r>
      <w:r>
        <w:rPr>
          <w:rFonts w:hint="eastAsia"/>
          <w:szCs w:val="28"/>
          <w:highlight w:val="none"/>
        </w:rPr>
        <w:t>，</w:t>
      </w:r>
      <w:r>
        <w:rPr>
          <w:szCs w:val="28"/>
          <w:highlight w:val="none"/>
        </w:rPr>
        <w:t>连平县常住人口为</w:t>
      </w:r>
      <w:r>
        <w:rPr>
          <w:rFonts w:hint="eastAsia"/>
          <w:szCs w:val="28"/>
          <w:highlight w:val="none"/>
        </w:rPr>
        <w:t>285224人，与2010年第六次全国人口普查的337172人相比，十年共减少51948人，下降15.41%。13个镇中，人口超过5万人的镇有2个，1万人至5万人之间的镇有7个，少于1万人的镇有4个。与2010年第六次全国人口普查相比，13个镇常住人口均有不同程度的减少。人口减少较多的3个镇依次为：油溪镇、隆街镇和上坪镇，分别减少9675人、5993人、5272人。</w:t>
      </w:r>
    </w:p>
    <w:p>
      <w:pPr>
        <w:ind w:firstLine="0" w:firstLineChars="0"/>
        <w:jc w:val="center"/>
        <w:rPr>
          <w:b/>
          <w:szCs w:val="28"/>
          <w:highlight w:val="none"/>
        </w:rPr>
      </w:pPr>
      <w:r>
        <w:rPr>
          <w:rFonts w:hint="eastAsia"/>
          <w:b/>
          <w:szCs w:val="28"/>
          <w:highlight w:val="none"/>
        </w:rPr>
        <w:t>表2.3-2 连平县常住人口统计表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2129"/>
        <w:gridCol w:w="2129"/>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Merge w:val="restart"/>
            <w:vAlign w:val="center"/>
          </w:tcPr>
          <w:p>
            <w:pPr>
              <w:spacing w:line="240" w:lineRule="auto"/>
              <w:ind w:firstLine="0" w:firstLineChars="0"/>
              <w:jc w:val="center"/>
              <w:rPr>
                <w:b/>
                <w:sz w:val="21"/>
                <w:szCs w:val="21"/>
                <w:highlight w:val="none"/>
              </w:rPr>
            </w:pPr>
            <w:r>
              <w:rPr>
                <w:b/>
                <w:sz w:val="21"/>
                <w:szCs w:val="21"/>
                <w:highlight w:val="none"/>
              </w:rPr>
              <w:t>地区</w:t>
            </w:r>
          </w:p>
        </w:tc>
        <w:tc>
          <w:tcPr>
            <w:tcW w:w="2129" w:type="dxa"/>
            <w:vMerge w:val="restart"/>
            <w:vAlign w:val="center"/>
          </w:tcPr>
          <w:p>
            <w:pPr>
              <w:spacing w:line="240" w:lineRule="auto"/>
              <w:ind w:firstLine="0" w:firstLineChars="0"/>
              <w:jc w:val="center"/>
              <w:rPr>
                <w:b/>
                <w:sz w:val="21"/>
                <w:szCs w:val="21"/>
                <w:highlight w:val="none"/>
              </w:rPr>
            </w:pPr>
            <w:r>
              <w:rPr>
                <w:b/>
                <w:sz w:val="21"/>
                <w:szCs w:val="21"/>
                <w:highlight w:val="none"/>
              </w:rPr>
              <w:t>人口数</w:t>
            </w:r>
          </w:p>
        </w:tc>
        <w:tc>
          <w:tcPr>
            <w:tcW w:w="4259" w:type="dxa"/>
            <w:gridSpan w:val="2"/>
            <w:vAlign w:val="center"/>
          </w:tcPr>
          <w:p>
            <w:pPr>
              <w:spacing w:line="240" w:lineRule="auto"/>
              <w:ind w:firstLine="0" w:firstLineChars="0"/>
              <w:jc w:val="center"/>
              <w:rPr>
                <w:b/>
                <w:sz w:val="21"/>
                <w:szCs w:val="21"/>
                <w:highlight w:val="none"/>
              </w:rPr>
            </w:pPr>
            <w:r>
              <w:rPr>
                <w:b/>
                <w:sz w:val="21"/>
                <w:szCs w:val="21"/>
                <w:highlight w:val="none"/>
              </w:rPr>
              <w:t>比重</w:t>
            </w:r>
            <w:r>
              <w:rPr>
                <w:rFonts w:hint="eastAsia"/>
                <w:b/>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Merge w:val="continue"/>
            <w:vAlign w:val="center"/>
          </w:tcPr>
          <w:p>
            <w:pPr>
              <w:spacing w:line="240" w:lineRule="auto"/>
              <w:ind w:firstLine="0" w:firstLineChars="0"/>
              <w:jc w:val="center"/>
              <w:rPr>
                <w:b/>
                <w:sz w:val="21"/>
                <w:szCs w:val="21"/>
                <w:highlight w:val="none"/>
              </w:rPr>
            </w:pPr>
          </w:p>
        </w:tc>
        <w:tc>
          <w:tcPr>
            <w:tcW w:w="2129" w:type="dxa"/>
            <w:vMerge w:val="continue"/>
            <w:vAlign w:val="center"/>
          </w:tcPr>
          <w:p>
            <w:pPr>
              <w:spacing w:line="240" w:lineRule="auto"/>
              <w:ind w:firstLine="0" w:firstLineChars="0"/>
              <w:jc w:val="center"/>
              <w:rPr>
                <w:b/>
                <w:sz w:val="21"/>
                <w:szCs w:val="21"/>
                <w:highlight w:val="none"/>
              </w:rPr>
            </w:pPr>
          </w:p>
        </w:tc>
        <w:tc>
          <w:tcPr>
            <w:tcW w:w="2129" w:type="dxa"/>
            <w:vAlign w:val="center"/>
          </w:tcPr>
          <w:p>
            <w:pPr>
              <w:spacing w:line="240" w:lineRule="auto"/>
              <w:ind w:firstLine="0" w:firstLineChars="0"/>
              <w:jc w:val="center"/>
              <w:rPr>
                <w:b/>
                <w:sz w:val="21"/>
                <w:szCs w:val="21"/>
                <w:highlight w:val="none"/>
              </w:rPr>
            </w:pPr>
            <w:r>
              <w:rPr>
                <w:b/>
                <w:sz w:val="21"/>
                <w:szCs w:val="21"/>
                <w:highlight w:val="none"/>
              </w:rPr>
              <w:t>2020年</w:t>
            </w:r>
          </w:p>
        </w:tc>
        <w:tc>
          <w:tcPr>
            <w:tcW w:w="2130" w:type="dxa"/>
            <w:vAlign w:val="center"/>
          </w:tcPr>
          <w:p>
            <w:pPr>
              <w:spacing w:line="240" w:lineRule="auto"/>
              <w:ind w:firstLine="0" w:firstLineChars="0"/>
              <w:jc w:val="center"/>
              <w:rPr>
                <w:b/>
                <w:sz w:val="21"/>
                <w:szCs w:val="21"/>
                <w:highlight w:val="none"/>
              </w:rPr>
            </w:pPr>
            <w:r>
              <w:rPr>
                <w:b/>
                <w:sz w:val="21"/>
                <w:szCs w:val="21"/>
                <w:highlight w:val="none"/>
              </w:rPr>
              <w:t>2010年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sz w:val="21"/>
                <w:szCs w:val="21"/>
                <w:highlight w:val="none"/>
              </w:rPr>
              <w:t>连平县</w:t>
            </w:r>
          </w:p>
        </w:tc>
        <w:tc>
          <w:tcPr>
            <w:tcW w:w="2129" w:type="dxa"/>
            <w:vAlign w:val="center"/>
          </w:tcPr>
          <w:p>
            <w:pPr>
              <w:spacing w:line="240" w:lineRule="auto"/>
              <w:ind w:firstLine="0" w:firstLineChars="0"/>
              <w:jc w:val="center"/>
              <w:rPr>
                <w:sz w:val="21"/>
                <w:szCs w:val="21"/>
                <w:highlight w:val="none"/>
              </w:rPr>
            </w:pPr>
            <w:r>
              <w:rPr>
                <w:sz w:val="21"/>
                <w:szCs w:val="21"/>
                <w:highlight w:val="none"/>
              </w:rPr>
              <w:t>285224</w:t>
            </w:r>
          </w:p>
        </w:tc>
        <w:tc>
          <w:tcPr>
            <w:tcW w:w="2129" w:type="dxa"/>
            <w:vAlign w:val="center"/>
          </w:tcPr>
          <w:p>
            <w:pPr>
              <w:spacing w:line="240" w:lineRule="auto"/>
              <w:ind w:firstLine="0" w:firstLineChars="0"/>
              <w:jc w:val="center"/>
              <w:rPr>
                <w:sz w:val="21"/>
                <w:szCs w:val="21"/>
                <w:highlight w:val="none"/>
              </w:rPr>
            </w:pPr>
            <w:r>
              <w:rPr>
                <w:sz w:val="21"/>
                <w:szCs w:val="21"/>
                <w:highlight w:val="none"/>
              </w:rPr>
              <w:t>100.00</w:t>
            </w:r>
          </w:p>
        </w:tc>
        <w:tc>
          <w:tcPr>
            <w:tcW w:w="2130" w:type="dxa"/>
            <w:vAlign w:val="center"/>
          </w:tcPr>
          <w:p>
            <w:pPr>
              <w:spacing w:line="240" w:lineRule="auto"/>
              <w:ind w:firstLine="0" w:firstLineChars="0"/>
              <w:jc w:val="center"/>
              <w:rPr>
                <w:sz w:val="21"/>
                <w:szCs w:val="21"/>
                <w:highlight w:val="none"/>
              </w:rPr>
            </w:pPr>
            <w:r>
              <w:rPr>
                <w:sz w:val="21"/>
                <w:szCs w:val="21"/>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元善镇</w:t>
            </w:r>
          </w:p>
        </w:tc>
        <w:tc>
          <w:tcPr>
            <w:tcW w:w="2129" w:type="dxa"/>
            <w:vAlign w:val="center"/>
          </w:tcPr>
          <w:p>
            <w:pPr>
              <w:spacing w:line="240" w:lineRule="auto"/>
              <w:ind w:firstLine="0" w:firstLineChars="0"/>
              <w:jc w:val="center"/>
              <w:rPr>
                <w:sz w:val="21"/>
                <w:szCs w:val="21"/>
                <w:highlight w:val="none"/>
              </w:rPr>
            </w:pPr>
            <w:r>
              <w:rPr>
                <w:sz w:val="21"/>
                <w:szCs w:val="21"/>
                <w:highlight w:val="none"/>
              </w:rPr>
              <w:t>77249</w:t>
            </w:r>
          </w:p>
        </w:tc>
        <w:tc>
          <w:tcPr>
            <w:tcW w:w="2129" w:type="dxa"/>
            <w:vAlign w:val="center"/>
          </w:tcPr>
          <w:p>
            <w:pPr>
              <w:spacing w:line="240" w:lineRule="auto"/>
              <w:ind w:firstLine="0" w:firstLineChars="0"/>
              <w:jc w:val="center"/>
              <w:rPr>
                <w:sz w:val="21"/>
                <w:szCs w:val="21"/>
                <w:highlight w:val="none"/>
              </w:rPr>
            </w:pPr>
            <w:r>
              <w:rPr>
                <w:sz w:val="21"/>
                <w:szCs w:val="21"/>
                <w:highlight w:val="none"/>
              </w:rPr>
              <w:t>27.08</w:t>
            </w:r>
          </w:p>
        </w:tc>
        <w:tc>
          <w:tcPr>
            <w:tcW w:w="2130" w:type="dxa"/>
            <w:vAlign w:val="center"/>
          </w:tcPr>
          <w:p>
            <w:pPr>
              <w:spacing w:line="240" w:lineRule="auto"/>
              <w:ind w:firstLine="0" w:firstLineChars="0"/>
              <w:jc w:val="center"/>
              <w:rPr>
                <w:sz w:val="21"/>
                <w:szCs w:val="21"/>
                <w:highlight w:val="none"/>
              </w:rPr>
            </w:pPr>
            <w:r>
              <w:rPr>
                <w:sz w:val="21"/>
                <w:szCs w:val="21"/>
                <w:highlight w:val="none"/>
              </w:rPr>
              <w:t>23.22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上坪镇</w:t>
            </w:r>
          </w:p>
        </w:tc>
        <w:tc>
          <w:tcPr>
            <w:tcW w:w="2129" w:type="dxa"/>
            <w:vAlign w:val="center"/>
          </w:tcPr>
          <w:p>
            <w:pPr>
              <w:spacing w:line="240" w:lineRule="auto"/>
              <w:ind w:firstLine="0" w:firstLineChars="0"/>
              <w:jc w:val="center"/>
              <w:rPr>
                <w:sz w:val="21"/>
                <w:szCs w:val="21"/>
                <w:highlight w:val="none"/>
              </w:rPr>
            </w:pPr>
            <w:r>
              <w:rPr>
                <w:sz w:val="21"/>
                <w:szCs w:val="21"/>
                <w:highlight w:val="none"/>
              </w:rPr>
              <w:t>18770</w:t>
            </w:r>
          </w:p>
        </w:tc>
        <w:tc>
          <w:tcPr>
            <w:tcW w:w="2129" w:type="dxa"/>
            <w:vAlign w:val="center"/>
          </w:tcPr>
          <w:p>
            <w:pPr>
              <w:spacing w:line="240" w:lineRule="auto"/>
              <w:ind w:firstLine="0" w:firstLineChars="0"/>
              <w:jc w:val="center"/>
              <w:rPr>
                <w:sz w:val="21"/>
                <w:szCs w:val="21"/>
                <w:highlight w:val="none"/>
              </w:rPr>
            </w:pPr>
            <w:r>
              <w:rPr>
                <w:sz w:val="21"/>
                <w:szCs w:val="21"/>
                <w:highlight w:val="none"/>
              </w:rPr>
              <w:t>6.58</w:t>
            </w:r>
          </w:p>
        </w:tc>
        <w:tc>
          <w:tcPr>
            <w:tcW w:w="2130" w:type="dxa"/>
            <w:vAlign w:val="center"/>
          </w:tcPr>
          <w:p>
            <w:pPr>
              <w:spacing w:line="240" w:lineRule="auto"/>
              <w:ind w:firstLine="0" w:firstLineChars="0"/>
              <w:jc w:val="center"/>
              <w:rPr>
                <w:sz w:val="21"/>
                <w:szCs w:val="21"/>
                <w:highlight w:val="none"/>
              </w:rPr>
            </w:pPr>
            <w:r>
              <w:rPr>
                <w:sz w:val="21"/>
                <w:szCs w:val="21"/>
                <w:highlight w:val="none"/>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内莞镇</w:t>
            </w:r>
          </w:p>
        </w:tc>
        <w:tc>
          <w:tcPr>
            <w:tcW w:w="2129" w:type="dxa"/>
            <w:vAlign w:val="center"/>
          </w:tcPr>
          <w:p>
            <w:pPr>
              <w:spacing w:line="240" w:lineRule="auto"/>
              <w:ind w:firstLine="0" w:firstLineChars="0"/>
              <w:jc w:val="center"/>
              <w:rPr>
                <w:sz w:val="21"/>
                <w:szCs w:val="21"/>
                <w:highlight w:val="none"/>
              </w:rPr>
            </w:pPr>
            <w:r>
              <w:rPr>
                <w:sz w:val="21"/>
                <w:szCs w:val="21"/>
                <w:highlight w:val="none"/>
              </w:rPr>
              <w:t>8011</w:t>
            </w:r>
          </w:p>
        </w:tc>
        <w:tc>
          <w:tcPr>
            <w:tcW w:w="2129" w:type="dxa"/>
            <w:vAlign w:val="center"/>
          </w:tcPr>
          <w:p>
            <w:pPr>
              <w:spacing w:line="240" w:lineRule="auto"/>
              <w:ind w:firstLine="0" w:firstLineChars="0"/>
              <w:jc w:val="center"/>
              <w:rPr>
                <w:sz w:val="21"/>
                <w:szCs w:val="21"/>
                <w:highlight w:val="none"/>
              </w:rPr>
            </w:pPr>
            <w:r>
              <w:rPr>
                <w:sz w:val="21"/>
                <w:szCs w:val="21"/>
                <w:highlight w:val="none"/>
              </w:rPr>
              <w:t>2.81</w:t>
            </w:r>
          </w:p>
        </w:tc>
        <w:tc>
          <w:tcPr>
            <w:tcW w:w="2130" w:type="dxa"/>
            <w:vAlign w:val="center"/>
          </w:tcPr>
          <w:p>
            <w:pPr>
              <w:spacing w:line="240" w:lineRule="auto"/>
              <w:ind w:firstLine="0" w:firstLineChars="0"/>
              <w:jc w:val="center"/>
              <w:rPr>
                <w:sz w:val="21"/>
                <w:szCs w:val="21"/>
                <w:highlight w:val="none"/>
              </w:rPr>
            </w:pPr>
            <w:r>
              <w:rPr>
                <w:sz w:val="21"/>
                <w:szCs w:val="21"/>
                <w:highlight w:val="none"/>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陂头镇</w:t>
            </w:r>
          </w:p>
        </w:tc>
        <w:tc>
          <w:tcPr>
            <w:tcW w:w="2129" w:type="dxa"/>
            <w:vAlign w:val="center"/>
          </w:tcPr>
          <w:p>
            <w:pPr>
              <w:spacing w:line="240" w:lineRule="auto"/>
              <w:ind w:firstLine="0" w:firstLineChars="0"/>
              <w:jc w:val="center"/>
              <w:rPr>
                <w:sz w:val="21"/>
                <w:szCs w:val="21"/>
                <w:highlight w:val="none"/>
              </w:rPr>
            </w:pPr>
            <w:r>
              <w:rPr>
                <w:sz w:val="21"/>
                <w:szCs w:val="21"/>
                <w:highlight w:val="none"/>
              </w:rPr>
              <w:t>20347</w:t>
            </w:r>
          </w:p>
        </w:tc>
        <w:tc>
          <w:tcPr>
            <w:tcW w:w="2129" w:type="dxa"/>
            <w:vAlign w:val="center"/>
          </w:tcPr>
          <w:p>
            <w:pPr>
              <w:spacing w:line="240" w:lineRule="auto"/>
              <w:ind w:firstLine="0" w:firstLineChars="0"/>
              <w:jc w:val="center"/>
              <w:rPr>
                <w:sz w:val="21"/>
                <w:szCs w:val="21"/>
                <w:highlight w:val="none"/>
              </w:rPr>
            </w:pPr>
            <w:r>
              <w:rPr>
                <w:sz w:val="21"/>
                <w:szCs w:val="21"/>
                <w:highlight w:val="none"/>
              </w:rPr>
              <w:t>7.13</w:t>
            </w:r>
          </w:p>
        </w:tc>
        <w:tc>
          <w:tcPr>
            <w:tcW w:w="2130" w:type="dxa"/>
            <w:vAlign w:val="center"/>
          </w:tcPr>
          <w:p>
            <w:pPr>
              <w:spacing w:line="240" w:lineRule="auto"/>
              <w:ind w:firstLine="0" w:firstLineChars="0"/>
              <w:jc w:val="center"/>
              <w:rPr>
                <w:sz w:val="21"/>
                <w:szCs w:val="21"/>
                <w:highlight w:val="none"/>
              </w:rPr>
            </w:pPr>
            <w:r>
              <w:rPr>
                <w:sz w:val="21"/>
                <w:szCs w:val="21"/>
                <w:highlight w:val="none"/>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溪山镇</w:t>
            </w:r>
          </w:p>
        </w:tc>
        <w:tc>
          <w:tcPr>
            <w:tcW w:w="2129" w:type="dxa"/>
            <w:vAlign w:val="center"/>
          </w:tcPr>
          <w:p>
            <w:pPr>
              <w:spacing w:line="240" w:lineRule="auto"/>
              <w:ind w:firstLine="0" w:firstLineChars="0"/>
              <w:jc w:val="center"/>
              <w:rPr>
                <w:sz w:val="21"/>
                <w:szCs w:val="21"/>
                <w:highlight w:val="none"/>
              </w:rPr>
            </w:pPr>
            <w:r>
              <w:rPr>
                <w:sz w:val="21"/>
                <w:szCs w:val="21"/>
                <w:highlight w:val="none"/>
              </w:rPr>
              <w:t>9096</w:t>
            </w:r>
          </w:p>
        </w:tc>
        <w:tc>
          <w:tcPr>
            <w:tcW w:w="2129" w:type="dxa"/>
            <w:vAlign w:val="center"/>
          </w:tcPr>
          <w:p>
            <w:pPr>
              <w:spacing w:line="240" w:lineRule="auto"/>
              <w:ind w:firstLine="0" w:firstLineChars="0"/>
              <w:jc w:val="center"/>
              <w:rPr>
                <w:sz w:val="21"/>
                <w:szCs w:val="21"/>
                <w:highlight w:val="none"/>
              </w:rPr>
            </w:pPr>
            <w:r>
              <w:rPr>
                <w:sz w:val="21"/>
                <w:szCs w:val="21"/>
                <w:highlight w:val="none"/>
              </w:rPr>
              <w:t>3.19</w:t>
            </w:r>
          </w:p>
        </w:tc>
        <w:tc>
          <w:tcPr>
            <w:tcW w:w="2130" w:type="dxa"/>
            <w:vAlign w:val="center"/>
          </w:tcPr>
          <w:p>
            <w:pPr>
              <w:spacing w:line="240" w:lineRule="auto"/>
              <w:ind w:firstLine="0" w:firstLineChars="0"/>
              <w:jc w:val="center"/>
              <w:rPr>
                <w:sz w:val="21"/>
                <w:szCs w:val="21"/>
                <w:highlight w:val="none"/>
              </w:rPr>
            </w:pPr>
            <w:r>
              <w:rPr>
                <w:sz w:val="21"/>
                <w:szCs w:val="21"/>
                <w:highlight w:val="none"/>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隆街镇</w:t>
            </w:r>
          </w:p>
        </w:tc>
        <w:tc>
          <w:tcPr>
            <w:tcW w:w="2129" w:type="dxa"/>
            <w:vAlign w:val="center"/>
          </w:tcPr>
          <w:p>
            <w:pPr>
              <w:spacing w:line="240" w:lineRule="auto"/>
              <w:ind w:firstLine="0" w:firstLineChars="0"/>
              <w:jc w:val="center"/>
              <w:rPr>
                <w:sz w:val="21"/>
                <w:szCs w:val="21"/>
                <w:highlight w:val="none"/>
              </w:rPr>
            </w:pPr>
            <w:r>
              <w:rPr>
                <w:sz w:val="21"/>
                <w:szCs w:val="21"/>
                <w:highlight w:val="none"/>
              </w:rPr>
              <w:t>24645</w:t>
            </w:r>
          </w:p>
        </w:tc>
        <w:tc>
          <w:tcPr>
            <w:tcW w:w="2129" w:type="dxa"/>
            <w:vAlign w:val="center"/>
          </w:tcPr>
          <w:p>
            <w:pPr>
              <w:spacing w:line="240" w:lineRule="auto"/>
              <w:ind w:firstLine="0" w:firstLineChars="0"/>
              <w:jc w:val="center"/>
              <w:rPr>
                <w:sz w:val="21"/>
                <w:szCs w:val="21"/>
                <w:highlight w:val="none"/>
              </w:rPr>
            </w:pPr>
            <w:r>
              <w:rPr>
                <w:sz w:val="21"/>
                <w:szCs w:val="21"/>
                <w:highlight w:val="none"/>
              </w:rPr>
              <w:t>8.64</w:t>
            </w:r>
          </w:p>
        </w:tc>
        <w:tc>
          <w:tcPr>
            <w:tcW w:w="2130" w:type="dxa"/>
            <w:vAlign w:val="center"/>
          </w:tcPr>
          <w:p>
            <w:pPr>
              <w:spacing w:line="240" w:lineRule="auto"/>
              <w:ind w:firstLine="0" w:firstLineChars="0"/>
              <w:jc w:val="center"/>
              <w:rPr>
                <w:sz w:val="21"/>
                <w:szCs w:val="21"/>
                <w:highlight w:val="none"/>
              </w:rPr>
            </w:pPr>
            <w:r>
              <w:rPr>
                <w:sz w:val="21"/>
                <w:szCs w:val="21"/>
                <w:highlight w:val="none"/>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田源镇</w:t>
            </w:r>
          </w:p>
        </w:tc>
        <w:tc>
          <w:tcPr>
            <w:tcW w:w="2129" w:type="dxa"/>
            <w:vAlign w:val="center"/>
          </w:tcPr>
          <w:p>
            <w:pPr>
              <w:spacing w:line="240" w:lineRule="auto"/>
              <w:ind w:firstLine="0" w:firstLineChars="0"/>
              <w:jc w:val="center"/>
              <w:rPr>
                <w:sz w:val="21"/>
                <w:szCs w:val="21"/>
                <w:highlight w:val="none"/>
              </w:rPr>
            </w:pPr>
            <w:r>
              <w:rPr>
                <w:sz w:val="21"/>
                <w:szCs w:val="21"/>
                <w:highlight w:val="none"/>
              </w:rPr>
              <w:t>6781</w:t>
            </w:r>
          </w:p>
        </w:tc>
        <w:tc>
          <w:tcPr>
            <w:tcW w:w="2129" w:type="dxa"/>
            <w:vAlign w:val="center"/>
          </w:tcPr>
          <w:p>
            <w:pPr>
              <w:spacing w:line="240" w:lineRule="auto"/>
              <w:ind w:firstLine="0" w:firstLineChars="0"/>
              <w:jc w:val="center"/>
              <w:rPr>
                <w:sz w:val="21"/>
                <w:szCs w:val="21"/>
                <w:highlight w:val="none"/>
              </w:rPr>
            </w:pPr>
            <w:r>
              <w:rPr>
                <w:sz w:val="21"/>
                <w:szCs w:val="21"/>
                <w:highlight w:val="none"/>
              </w:rPr>
              <w:t>2.38</w:t>
            </w:r>
          </w:p>
        </w:tc>
        <w:tc>
          <w:tcPr>
            <w:tcW w:w="2130" w:type="dxa"/>
            <w:vAlign w:val="center"/>
          </w:tcPr>
          <w:p>
            <w:pPr>
              <w:spacing w:line="240" w:lineRule="auto"/>
              <w:ind w:firstLine="0" w:firstLineChars="0"/>
              <w:jc w:val="center"/>
              <w:rPr>
                <w:sz w:val="21"/>
                <w:szCs w:val="21"/>
                <w:highlight w:val="none"/>
              </w:rPr>
            </w:pPr>
            <w:r>
              <w:rPr>
                <w:sz w:val="21"/>
                <w:szCs w:val="21"/>
                <w:highlight w:val="none"/>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油溪镇</w:t>
            </w:r>
          </w:p>
        </w:tc>
        <w:tc>
          <w:tcPr>
            <w:tcW w:w="2129" w:type="dxa"/>
            <w:vAlign w:val="center"/>
          </w:tcPr>
          <w:p>
            <w:pPr>
              <w:spacing w:line="240" w:lineRule="auto"/>
              <w:ind w:firstLine="0" w:firstLineChars="0"/>
              <w:jc w:val="center"/>
              <w:rPr>
                <w:sz w:val="21"/>
                <w:szCs w:val="21"/>
                <w:highlight w:val="none"/>
              </w:rPr>
            </w:pPr>
            <w:r>
              <w:rPr>
                <w:sz w:val="21"/>
                <w:szCs w:val="21"/>
                <w:highlight w:val="none"/>
              </w:rPr>
              <w:t>19411</w:t>
            </w:r>
          </w:p>
        </w:tc>
        <w:tc>
          <w:tcPr>
            <w:tcW w:w="2129" w:type="dxa"/>
            <w:vAlign w:val="center"/>
          </w:tcPr>
          <w:p>
            <w:pPr>
              <w:spacing w:line="240" w:lineRule="auto"/>
              <w:ind w:firstLine="0" w:firstLineChars="0"/>
              <w:jc w:val="center"/>
              <w:rPr>
                <w:sz w:val="21"/>
                <w:szCs w:val="21"/>
                <w:highlight w:val="none"/>
              </w:rPr>
            </w:pPr>
            <w:r>
              <w:rPr>
                <w:sz w:val="21"/>
                <w:szCs w:val="21"/>
                <w:highlight w:val="none"/>
              </w:rPr>
              <w:t>6.81</w:t>
            </w:r>
          </w:p>
        </w:tc>
        <w:tc>
          <w:tcPr>
            <w:tcW w:w="2130" w:type="dxa"/>
            <w:vAlign w:val="center"/>
          </w:tcPr>
          <w:p>
            <w:pPr>
              <w:spacing w:line="240" w:lineRule="auto"/>
              <w:ind w:firstLine="0" w:firstLineChars="0"/>
              <w:jc w:val="center"/>
              <w:rPr>
                <w:sz w:val="21"/>
                <w:szCs w:val="21"/>
                <w:highlight w:val="none"/>
              </w:rPr>
            </w:pPr>
            <w:r>
              <w:rPr>
                <w:sz w:val="21"/>
                <w:szCs w:val="21"/>
                <w:highlight w:val="none"/>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忠信镇</w:t>
            </w:r>
          </w:p>
        </w:tc>
        <w:tc>
          <w:tcPr>
            <w:tcW w:w="2129" w:type="dxa"/>
            <w:vAlign w:val="center"/>
          </w:tcPr>
          <w:p>
            <w:pPr>
              <w:spacing w:line="240" w:lineRule="auto"/>
              <w:ind w:firstLine="0" w:firstLineChars="0"/>
              <w:jc w:val="center"/>
              <w:rPr>
                <w:sz w:val="21"/>
                <w:szCs w:val="21"/>
                <w:highlight w:val="none"/>
              </w:rPr>
            </w:pPr>
            <w:r>
              <w:rPr>
                <w:sz w:val="21"/>
                <w:szCs w:val="21"/>
                <w:highlight w:val="none"/>
              </w:rPr>
              <w:t>52905</w:t>
            </w:r>
          </w:p>
        </w:tc>
        <w:tc>
          <w:tcPr>
            <w:tcW w:w="2129" w:type="dxa"/>
            <w:vAlign w:val="center"/>
          </w:tcPr>
          <w:p>
            <w:pPr>
              <w:spacing w:line="240" w:lineRule="auto"/>
              <w:ind w:firstLine="0" w:firstLineChars="0"/>
              <w:jc w:val="center"/>
              <w:rPr>
                <w:sz w:val="21"/>
                <w:szCs w:val="21"/>
                <w:highlight w:val="none"/>
              </w:rPr>
            </w:pPr>
            <w:r>
              <w:rPr>
                <w:sz w:val="21"/>
                <w:szCs w:val="21"/>
                <w:highlight w:val="none"/>
              </w:rPr>
              <w:t>18.55</w:t>
            </w:r>
          </w:p>
        </w:tc>
        <w:tc>
          <w:tcPr>
            <w:tcW w:w="2130" w:type="dxa"/>
            <w:vAlign w:val="center"/>
          </w:tcPr>
          <w:p>
            <w:pPr>
              <w:spacing w:line="240" w:lineRule="auto"/>
              <w:ind w:firstLine="0" w:firstLineChars="0"/>
              <w:jc w:val="center"/>
              <w:rPr>
                <w:sz w:val="21"/>
                <w:szCs w:val="21"/>
                <w:highlight w:val="none"/>
              </w:rPr>
            </w:pPr>
            <w:r>
              <w:rPr>
                <w:sz w:val="21"/>
                <w:szCs w:val="21"/>
                <w:highlight w:val="none"/>
              </w:rPr>
              <w:t>17.14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高莞镇</w:t>
            </w:r>
          </w:p>
        </w:tc>
        <w:tc>
          <w:tcPr>
            <w:tcW w:w="2129" w:type="dxa"/>
            <w:vAlign w:val="center"/>
          </w:tcPr>
          <w:p>
            <w:pPr>
              <w:spacing w:line="240" w:lineRule="auto"/>
              <w:ind w:firstLine="0" w:firstLineChars="0"/>
              <w:jc w:val="center"/>
              <w:rPr>
                <w:sz w:val="21"/>
                <w:szCs w:val="21"/>
                <w:highlight w:val="none"/>
              </w:rPr>
            </w:pPr>
            <w:r>
              <w:rPr>
                <w:sz w:val="21"/>
                <w:szCs w:val="21"/>
                <w:highlight w:val="none"/>
              </w:rPr>
              <w:t>13591</w:t>
            </w:r>
          </w:p>
        </w:tc>
        <w:tc>
          <w:tcPr>
            <w:tcW w:w="2129" w:type="dxa"/>
            <w:vAlign w:val="center"/>
          </w:tcPr>
          <w:p>
            <w:pPr>
              <w:spacing w:line="240" w:lineRule="auto"/>
              <w:ind w:firstLine="0" w:firstLineChars="0"/>
              <w:jc w:val="center"/>
              <w:rPr>
                <w:sz w:val="21"/>
                <w:szCs w:val="21"/>
                <w:highlight w:val="none"/>
              </w:rPr>
            </w:pPr>
            <w:r>
              <w:rPr>
                <w:sz w:val="21"/>
                <w:szCs w:val="21"/>
                <w:highlight w:val="none"/>
              </w:rPr>
              <w:t>4.77</w:t>
            </w:r>
          </w:p>
        </w:tc>
        <w:tc>
          <w:tcPr>
            <w:tcW w:w="2130" w:type="dxa"/>
            <w:vAlign w:val="center"/>
          </w:tcPr>
          <w:p>
            <w:pPr>
              <w:spacing w:line="240" w:lineRule="auto"/>
              <w:ind w:firstLine="0" w:firstLineChars="0"/>
              <w:jc w:val="center"/>
              <w:rPr>
                <w:sz w:val="21"/>
                <w:szCs w:val="21"/>
                <w:highlight w:val="none"/>
              </w:rPr>
            </w:pPr>
            <w:r>
              <w:rPr>
                <w:sz w:val="21"/>
                <w:szCs w:val="21"/>
                <w:highlight w:val="none"/>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大湖镇</w:t>
            </w:r>
          </w:p>
        </w:tc>
        <w:tc>
          <w:tcPr>
            <w:tcW w:w="2129" w:type="dxa"/>
            <w:vAlign w:val="center"/>
          </w:tcPr>
          <w:p>
            <w:pPr>
              <w:spacing w:line="240" w:lineRule="auto"/>
              <w:ind w:firstLine="0" w:firstLineChars="0"/>
              <w:jc w:val="center"/>
              <w:rPr>
                <w:sz w:val="21"/>
                <w:szCs w:val="21"/>
                <w:highlight w:val="none"/>
              </w:rPr>
            </w:pPr>
            <w:r>
              <w:rPr>
                <w:sz w:val="21"/>
                <w:szCs w:val="21"/>
                <w:highlight w:val="none"/>
              </w:rPr>
              <w:t>13332</w:t>
            </w:r>
          </w:p>
        </w:tc>
        <w:tc>
          <w:tcPr>
            <w:tcW w:w="2129" w:type="dxa"/>
            <w:vAlign w:val="center"/>
          </w:tcPr>
          <w:p>
            <w:pPr>
              <w:spacing w:line="240" w:lineRule="auto"/>
              <w:ind w:firstLine="0" w:firstLineChars="0"/>
              <w:jc w:val="center"/>
              <w:rPr>
                <w:sz w:val="21"/>
                <w:szCs w:val="21"/>
                <w:highlight w:val="none"/>
              </w:rPr>
            </w:pPr>
            <w:r>
              <w:rPr>
                <w:sz w:val="21"/>
                <w:szCs w:val="21"/>
                <w:highlight w:val="none"/>
              </w:rPr>
              <w:t>4.67</w:t>
            </w:r>
          </w:p>
        </w:tc>
        <w:tc>
          <w:tcPr>
            <w:tcW w:w="2130" w:type="dxa"/>
            <w:vAlign w:val="center"/>
          </w:tcPr>
          <w:p>
            <w:pPr>
              <w:spacing w:line="240" w:lineRule="auto"/>
              <w:ind w:firstLine="0" w:firstLineChars="0"/>
              <w:jc w:val="center"/>
              <w:rPr>
                <w:sz w:val="21"/>
                <w:szCs w:val="21"/>
                <w:highlight w:val="none"/>
              </w:rPr>
            </w:pPr>
            <w:r>
              <w:rPr>
                <w:sz w:val="21"/>
                <w:szCs w:val="21"/>
                <w:highlight w:val="none"/>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sz w:val="21"/>
                <w:szCs w:val="21"/>
                <w:highlight w:val="none"/>
              </w:rPr>
            </w:pPr>
            <w:r>
              <w:rPr>
                <w:color w:val="333333"/>
                <w:kern w:val="0"/>
                <w:sz w:val="21"/>
                <w:szCs w:val="21"/>
                <w:highlight w:val="none"/>
              </w:rPr>
              <w:t>三角镇</w:t>
            </w:r>
          </w:p>
        </w:tc>
        <w:tc>
          <w:tcPr>
            <w:tcW w:w="2129" w:type="dxa"/>
            <w:vAlign w:val="center"/>
          </w:tcPr>
          <w:p>
            <w:pPr>
              <w:spacing w:line="240" w:lineRule="auto"/>
              <w:ind w:firstLine="0" w:firstLineChars="0"/>
              <w:jc w:val="center"/>
              <w:rPr>
                <w:sz w:val="21"/>
                <w:szCs w:val="21"/>
                <w:highlight w:val="none"/>
              </w:rPr>
            </w:pPr>
            <w:r>
              <w:rPr>
                <w:sz w:val="21"/>
                <w:szCs w:val="21"/>
                <w:highlight w:val="none"/>
              </w:rPr>
              <w:t>11314</w:t>
            </w:r>
          </w:p>
        </w:tc>
        <w:tc>
          <w:tcPr>
            <w:tcW w:w="2129" w:type="dxa"/>
            <w:vAlign w:val="center"/>
          </w:tcPr>
          <w:p>
            <w:pPr>
              <w:spacing w:line="240" w:lineRule="auto"/>
              <w:ind w:firstLine="0" w:firstLineChars="0"/>
              <w:jc w:val="center"/>
              <w:rPr>
                <w:sz w:val="21"/>
                <w:szCs w:val="21"/>
                <w:highlight w:val="none"/>
              </w:rPr>
            </w:pPr>
            <w:r>
              <w:rPr>
                <w:sz w:val="21"/>
                <w:szCs w:val="21"/>
                <w:highlight w:val="none"/>
              </w:rPr>
              <w:t>3.97</w:t>
            </w:r>
          </w:p>
        </w:tc>
        <w:tc>
          <w:tcPr>
            <w:tcW w:w="2130" w:type="dxa"/>
            <w:vAlign w:val="center"/>
          </w:tcPr>
          <w:p>
            <w:pPr>
              <w:spacing w:line="240" w:lineRule="auto"/>
              <w:ind w:firstLine="0" w:firstLineChars="0"/>
              <w:jc w:val="center"/>
              <w:rPr>
                <w:sz w:val="21"/>
                <w:szCs w:val="21"/>
                <w:highlight w:val="none"/>
              </w:rPr>
            </w:pPr>
            <w:r>
              <w:rPr>
                <w:sz w:val="21"/>
                <w:szCs w:val="21"/>
                <w:highlight w:val="none"/>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86" w:type="dxa"/>
            <w:vAlign w:val="center"/>
          </w:tcPr>
          <w:p>
            <w:pPr>
              <w:spacing w:line="240" w:lineRule="auto"/>
              <w:ind w:firstLine="0" w:firstLineChars="0"/>
              <w:jc w:val="center"/>
              <w:rPr>
                <w:color w:val="333333"/>
                <w:kern w:val="0"/>
                <w:sz w:val="21"/>
                <w:szCs w:val="21"/>
                <w:highlight w:val="none"/>
              </w:rPr>
            </w:pPr>
            <w:r>
              <w:rPr>
                <w:color w:val="333333"/>
                <w:kern w:val="0"/>
                <w:sz w:val="21"/>
                <w:szCs w:val="21"/>
                <w:highlight w:val="none"/>
              </w:rPr>
              <w:t>绣缎镇</w:t>
            </w:r>
          </w:p>
        </w:tc>
        <w:tc>
          <w:tcPr>
            <w:tcW w:w="2129" w:type="dxa"/>
            <w:vAlign w:val="center"/>
          </w:tcPr>
          <w:p>
            <w:pPr>
              <w:spacing w:line="240" w:lineRule="auto"/>
              <w:ind w:firstLine="0" w:firstLineChars="0"/>
              <w:jc w:val="center"/>
              <w:rPr>
                <w:sz w:val="21"/>
                <w:szCs w:val="21"/>
                <w:highlight w:val="none"/>
              </w:rPr>
            </w:pPr>
            <w:r>
              <w:rPr>
                <w:sz w:val="21"/>
                <w:szCs w:val="21"/>
                <w:highlight w:val="none"/>
              </w:rPr>
              <w:t>9772</w:t>
            </w:r>
          </w:p>
        </w:tc>
        <w:tc>
          <w:tcPr>
            <w:tcW w:w="2129" w:type="dxa"/>
            <w:vAlign w:val="center"/>
          </w:tcPr>
          <w:p>
            <w:pPr>
              <w:spacing w:line="240" w:lineRule="auto"/>
              <w:ind w:firstLine="0" w:firstLineChars="0"/>
              <w:jc w:val="center"/>
              <w:rPr>
                <w:sz w:val="21"/>
                <w:szCs w:val="21"/>
                <w:highlight w:val="none"/>
              </w:rPr>
            </w:pPr>
            <w:r>
              <w:rPr>
                <w:sz w:val="21"/>
                <w:szCs w:val="21"/>
                <w:highlight w:val="none"/>
              </w:rPr>
              <w:t>3.43</w:t>
            </w:r>
          </w:p>
        </w:tc>
        <w:tc>
          <w:tcPr>
            <w:tcW w:w="2130" w:type="dxa"/>
            <w:vAlign w:val="center"/>
          </w:tcPr>
          <w:p>
            <w:pPr>
              <w:spacing w:line="240" w:lineRule="auto"/>
              <w:ind w:firstLine="0" w:firstLineChars="0"/>
              <w:jc w:val="center"/>
              <w:rPr>
                <w:sz w:val="21"/>
                <w:szCs w:val="21"/>
                <w:highlight w:val="none"/>
              </w:rPr>
            </w:pPr>
            <w:r>
              <w:rPr>
                <w:sz w:val="21"/>
                <w:szCs w:val="21"/>
                <w:highlight w:val="none"/>
              </w:rPr>
              <w:t>3.64</w:t>
            </w:r>
          </w:p>
        </w:tc>
      </w:tr>
    </w:tbl>
    <w:p>
      <w:pPr>
        <w:ind w:firstLine="420"/>
        <w:rPr>
          <w:sz w:val="21"/>
          <w:szCs w:val="28"/>
          <w:highlight w:val="none"/>
        </w:rPr>
      </w:pPr>
      <w:r>
        <w:rPr>
          <w:rFonts w:hint="eastAsia"/>
          <w:sz w:val="21"/>
          <w:szCs w:val="28"/>
          <w:highlight w:val="none"/>
        </w:rPr>
        <w:t>*指各镇的常住人口占全县人口的比重。</w:t>
      </w:r>
    </w:p>
    <w:p>
      <w:pPr>
        <w:ind w:firstLine="0" w:firstLineChars="0"/>
        <w:rPr>
          <w:szCs w:val="28"/>
          <w:highlight w:val="none"/>
        </w:rPr>
      </w:pPr>
      <w:r>
        <w:rPr>
          <w:color w:val="0066CC"/>
          <w:highlight w:val="none"/>
        </w:rPr>
        <w:drawing>
          <wp:inline distT="0" distB="0" distL="0" distR="0">
            <wp:extent cx="5381625" cy="3914775"/>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firstLine="426" w:firstLineChars="177"/>
        <w:jc w:val="center"/>
        <w:rPr>
          <w:b/>
          <w:szCs w:val="28"/>
          <w:highlight w:val="none"/>
        </w:rPr>
      </w:pPr>
      <w:r>
        <w:rPr>
          <w:rFonts w:hint="eastAsia"/>
          <w:b/>
          <w:szCs w:val="28"/>
          <w:highlight w:val="none"/>
        </w:rPr>
        <w:t>图2.3-2 连平县常住人口变化情况</w:t>
      </w:r>
    </w:p>
    <w:p>
      <w:pPr>
        <w:pStyle w:val="89"/>
        <w:numPr>
          <w:ilvl w:val="2"/>
          <w:numId w:val="1"/>
        </w:numPr>
        <w:ind w:left="0" w:firstLine="0"/>
        <w:rPr>
          <w:rFonts w:eastAsia="宋体"/>
          <w:highlight w:val="none"/>
        </w:rPr>
      </w:pPr>
      <w:bookmarkStart w:id="50" w:name="_Toc140764099"/>
      <w:r>
        <w:rPr>
          <w:rFonts w:eastAsia="宋体"/>
          <w:highlight w:val="none"/>
        </w:rPr>
        <w:t>经济概况</w:t>
      </w:r>
      <w:bookmarkEnd w:id="49"/>
      <w:bookmarkEnd w:id="50"/>
    </w:p>
    <w:p>
      <w:pPr>
        <w:ind w:firstLine="480"/>
        <w:rPr>
          <w:szCs w:val="28"/>
          <w:highlight w:val="none"/>
        </w:rPr>
      </w:pPr>
      <w:r>
        <w:rPr>
          <w:rFonts w:hint="eastAsia"/>
          <w:szCs w:val="28"/>
          <w:highlight w:val="none"/>
        </w:rPr>
        <w:t>“十三五”期间连平县经济实力增长较快，根据河源市地区生产总值统一核算结果，2020年连平县GDP完成83.87亿元，“十三五”时期年均增长2.21%。产业结构持续优化，三次产业结构由2015年11.2：54.5：34.3调整为2020年的 20：25：55。工业发展势头良好，扩园0.44平方公里，引进项目65个，合同投资额133亿元。规上工业企业由2015年42家增加到2020年46家，产值达49.14 亿元，对全县经济稳定发展起着重要支撑作用。乡村产业振兴步伐加快，农业增加值19.23亿元，年均增长5.86%，累计新增省、市农业龙头企业13家，成功创建鹰嘴蜜桃省级现代农业产业园。连平鹰嘴蜜桃、内莞三华李、九连山精米入选“全国名特优新”农产品名录，增创了全国首家铁皮石斛基地、广东绿茶王、广东最美茶园等一批绿色、有机品牌。服务业发展亮点纷呈，成功入选创建省级电子商务进农村综合示范县，忠信商贸小镇入选广东省第三批特色小镇培育库，限上商贸企业增加至57家，“十三五”期间服务业增加值年均增长12%，内需主导、消费驱动的经济增长模式初步形成。旅游服务业蓬勃发展，“十三五”期间全县接待入县游客由291.68万人次增加到1568.67万人次，旅游总收入由22.6533亿元增加到122.73亿元。完成了全域旅游规划设计，建成广东燕岩六祖文化旅游区、九连山原始森林度假村4A级旅游景区，客天下旅游综合开发等旅游开发项目有序推进，湖东村获评广东省首批文化和旅游特色村，上坪镇中村村被评为“中国乡村旅游模范村”，河头山庄被评为“中国乡村旅游金牌农家乐”。</w:t>
      </w:r>
    </w:p>
    <w:p>
      <w:pPr>
        <w:ind w:firstLine="480"/>
        <w:rPr>
          <w:szCs w:val="28"/>
          <w:highlight w:val="none"/>
        </w:rPr>
      </w:pPr>
      <w:r>
        <w:rPr>
          <w:rFonts w:hint="eastAsia"/>
          <w:szCs w:val="28"/>
          <w:highlight w:val="none"/>
        </w:rPr>
        <w:t>“十四五”期间，连平县经济运行保持总体平稳、稳中有进的良好态势。根据河源市地区生产总值统一核算结果，2021年和2022年连平县地区生产总值分别为97.82亿元和100.26亿元。其中，2021年三次产业增加值分别为22.42亿元、26.61亿元和48.79亿元；2022年三次产业增加值分别为23.03亿元、27.06亿元和50.16亿元。2022年全县实现工业增加值18.94亿元，同比增长2.6%；规模以上工业增加值18.17亿元，同比增长2.8%，持续保持增长。农业产能稳中有增，2022年全县实现农林牧渔业总产值35.27亿元，同比增长5.8%，其中从分行业看农业、牧业对农林牧渔业增长拉动较大，农业产值、牧业产值分别同比增长5.2%、11.3%。</w:t>
      </w:r>
    </w:p>
    <w:p>
      <w:pPr>
        <w:ind w:firstLine="0" w:firstLineChars="0"/>
        <w:rPr>
          <w:color w:val="FF0000"/>
          <w:szCs w:val="28"/>
          <w:highlight w:val="none"/>
        </w:rPr>
      </w:pPr>
      <w:r>
        <w:rPr>
          <w:highlight w:val="none"/>
        </w:rPr>
        <w:drawing>
          <wp:inline distT="0" distB="0" distL="0" distR="0">
            <wp:extent cx="5305425" cy="302895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ind w:firstLine="0" w:firstLineChars="0"/>
        <w:jc w:val="center"/>
        <w:rPr>
          <w:b/>
          <w:highlight w:val="none"/>
        </w:rPr>
      </w:pPr>
      <w:r>
        <w:rPr>
          <w:b/>
          <w:highlight w:val="none"/>
        </w:rPr>
        <w:t>图2.3-</w:t>
      </w:r>
      <w:r>
        <w:rPr>
          <w:rFonts w:hint="eastAsia"/>
          <w:b/>
          <w:highlight w:val="none"/>
        </w:rPr>
        <w:t>3</w:t>
      </w:r>
      <w:r>
        <w:rPr>
          <w:b/>
          <w:highlight w:val="none"/>
        </w:rPr>
        <w:t xml:space="preserve"> </w:t>
      </w:r>
      <w:r>
        <w:rPr>
          <w:rFonts w:hint="eastAsia"/>
          <w:b/>
          <w:highlight w:val="none"/>
        </w:rPr>
        <w:t>连平</w:t>
      </w:r>
      <w:r>
        <w:rPr>
          <w:b/>
          <w:highlight w:val="none"/>
        </w:rPr>
        <w:t>县</w:t>
      </w:r>
      <w:r>
        <w:rPr>
          <w:rFonts w:hint="eastAsia"/>
          <w:b/>
          <w:highlight w:val="none"/>
        </w:rPr>
        <w:t>社会</w:t>
      </w:r>
      <w:r>
        <w:rPr>
          <w:b/>
          <w:highlight w:val="none"/>
        </w:rPr>
        <w:t>经济</w:t>
      </w:r>
      <w:r>
        <w:rPr>
          <w:rFonts w:hint="eastAsia"/>
          <w:b/>
          <w:highlight w:val="none"/>
        </w:rPr>
        <w:t>统计</w:t>
      </w:r>
      <w:r>
        <w:rPr>
          <w:b/>
          <w:highlight w:val="none"/>
        </w:rPr>
        <w:t>图</w:t>
      </w:r>
    </w:p>
    <w:p>
      <w:pPr>
        <w:pStyle w:val="87"/>
        <w:ind w:left="0" w:firstLine="0"/>
        <w:rPr>
          <w:rFonts w:eastAsia="宋体"/>
          <w:color w:val="auto"/>
          <w:sz w:val="28"/>
          <w:szCs w:val="21"/>
          <w:highlight w:val="none"/>
        </w:rPr>
      </w:pPr>
      <w:bookmarkStart w:id="51" w:name="_Toc112094251"/>
      <w:bookmarkStart w:id="52" w:name="_Toc140764100"/>
      <w:r>
        <w:rPr>
          <w:rFonts w:eastAsia="宋体"/>
          <w:color w:val="auto"/>
          <w:sz w:val="28"/>
          <w:szCs w:val="21"/>
          <w:highlight w:val="none"/>
        </w:rPr>
        <w:t>城乡发展</w:t>
      </w:r>
      <w:bookmarkEnd w:id="51"/>
      <w:bookmarkEnd w:id="52"/>
    </w:p>
    <w:p>
      <w:pPr>
        <w:ind w:firstLine="426" w:firstLineChars="177"/>
        <w:rPr>
          <w:szCs w:val="28"/>
          <w:highlight w:val="none"/>
        </w:rPr>
      </w:pPr>
      <w:bookmarkStart w:id="53" w:name="_Toc112094254"/>
      <w:r>
        <w:rPr>
          <w:rFonts w:hint="eastAsia"/>
          <w:b/>
          <w:szCs w:val="28"/>
          <w:highlight w:val="none"/>
        </w:rPr>
        <w:t>基础设施不断完善。</w:t>
      </w:r>
      <w:r>
        <w:rPr>
          <w:rFonts w:hint="eastAsia"/>
          <w:szCs w:val="28"/>
          <w:highlight w:val="none"/>
        </w:rPr>
        <w:t>“十三五”期间连平县交通建设成果丰硕，大广高速公路如期建成通车，结束了县城不通高速公路的历史，汕昆、武深高速公路相继建成通车，“三纵一横”（“三纵”为武深高速，大广高速和龙河高速，“一横”为汕昆高速）高速公路网正式形成，全县高速公路总里程超171公里，全面融入珠三角“两小时经济圈”；完成一批国、省道路改造升级并顺利通过“国检”，累计改造国省县乡道路 180 公里，建设农村公路 220 公里，全县交通网络不断完善，群众出行更加便捷。完成省、市64个重点项目建设任务，县城生活垃圾无害化填埋场建成使用，新丰江水库生态环境保护、中小河流治理、病险水库除险加固和高标准基本农田建设等项目扎实推进。</w:t>
      </w:r>
    </w:p>
    <w:p>
      <w:pPr>
        <w:ind w:firstLine="426" w:firstLineChars="177"/>
        <w:rPr>
          <w:szCs w:val="28"/>
          <w:highlight w:val="none"/>
        </w:rPr>
      </w:pPr>
      <w:r>
        <w:rPr>
          <w:rFonts w:hint="eastAsia"/>
          <w:b/>
          <w:szCs w:val="28"/>
          <w:highlight w:val="none"/>
        </w:rPr>
        <w:t>城乡协调发展步伐加快。</w:t>
      </w:r>
      <w:r>
        <w:rPr>
          <w:rFonts w:hint="eastAsia"/>
          <w:szCs w:val="28"/>
          <w:highlight w:val="none"/>
        </w:rPr>
        <w:t>城市品质进一步提升，县城新增开发面积5.33平方公里，完成工人文化宫、南山公园升级改造等项目建设，县城“两路一河”生态提升工程、新医院、新档案馆等项目顺利推进。“文明城市”创建工作有序开展，实施了主干道路及县城主要出口桥梁拓宽改造工程，组织了乱搭乱建、乱堆乱放、乱设摊点、乱拉乱挂、乱贴乱写乱画、乱扔乱吐等“六乱”整治和绿化、净化、亮化、美化等“四化”专项行动。建成一批大型住宅区，城市形象持续提升。启动编制全县国土空间规划，完成了13个乡镇土地利用总体规划和159个行政村村庄规划，城乡规划得到全面加强。大力推进脱贫攻坚和乡村振兴，全县建档立卡贫困人口6008户、16643人全部达到省定脱贫标准，30个相对贫困村全部达到出列标准。新建或修缮大批道路、供水、污水处理、卫生站、农田水利、文化广场等基础设施，乡村生产生活条件得到显著改善。全县村庄“三清理三拆除三整治”任务基本完成，“厕所革命”任务全面完成，粤赣边界乡村振兴示范带、省级新农村连片示范工程和农村人居环境综合整治示范县、示范镇、示范村建设初显成效，全县159个行政村全部达到干净整洁村标准、72个行政村达到美丽宜居村标准，忠信镇司前村入选“全国乡村治理示范村”。</w:t>
      </w:r>
    </w:p>
    <w:p>
      <w:pPr>
        <w:ind w:firstLine="426" w:firstLineChars="177"/>
        <w:rPr>
          <w:szCs w:val="28"/>
          <w:highlight w:val="none"/>
        </w:rPr>
      </w:pPr>
      <w:r>
        <w:rPr>
          <w:rFonts w:hint="eastAsia"/>
          <w:b/>
          <w:szCs w:val="28"/>
          <w:highlight w:val="none"/>
        </w:rPr>
        <w:t>“融湾”“融深”扎实推进。</w:t>
      </w:r>
      <w:r>
        <w:rPr>
          <w:rFonts w:hint="eastAsia"/>
          <w:szCs w:val="28"/>
          <w:highlight w:val="none"/>
        </w:rPr>
        <w:t>坚持以“融湾”为纲、“融深”为牵引，成立全县融入粤港澳大湾区领导小组，出台“融湾”实施意见、三年行动计划等系列政策文件。主动推动对接大湾区的综合交通运输网络规划建设，实施了国道G105、G358线、省道S253线、县道X161、X164、X185线以及一批乡道、旅游公路升级改造工程。借力深圳南山区全面对口帮扶，深化南山-连平合作，加大产业共建力度，以“飞地经济”模式高标准建设深圳南山（连平）产业共建示范园，园区发展活力得到进一步增强。</w:t>
      </w:r>
    </w:p>
    <w:p>
      <w:pPr>
        <w:pStyle w:val="87"/>
        <w:ind w:left="0" w:firstLine="0"/>
        <w:rPr>
          <w:rFonts w:eastAsia="宋体"/>
          <w:color w:val="auto"/>
          <w:sz w:val="28"/>
          <w:szCs w:val="21"/>
          <w:highlight w:val="none"/>
        </w:rPr>
      </w:pPr>
      <w:bookmarkStart w:id="54" w:name="_Toc140764101"/>
      <w:r>
        <w:rPr>
          <w:rFonts w:eastAsia="宋体"/>
          <w:color w:val="auto"/>
          <w:sz w:val="28"/>
          <w:szCs w:val="21"/>
          <w:highlight w:val="none"/>
        </w:rPr>
        <w:t>土地利用概况</w:t>
      </w:r>
      <w:bookmarkEnd w:id="53"/>
      <w:bookmarkEnd w:id="54"/>
    </w:p>
    <w:p>
      <w:pPr>
        <w:ind w:firstLine="424" w:firstLineChars="177"/>
        <w:rPr>
          <w:szCs w:val="28"/>
          <w:highlight w:val="none"/>
        </w:rPr>
      </w:pPr>
      <w:r>
        <w:rPr>
          <w:szCs w:val="28"/>
          <w:highlight w:val="none"/>
        </w:rPr>
        <w:t>根据</w:t>
      </w:r>
      <w:r>
        <w:rPr>
          <w:rFonts w:hint="eastAsia"/>
          <w:szCs w:val="28"/>
          <w:highlight w:val="none"/>
        </w:rPr>
        <w:t>连平</w:t>
      </w:r>
      <w:r>
        <w:rPr>
          <w:szCs w:val="28"/>
          <w:highlight w:val="none"/>
        </w:rPr>
        <w:t>县第三次全国国土调查数据，全县国土总面积</w:t>
      </w:r>
      <w:r>
        <w:rPr>
          <w:rFonts w:hint="eastAsia"/>
          <w:szCs w:val="28"/>
          <w:highlight w:val="none"/>
        </w:rPr>
        <w:t>227501.46公顷，其中以林地为主，占全县国土面积的83.49%；其次为耕地、种植园用地、水域及水利设施用地、住宅用地、交通运输用地，分别占全县国土面积的6.33%、3.10%、2.07%、1.57%和1.45%。</w:t>
      </w:r>
      <w:r>
        <w:rPr>
          <w:szCs w:val="28"/>
          <w:highlight w:val="none"/>
        </w:rPr>
        <w:t>全县土地利用情况如下</w:t>
      </w:r>
      <w:r>
        <w:rPr>
          <w:rFonts w:hint="eastAsia"/>
          <w:szCs w:val="28"/>
          <w:highlight w:val="none"/>
        </w:rPr>
        <w:t>。</w:t>
      </w:r>
    </w:p>
    <w:p>
      <w:pPr>
        <w:ind w:left="-960" w:leftChars="-400" w:firstLine="0" w:firstLineChars="0"/>
        <w:rPr>
          <w:color w:val="FF0000"/>
          <w:szCs w:val="28"/>
          <w:highlight w:val="none"/>
        </w:rPr>
      </w:pPr>
      <w:r>
        <w:rPr>
          <w:highlight w:val="none"/>
        </w:rPr>
        <w:drawing>
          <wp:inline distT="0" distB="0" distL="0" distR="0">
            <wp:extent cx="6505575" cy="419100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0" w:firstLineChars="0"/>
        <w:jc w:val="center"/>
        <w:rPr>
          <w:color w:val="FF0000"/>
          <w:szCs w:val="28"/>
          <w:highlight w:val="none"/>
        </w:rPr>
      </w:pPr>
      <w:r>
        <w:rPr>
          <w:rFonts w:hint="eastAsia"/>
          <w:b/>
          <w:szCs w:val="28"/>
          <w:highlight w:val="none"/>
        </w:rPr>
        <w:t>图2.5-1 连平县土地利用现状统计图</w:t>
      </w:r>
    </w:p>
    <w:p>
      <w:pPr>
        <w:ind w:firstLine="480"/>
        <w:rPr>
          <w:color w:val="FF0000"/>
          <w:highlight w:val="none"/>
        </w:rPr>
        <w:sectPr>
          <w:pgSz w:w="11907" w:h="16840"/>
          <w:pgMar w:top="1440" w:right="1803" w:bottom="1440" w:left="1803" w:header="851" w:footer="992" w:gutter="0"/>
          <w:cols w:space="0" w:num="1"/>
          <w:docGrid w:type="lines" w:linePitch="326" w:charSpace="0"/>
        </w:sectPr>
      </w:pPr>
    </w:p>
    <w:p>
      <w:pPr>
        <w:pStyle w:val="85"/>
        <w:spacing w:before="652" w:after="326"/>
        <w:rPr>
          <w:rFonts w:ascii="Times New Roman" w:hAnsi="Times New Roman" w:eastAsia="宋体" w:cs="Times New Roman"/>
          <w:highlight w:val="none"/>
        </w:rPr>
      </w:pPr>
      <w:bookmarkStart w:id="55" w:name="_Toc95899959"/>
      <w:bookmarkStart w:id="56" w:name="_Toc140764102"/>
      <w:r>
        <w:rPr>
          <w:rFonts w:ascii="Times New Roman" w:hAnsi="Times New Roman" w:eastAsia="宋体" w:cs="Times New Roman"/>
          <w:highlight w:val="none"/>
        </w:rPr>
        <w:t>生态环境</w:t>
      </w:r>
      <w:bookmarkEnd w:id="55"/>
      <w:r>
        <w:rPr>
          <w:rFonts w:ascii="Times New Roman" w:hAnsi="Times New Roman" w:eastAsia="宋体" w:cs="Times New Roman"/>
          <w:highlight w:val="none"/>
        </w:rPr>
        <w:t>现状与问题诊断</w:t>
      </w:r>
      <w:bookmarkEnd w:id="56"/>
    </w:p>
    <w:p>
      <w:pPr>
        <w:pStyle w:val="87"/>
        <w:ind w:left="0" w:firstLine="0"/>
        <w:rPr>
          <w:rFonts w:eastAsia="宋体"/>
          <w:color w:val="auto"/>
          <w:sz w:val="28"/>
          <w:szCs w:val="21"/>
          <w:highlight w:val="none"/>
        </w:rPr>
      </w:pPr>
      <w:bookmarkStart w:id="57" w:name="_Toc140764103"/>
      <w:r>
        <w:rPr>
          <w:rFonts w:hint="eastAsia" w:eastAsia="宋体"/>
          <w:color w:val="auto"/>
          <w:sz w:val="28"/>
          <w:szCs w:val="21"/>
          <w:highlight w:val="none"/>
        </w:rPr>
        <w:t>重要生态功能区</w:t>
      </w:r>
      <w:bookmarkEnd w:id="57"/>
    </w:p>
    <w:p>
      <w:pPr>
        <w:pStyle w:val="89"/>
        <w:numPr>
          <w:ilvl w:val="2"/>
          <w:numId w:val="1"/>
        </w:numPr>
        <w:ind w:left="0" w:firstLine="0"/>
        <w:rPr>
          <w:rFonts w:eastAsia="宋体"/>
          <w:highlight w:val="none"/>
        </w:rPr>
      </w:pPr>
      <w:bookmarkStart w:id="58" w:name="_Toc140764104"/>
      <w:r>
        <w:rPr>
          <w:rFonts w:hint="eastAsia" w:eastAsia="宋体"/>
          <w:highlight w:val="none"/>
        </w:rPr>
        <w:t>重要生物多样性保护区</w:t>
      </w:r>
      <w:bookmarkEnd w:id="58"/>
    </w:p>
    <w:p>
      <w:pPr>
        <w:pStyle w:val="90"/>
        <w:numPr>
          <w:ilvl w:val="3"/>
          <w:numId w:val="1"/>
        </w:numPr>
        <w:spacing w:before="0" w:beforeLines="0" w:after="0" w:afterLines="0"/>
        <w:ind w:left="0" w:firstLine="0"/>
        <w:rPr>
          <w:rFonts w:eastAsia="宋体"/>
          <w:highlight w:val="none"/>
        </w:rPr>
      </w:pPr>
      <w:r>
        <w:rPr>
          <w:rFonts w:hint="eastAsia" w:eastAsia="宋体"/>
          <w:highlight w:val="none"/>
        </w:rPr>
        <w:t>自然保护</w:t>
      </w:r>
      <w:r>
        <w:rPr>
          <w:rFonts w:eastAsia="宋体"/>
          <w:highlight w:val="none"/>
        </w:rPr>
        <w:t>区</w:t>
      </w:r>
    </w:p>
    <w:p>
      <w:pPr>
        <w:ind w:firstLine="480"/>
        <w:rPr>
          <w:highlight w:val="none"/>
        </w:rPr>
      </w:pPr>
      <w:r>
        <w:rPr>
          <w:rFonts w:hint="eastAsia"/>
          <w:highlight w:val="none"/>
        </w:rPr>
        <w:t>连平县已完成自然保护地整合优化方案编制，目前尚未取得批复。自然保护地整合优化前，连平</w:t>
      </w:r>
      <w:r>
        <w:rPr>
          <w:highlight w:val="none"/>
        </w:rPr>
        <w:t>县自然保护区共</w:t>
      </w:r>
      <w:r>
        <w:rPr>
          <w:rFonts w:hint="eastAsia"/>
          <w:highlight w:val="none"/>
        </w:rPr>
        <w:t>4处</w:t>
      </w:r>
      <w:r>
        <w:rPr>
          <w:highlight w:val="none"/>
        </w:rPr>
        <w:t>，矢量面积合计</w:t>
      </w:r>
      <w:r>
        <w:rPr>
          <w:rFonts w:hint="eastAsia"/>
          <w:highlight w:val="none"/>
        </w:rPr>
        <w:t>11946.59</w:t>
      </w:r>
      <w:r>
        <w:rPr>
          <w:highlight w:val="none"/>
        </w:rPr>
        <w:t>公顷，占全县国土面积的</w:t>
      </w:r>
      <w:r>
        <w:rPr>
          <w:rFonts w:hint="eastAsia"/>
          <w:highlight w:val="none"/>
        </w:rPr>
        <w:t>5.25</w:t>
      </w:r>
      <w:r>
        <w:rPr>
          <w:highlight w:val="none"/>
        </w:rPr>
        <w:t>%。</w:t>
      </w:r>
      <w:r>
        <w:rPr>
          <w:rFonts w:hint="eastAsia"/>
          <w:highlight w:val="none"/>
        </w:rPr>
        <w:t>其中省级自然保护区1处，面积4420.08公顷，主要保护对象包括：中亚热带常绿阔叶林森林生态系统；国家重点保护的珍稀动植物物种，特别是我国、我省特有物种；国家重点保护动物的栖息地和珍稀植物的原生地；奇特的自然景观资源；新丰江上游水源地。市县级自然保护区3个，面积共7526.51公顷。自然保护区在有效保护自然资源、生态系统和生物多样性等方面发挥了主体作用。</w:t>
      </w:r>
      <w:r>
        <w:rPr>
          <w:highlight w:val="none"/>
        </w:rPr>
        <w:t>各自然保护区具体情况如下表所示。</w:t>
      </w:r>
    </w:p>
    <w:p>
      <w:pPr>
        <w:ind w:firstLine="480"/>
        <w:rPr>
          <w:highlight w:val="none"/>
        </w:rPr>
      </w:pPr>
      <w:r>
        <w:rPr>
          <w:rFonts w:hint="eastAsia"/>
          <w:highlight w:val="none"/>
        </w:rPr>
        <w:t>根据《连平县自然保护地整合优化方案》（2023年3月），连平县对4个自然保护区进行整合优化，整合优化后面积共13846.30公顷，占自然保护地总面积49.61%。保护区级别均为地方级，其中省级自然保护区1个，面积4424.65公顷，占自然保护区总面积的31.96%。</w:t>
      </w:r>
    </w:p>
    <w:p>
      <w:pPr>
        <w:ind w:firstLine="0" w:firstLineChars="0"/>
        <w:jc w:val="center"/>
        <w:rPr>
          <w:b/>
          <w:highlight w:val="none"/>
        </w:rPr>
      </w:pPr>
      <w:r>
        <w:rPr>
          <w:b/>
          <w:highlight w:val="none"/>
        </w:rPr>
        <w:t>表3.1-1</w:t>
      </w:r>
      <w:r>
        <w:rPr>
          <w:rFonts w:hint="eastAsia"/>
          <w:b/>
          <w:highlight w:val="none"/>
        </w:rPr>
        <w:t xml:space="preserve"> 连平</w:t>
      </w:r>
      <w:r>
        <w:rPr>
          <w:b/>
          <w:highlight w:val="none"/>
        </w:rPr>
        <w:t>县自然保护区列表</w:t>
      </w:r>
    </w:p>
    <w:tbl>
      <w:tblPr>
        <w:tblStyle w:val="33"/>
        <w:tblW w:w="8457" w:type="dxa"/>
        <w:jc w:val="center"/>
        <w:tblLayout w:type="autofit"/>
        <w:tblCellMar>
          <w:top w:w="0" w:type="dxa"/>
          <w:left w:w="108" w:type="dxa"/>
          <w:bottom w:w="0" w:type="dxa"/>
          <w:right w:w="108" w:type="dxa"/>
        </w:tblCellMar>
      </w:tblPr>
      <w:tblGrid>
        <w:gridCol w:w="739"/>
        <w:gridCol w:w="3450"/>
        <w:gridCol w:w="854"/>
        <w:gridCol w:w="3414"/>
      </w:tblGrid>
      <w:tr>
        <w:tblPrEx>
          <w:tblCellMar>
            <w:top w:w="0" w:type="dxa"/>
            <w:left w:w="108" w:type="dxa"/>
            <w:bottom w:w="0" w:type="dxa"/>
            <w:right w:w="108" w:type="dxa"/>
          </w:tblCellMar>
        </w:tblPrEx>
        <w:trPr>
          <w:trHeight w:val="302"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序号</w:t>
            </w:r>
          </w:p>
        </w:tc>
        <w:tc>
          <w:tcPr>
            <w:tcW w:w="345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自然保护地名称</w:t>
            </w:r>
          </w:p>
        </w:tc>
        <w:tc>
          <w:tcPr>
            <w:tcW w:w="85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级别</w:t>
            </w:r>
          </w:p>
        </w:tc>
        <w:tc>
          <w:tcPr>
            <w:tcW w:w="3414"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主要保护对象</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河源黄牛石自然保护区</w:t>
            </w:r>
          </w:p>
        </w:tc>
        <w:tc>
          <w:tcPr>
            <w:tcW w:w="854" w:type="dxa"/>
            <w:vMerge w:val="restart"/>
            <w:tcBorders>
              <w:top w:val="nil"/>
              <w:left w:val="nil"/>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地方级</w:t>
            </w:r>
          </w:p>
        </w:tc>
        <w:tc>
          <w:tcPr>
            <w:tcW w:w="3414" w:type="dxa"/>
            <w:tcBorders>
              <w:top w:val="nil"/>
              <w:left w:val="nil"/>
              <w:bottom w:val="single" w:color="auto" w:sz="4" w:space="0"/>
              <w:right w:val="single" w:color="auto" w:sz="4" w:space="0"/>
            </w:tcBorders>
          </w:tcPr>
          <w:p>
            <w:pPr>
              <w:widowControl/>
              <w:spacing w:line="240" w:lineRule="auto"/>
              <w:ind w:firstLine="0" w:firstLineChars="0"/>
              <w:jc w:val="left"/>
              <w:rPr>
                <w:color w:val="000000"/>
                <w:kern w:val="0"/>
                <w:sz w:val="21"/>
                <w:szCs w:val="21"/>
                <w:highlight w:val="none"/>
              </w:rPr>
            </w:pPr>
            <w:r>
              <w:rPr>
                <w:rFonts w:hint="eastAsia"/>
                <w:color w:val="000000"/>
                <w:kern w:val="0"/>
                <w:sz w:val="21"/>
                <w:szCs w:val="21"/>
                <w:highlight w:val="none"/>
              </w:rPr>
              <w:t>中亚热带常绿阔叶林森林生态系统；国家重点保护的珍稀动植物物种，特别是我国、我省特有物种；国家重点保护动物的栖息地和珍稀植物的原生地；奇特的自然景观资源；新丰江上游水源地</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河源连平西山自然保护区</w:t>
            </w:r>
          </w:p>
        </w:tc>
        <w:tc>
          <w:tcPr>
            <w:tcW w:w="854" w:type="dxa"/>
            <w:vMerge w:val="continue"/>
            <w:tcBorders>
              <w:left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3414" w:type="dxa"/>
            <w:tcBorders>
              <w:top w:val="nil"/>
              <w:left w:val="single" w:color="auto" w:sz="4" w:space="0"/>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阔叶林珍稀动植物</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河源连平河头自然保护区</w:t>
            </w:r>
          </w:p>
        </w:tc>
        <w:tc>
          <w:tcPr>
            <w:tcW w:w="854"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14" w:type="dxa"/>
            <w:tcBorders>
              <w:top w:val="nil"/>
              <w:left w:val="single" w:color="auto" w:sz="4" w:space="0"/>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阔叶林珍稀动植物</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河源连平雷公寨自然保护区</w:t>
            </w:r>
          </w:p>
        </w:tc>
        <w:tc>
          <w:tcPr>
            <w:tcW w:w="85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14" w:type="dxa"/>
            <w:tcBorders>
              <w:top w:val="nil"/>
              <w:left w:val="single" w:color="auto" w:sz="4" w:space="0"/>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阔叶林珍稀动植物</w:t>
            </w:r>
          </w:p>
        </w:tc>
      </w:tr>
    </w:tbl>
    <w:p>
      <w:pPr>
        <w:ind w:firstLine="0" w:firstLineChars="0"/>
        <w:rPr>
          <w:color w:val="FF0000"/>
          <w:highlight w:val="none"/>
        </w:rPr>
        <w:sectPr>
          <w:pgSz w:w="11907" w:h="16840"/>
          <w:pgMar w:top="1440" w:right="1803" w:bottom="1440" w:left="1803" w:header="851" w:footer="992" w:gutter="0"/>
          <w:cols w:space="0" w:num="1"/>
          <w:docGrid w:type="lines" w:linePitch="326" w:charSpace="0"/>
        </w:sectPr>
      </w:pPr>
    </w:p>
    <w:p>
      <w:pPr>
        <w:pStyle w:val="90"/>
        <w:numPr>
          <w:ilvl w:val="3"/>
          <w:numId w:val="1"/>
        </w:numPr>
        <w:spacing w:before="0" w:beforeLines="0" w:after="0" w:afterLines="0"/>
        <w:ind w:left="0" w:firstLine="0"/>
        <w:rPr>
          <w:rFonts w:eastAsia="宋体"/>
          <w:highlight w:val="none"/>
        </w:rPr>
      </w:pPr>
      <w:r>
        <w:rPr>
          <w:rFonts w:hint="eastAsia" w:eastAsia="宋体"/>
          <w:highlight w:val="none"/>
        </w:rPr>
        <w:t>自然公园</w:t>
      </w:r>
    </w:p>
    <w:p>
      <w:pPr>
        <w:ind w:firstLine="480"/>
        <w:rPr>
          <w:highlight w:val="none"/>
        </w:rPr>
      </w:pPr>
      <w:r>
        <w:rPr>
          <w:rFonts w:hint="eastAsia"/>
          <w:highlight w:val="none"/>
        </w:rPr>
        <w:t>连平县地处九连山腹地，地形地貌复杂多样，群山环抱、溪河遍布、树木茂盛，多处于半自然状态，自然景观除黄牛石自然保护区外，还有陂头溶洞洞群、九连山阔叶林以及分布在全县各地的各类自然风景。2008年连平县批准设立鹤湖、金花洞森林公园，2013年原广东省国土资源厅批准建广东连平陂头省级地质公园，2014年连平县批复设立全县第一个湿地公园。目前（整合优化前）全县共有森林公园5个，均为地方级，总面积7637.65公顷。其中：省级森林公园1个，面积534.86公顷；市县级森林公园4个，面积共7102.79公顷。全县共有地质公园1个、湿地公园1个，分别为地方级（省级）地质公园、地方级（县级）湿地公园，面积分别为3232.20公顷和128.78公顷。</w:t>
      </w:r>
    </w:p>
    <w:p>
      <w:pPr>
        <w:ind w:firstLine="480"/>
        <w:rPr>
          <w:highlight w:val="none"/>
        </w:rPr>
        <w:sectPr>
          <w:pgSz w:w="11907" w:h="16840"/>
          <w:pgMar w:top="1440" w:right="1803" w:bottom="1440" w:left="1803" w:header="851" w:footer="992" w:gutter="0"/>
          <w:cols w:space="0" w:num="1"/>
          <w:docGrid w:type="lines" w:linePitch="326" w:charSpace="0"/>
        </w:sectPr>
      </w:pPr>
      <w:r>
        <w:rPr>
          <w:rFonts w:hint="eastAsia"/>
          <w:highlight w:val="none"/>
        </w:rPr>
        <w:t>连平县已完成自然保护地整合优化方案编制，目前尚未取得批复。根据《连平县自然保护地整合优化方案》（2023年3月），连平县整合优化后森林公园、湿地公园和地质公园等自然公园共10个，总面积14062.31公顷，占自然保护地总面积的50.39%。从自然公园类别来看，森林公园8个，面积10870.88公顷，占自然公园总面积77.31%，其中省级森林公园1个，面积751.73公顷，占森林公园面积的6.92%；湿地公园1个，为地方级湿地公园，面积134.04公顷，占自然公园总面积0.95%；地质公园1个，为地方级（省级）地质公园，面积3057.39公顷，占自然公园总面积21.74%。整合优化前后自然公园名单详见表3.1-2，整合优化后自然公园分布详见图3.1-2。</w:t>
      </w:r>
    </w:p>
    <w:p>
      <w:pPr>
        <w:ind w:firstLine="0" w:firstLineChars="0"/>
        <w:jc w:val="center"/>
        <w:rPr>
          <w:b/>
          <w:highlight w:val="none"/>
        </w:rPr>
      </w:pPr>
      <w:r>
        <w:rPr>
          <w:rFonts w:hint="eastAsia"/>
          <w:b/>
          <w:highlight w:val="none"/>
        </w:rPr>
        <w:t>表3.1-2 连平县自然公园列表</w:t>
      </w:r>
    </w:p>
    <w:tbl>
      <w:tblPr>
        <w:tblStyle w:val="33"/>
        <w:tblW w:w="4850"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1"/>
        <w:gridCol w:w="1986"/>
        <w:gridCol w:w="1136"/>
        <w:gridCol w:w="3399"/>
        <w:gridCol w:w="1843"/>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72" w:type="pct"/>
            <w:gridSpan w:val="3"/>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整合优化前</w:t>
            </w:r>
          </w:p>
        </w:tc>
        <w:tc>
          <w:tcPr>
            <w:tcW w:w="2628" w:type="pct"/>
            <w:gridSpan w:val="3"/>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整合优化后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pct"/>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自然公园名称</w:t>
            </w:r>
          </w:p>
        </w:tc>
        <w:tc>
          <w:tcPr>
            <w:tcW w:w="722" w:type="pct"/>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类别</w:t>
            </w:r>
          </w:p>
        </w:tc>
        <w:tc>
          <w:tcPr>
            <w:tcW w:w="413" w:type="pct"/>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级别</w:t>
            </w:r>
          </w:p>
        </w:tc>
        <w:tc>
          <w:tcPr>
            <w:tcW w:w="1236" w:type="pct"/>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自然公园名称</w:t>
            </w:r>
          </w:p>
        </w:tc>
        <w:tc>
          <w:tcPr>
            <w:tcW w:w="670" w:type="pct"/>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类别</w:t>
            </w:r>
          </w:p>
        </w:tc>
        <w:tc>
          <w:tcPr>
            <w:tcW w:w="722" w:type="pct"/>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河源九连山省级森林公园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省级 </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河源九连山地方级森林公园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河源连平金花洞县级森林公园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县级 </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河源连平金花洞地方级森林公园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河源连平鹤湖县级森林公园 </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县级 </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河源连平鹤湖地方级森林公园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河源连平洲隆山县级森林公园 </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县级 </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河源连平清沟水地方级森林公园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河源连平陂头燕岩县级森林公园 </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县级 </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河源连平朝天马地方级森林公园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河源连平石天井地方级森林公园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河源连平小水三洞地方级森林公园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河源连平科罗笔地方级森林公园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河源连平瓮潭县级湿地公园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湿地公园</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县级</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河源连平瓮潭地方级湿地公园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湿地公园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地方级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37"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河源陂头省级地质公园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地质公园</w:t>
            </w:r>
          </w:p>
        </w:tc>
        <w:tc>
          <w:tcPr>
            <w:tcW w:w="413"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省级 </w:t>
            </w:r>
          </w:p>
        </w:tc>
        <w:tc>
          <w:tcPr>
            <w:tcW w:w="1236"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河源陂头地方级地质公园</w:t>
            </w:r>
          </w:p>
        </w:tc>
        <w:tc>
          <w:tcPr>
            <w:tcW w:w="670"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地质公园</w:t>
            </w:r>
          </w:p>
        </w:tc>
        <w:tc>
          <w:tcPr>
            <w:tcW w:w="722" w:type="pc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 xml:space="preserve">地方级 </w:t>
            </w:r>
          </w:p>
        </w:tc>
      </w:tr>
    </w:tbl>
    <w:p>
      <w:pPr>
        <w:pStyle w:val="89"/>
        <w:numPr>
          <w:ilvl w:val="2"/>
          <w:numId w:val="1"/>
        </w:numPr>
        <w:ind w:left="0" w:firstLine="0"/>
        <w:rPr>
          <w:rFonts w:eastAsia="宋体"/>
          <w:color w:val="FF0000"/>
          <w:highlight w:val="none"/>
        </w:rPr>
        <w:sectPr>
          <w:pgSz w:w="16840" w:h="11907" w:orient="landscape"/>
          <w:pgMar w:top="1803" w:right="1440" w:bottom="1803" w:left="1440" w:header="851" w:footer="992" w:gutter="0"/>
          <w:cols w:space="0" w:num="1"/>
          <w:docGrid w:type="lines" w:linePitch="326" w:charSpace="0"/>
        </w:sectPr>
      </w:pPr>
    </w:p>
    <w:p>
      <w:pPr>
        <w:pStyle w:val="89"/>
        <w:numPr>
          <w:ilvl w:val="2"/>
          <w:numId w:val="1"/>
        </w:numPr>
        <w:ind w:left="0" w:firstLine="0"/>
        <w:rPr>
          <w:rFonts w:eastAsia="宋体"/>
          <w:highlight w:val="none"/>
        </w:rPr>
      </w:pPr>
      <w:bookmarkStart w:id="59" w:name="_Toc140764105"/>
      <w:r>
        <w:rPr>
          <w:rFonts w:hint="eastAsia" w:eastAsia="宋体"/>
          <w:highlight w:val="none"/>
        </w:rPr>
        <w:t>重要水源保护和涵养区</w:t>
      </w:r>
      <w:bookmarkEnd w:id="59"/>
    </w:p>
    <w:p>
      <w:pPr>
        <w:ind w:firstLine="480"/>
        <w:rPr>
          <w:highlight w:val="none"/>
        </w:rPr>
      </w:pPr>
      <w:r>
        <w:rPr>
          <w:rFonts w:hint="eastAsia"/>
          <w:highlight w:val="none"/>
        </w:rPr>
        <w:t>连平县共划定饮用水源保护区1</w:t>
      </w:r>
      <w:r>
        <w:rPr>
          <w:rFonts w:hint="eastAsia"/>
          <w:highlight w:val="none"/>
          <w:lang w:val="en-US" w:eastAsia="zh-CN"/>
        </w:rPr>
        <w:t>7</w:t>
      </w:r>
      <w:r>
        <w:rPr>
          <w:rFonts w:hint="eastAsia"/>
          <w:highlight w:val="none"/>
        </w:rPr>
        <w:t>个，全部位于东江流域。按水源地级别分，县级以上集中式饮用水源保护区2个、乡镇集中式饮用水源保护区1</w:t>
      </w:r>
      <w:r>
        <w:rPr>
          <w:rFonts w:hint="eastAsia"/>
          <w:highlight w:val="none"/>
          <w:lang w:val="en-US" w:eastAsia="zh-CN"/>
        </w:rPr>
        <w:t>5</w:t>
      </w:r>
      <w:r>
        <w:rPr>
          <w:rFonts w:hint="eastAsia"/>
          <w:highlight w:val="none"/>
        </w:rPr>
        <w:t>个；按水源保护区类型分，河流型饮用水源保护区1</w:t>
      </w:r>
      <w:r>
        <w:rPr>
          <w:rFonts w:hint="eastAsia"/>
          <w:highlight w:val="none"/>
          <w:lang w:val="en-US" w:eastAsia="zh-CN"/>
        </w:rPr>
        <w:t>2</w:t>
      </w:r>
      <w:r>
        <w:rPr>
          <w:rFonts w:hint="eastAsia"/>
          <w:highlight w:val="none"/>
        </w:rPr>
        <w:t>个，水库型饮用水源保护区5个。连平县饮用水源保护区清单详见表3.1-3，饮用水源保护区分布详见图3.1-3。</w:t>
      </w:r>
    </w:p>
    <w:p>
      <w:pPr>
        <w:ind w:firstLine="0" w:firstLineChars="0"/>
        <w:jc w:val="center"/>
        <w:rPr>
          <w:b/>
          <w:highlight w:val="none"/>
        </w:rPr>
      </w:pPr>
      <w:r>
        <w:rPr>
          <w:rFonts w:hint="eastAsia"/>
          <w:b/>
          <w:highlight w:val="none"/>
        </w:rPr>
        <w:t>表3.1-3 连平县饮用水源保护区列表</w:t>
      </w:r>
    </w:p>
    <w:tbl>
      <w:tblPr>
        <w:tblStyle w:val="33"/>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3051"/>
        <w:gridCol w:w="1061"/>
        <w:gridCol w:w="849"/>
        <w:gridCol w:w="849"/>
        <w:gridCol w:w="1110"/>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325" w:type="pct"/>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序号</w:t>
            </w:r>
          </w:p>
        </w:tc>
        <w:tc>
          <w:tcPr>
            <w:tcW w:w="1746" w:type="pct"/>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保护区名称</w:t>
            </w:r>
          </w:p>
        </w:tc>
        <w:tc>
          <w:tcPr>
            <w:tcW w:w="607" w:type="pct"/>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所在</w:t>
            </w:r>
          </w:p>
          <w:p>
            <w:pPr>
              <w:widowControl/>
              <w:spacing w:line="240" w:lineRule="auto"/>
              <w:ind w:firstLine="0" w:firstLineChars="0"/>
              <w:jc w:val="center"/>
              <w:rPr>
                <w:b/>
                <w:bCs/>
                <w:kern w:val="0"/>
                <w:sz w:val="21"/>
                <w:szCs w:val="21"/>
                <w:highlight w:val="none"/>
              </w:rPr>
            </w:pPr>
            <w:r>
              <w:rPr>
                <w:b/>
                <w:bCs/>
                <w:kern w:val="0"/>
                <w:sz w:val="21"/>
                <w:szCs w:val="21"/>
                <w:highlight w:val="none"/>
              </w:rPr>
              <w:t>镇街</w:t>
            </w:r>
          </w:p>
        </w:tc>
        <w:tc>
          <w:tcPr>
            <w:tcW w:w="485" w:type="pct"/>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水源地级别</w:t>
            </w:r>
          </w:p>
        </w:tc>
        <w:tc>
          <w:tcPr>
            <w:tcW w:w="485" w:type="pct"/>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水源地类型</w:t>
            </w:r>
          </w:p>
        </w:tc>
        <w:tc>
          <w:tcPr>
            <w:tcW w:w="635" w:type="pct"/>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所在流域</w:t>
            </w:r>
          </w:p>
        </w:tc>
        <w:tc>
          <w:tcPr>
            <w:tcW w:w="714" w:type="pct"/>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水质类别要求（达到或优于）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连平县密溪河饮用水水源保护区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元善镇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县级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2</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连平县鹤湖河饮用水源保护区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元善镇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县级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水库型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3</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陂头长坑山水饮用水源保护区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陂头镇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北江流域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4</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大湖瓮潭水饮用水源保护区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大湖镇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水库型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5</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高莞高莞水库饮用水源保护区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高莞镇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6</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高莞甘坑水饮用水源保护区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高莞镇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7</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隆街古石灌渠饮用水源保护区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隆街镇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8</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内莞大塘缺水饮用水源保护区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内莞镇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9</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三角称沟水水库饮用水源保护区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三角镇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10</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上坪打石坑水饮用水源保护区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上坪镇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11</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田源船洞水饮用水源保护区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田源镇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12</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溪山石坑河饮用水源保护区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溪山镇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13</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绣缎小溪尾水库饮用水源保护区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绣缎镇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14</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油溪倚人石水饮用水源保护区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油溪镇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15</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忠信桥南岗水饮用水源保护区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忠信镇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16</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连平县溪山镇岐山水饮用水源保护区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溪山镇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25" w:type="pct"/>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17</w:t>
            </w:r>
          </w:p>
        </w:tc>
        <w:tc>
          <w:tcPr>
            <w:tcW w:w="1746"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连平县隆街镇白木坑饮用水源保护区</w:t>
            </w:r>
          </w:p>
        </w:tc>
        <w:tc>
          <w:tcPr>
            <w:tcW w:w="607"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隆街镇</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镇级</w:t>
            </w:r>
          </w:p>
        </w:tc>
        <w:tc>
          <w:tcPr>
            <w:tcW w:w="485"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河流型</w:t>
            </w:r>
          </w:p>
        </w:tc>
        <w:tc>
          <w:tcPr>
            <w:tcW w:w="635" w:type="pct"/>
            <w:shd w:val="clear" w:color="auto" w:fill="auto"/>
            <w:noWrap/>
            <w:vAlign w:val="center"/>
          </w:tcPr>
          <w:p>
            <w:pPr>
              <w:widowControl/>
              <w:spacing w:line="240" w:lineRule="auto"/>
              <w:ind w:firstLine="0" w:firstLineChars="0"/>
              <w:jc w:val="center"/>
              <w:rPr>
                <w:bCs/>
                <w:kern w:val="0"/>
                <w:sz w:val="21"/>
                <w:szCs w:val="21"/>
                <w:highlight w:val="none"/>
              </w:rPr>
            </w:pPr>
            <w:r>
              <w:rPr>
                <w:bCs/>
                <w:kern w:val="0"/>
                <w:sz w:val="21"/>
                <w:szCs w:val="21"/>
                <w:highlight w:val="none"/>
              </w:rPr>
              <w:t>东江流域</w:t>
            </w:r>
          </w:p>
        </w:tc>
        <w:tc>
          <w:tcPr>
            <w:tcW w:w="714" w:type="pct"/>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II类</w:t>
            </w:r>
          </w:p>
        </w:tc>
      </w:tr>
    </w:tbl>
    <w:p>
      <w:pPr>
        <w:pStyle w:val="89"/>
        <w:numPr>
          <w:ilvl w:val="2"/>
          <w:numId w:val="1"/>
        </w:numPr>
        <w:ind w:left="0" w:firstLine="0"/>
        <w:rPr>
          <w:rFonts w:eastAsia="宋体"/>
          <w:color w:val="FF0000"/>
          <w:highlight w:val="none"/>
        </w:rPr>
        <w:sectPr>
          <w:pgSz w:w="11907" w:h="16840"/>
          <w:pgMar w:top="1440" w:right="1803" w:bottom="1440" w:left="1803" w:header="851" w:footer="992" w:gutter="0"/>
          <w:cols w:space="0" w:num="1"/>
          <w:docGrid w:type="lines" w:linePitch="326" w:charSpace="0"/>
        </w:sectPr>
      </w:pPr>
    </w:p>
    <w:p>
      <w:pPr>
        <w:pStyle w:val="89"/>
        <w:numPr>
          <w:ilvl w:val="2"/>
          <w:numId w:val="1"/>
        </w:numPr>
        <w:ind w:left="0" w:firstLine="0"/>
        <w:rPr>
          <w:rFonts w:eastAsia="宋体"/>
          <w:highlight w:val="none"/>
        </w:rPr>
      </w:pPr>
      <w:bookmarkStart w:id="60" w:name="_Toc140764106"/>
      <w:r>
        <w:rPr>
          <w:rFonts w:hint="eastAsia" w:eastAsia="宋体"/>
          <w:highlight w:val="none"/>
        </w:rPr>
        <w:t>重要水土保持区</w:t>
      </w:r>
      <w:bookmarkEnd w:id="60"/>
    </w:p>
    <w:p>
      <w:pPr>
        <w:ind w:firstLine="480"/>
        <w:rPr>
          <w:highlight w:val="none"/>
        </w:rPr>
      </w:pPr>
      <w:r>
        <w:rPr>
          <w:highlight w:val="none"/>
        </w:rPr>
        <w:t>根据</w:t>
      </w:r>
      <w:r>
        <w:rPr>
          <w:rFonts w:hint="eastAsia"/>
          <w:highlight w:val="none"/>
        </w:rPr>
        <w:t>《河源市水土保护规划（2019-2030年）》，基于广东省第四次水土流失遥感普查成果报告、河源市2019年统计年鉴及 2013-2019历年的水土流失综合治理统计数据，将河源市划分为3个五级区，分别为：北部、南部山地丘陵土壤保持和水源涵养区（I）、中部低山丘陵生态维护和水源涵养区（Ⅱ）和中部平原人居环境维护和水质维护区（Ⅲ）。其中，连平县位于北部、南部山地丘陵土壤保持和水源涵养区（I）。</w:t>
      </w:r>
    </w:p>
    <w:p>
      <w:pPr>
        <w:ind w:firstLine="480"/>
        <w:rPr>
          <w:highlight w:val="none"/>
        </w:rPr>
      </w:pPr>
      <w:r>
        <w:rPr>
          <w:rFonts w:hint="eastAsia"/>
          <w:highlight w:val="none"/>
        </w:rPr>
        <w:t>该区域特点：①地形以山地、丘陵居多；②林地面积大，自然保护区多；③土地资源相对丰富，目前各类建设用地开发强度小；④土壤土层深厚，但含沙量大，崩岗易发区。水土流失主要原因：城镇扩张、采石、采矿取土、修路、坡耕地农业生产。所造成水土流失威胁到生态林区及饮用水源的安全。</w:t>
      </w:r>
    </w:p>
    <w:p>
      <w:pPr>
        <w:ind w:firstLine="480"/>
        <w:rPr>
          <w:highlight w:val="none"/>
        </w:rPr>
      </w:pPr>
      <w:r>
        <w:rPr>
          <w:rFonts w:hint="eastAsia"/>
          <w:highlight w:val="none"/>
        </w:rPr>
        <w:t>区域存在以下主要问题：人口密度低，生产、采矿、取土活动较为频繁，人地矛盾突出，坡地垦植率高，坡地开发、陡坡开荒种植经济林等。加之台风暴雨活动强烈，极易造成水土流失；人为侵蚀现象较普遍，加剧了水土流失。</w:t>
      </w:r>
    </w:p>
    <w:p>
      <w:pPr>
        <w:ind w:firstLine="480"/>
        <w:rPr>
          <w:highlight w:val="none"/>
        </w:rPr>
      </w:pPr>
      <w:r>
        <w:rPr>
          <w:rFonts w:hint="eastAsia"/>
          <w:highlight w:val="none"/>
        </w:rPr>
        <w:t>水土流失防治方向：①实施重要水源地上游和水库开发利用区预防保护措施，维护现有植被和自然生态系统，扩大森林面积，涵养水源，并在主要河流两岸和水库周边营造水源防护林，控制面源污染；②加强山地丘陵地区的水土保持生态建设，点面结合，开展清洁小流域治理；生态发展区要坚持生态环保为主，加快建设重点生态功能保护区，确保生态功能的恢复和保育，逐步恢复生态平衡，遏制可能出现的生态环境质量下降趋势；③严格控制山地开发活动，实施开发建设项目准入制，加强生态环境保护，加强园区建设、交通运输等生产建设活动监督管理。禁止开发区要实施强制性保护，研究制定符合实际的生态补偿政策，严禁不符合规定的任何开发活动，依法关停所有排放企业，实现零排放；④在禁火期和禁火区域继续推行严格的禁火令，做好防火劝导宣传，加强监督管理，从源头控制火烧迹地的产生；⑤采取综合治理模式进行崩岗治理，通过建立工程防护体系，营造水土保持林草，恢复植被，控制水土流失，改善区域生态环境。</w:t>
      </w:r>
    </w:p>
    <w:p>
      <w:pPr>
        <w:pStyle w:val="89"/>
        <w:numPr>
          <w:ilvl w:val="0"/>
          <w:numId w:val="0"/>
        </w:numPr>
        <w:rPr>
          <w:rFonts w:eastAsia="宋体"/>
          <w:color w:val="FF0000"/>
          <w:highlight w:val="none"/>
          <w:lang w:val="en-US"/>
        </w:rPr>
        <w:sectPr>
          <w:pgSz w:w="11907" w:h="16840"/>
          <w:pgMar w:top="1440" w:right="1803" w:bottom="1440" w:left="1803" w:header="851" w:footer="992" w:gutter="0"/>
          <w:cols w:space="0" w:num="1"/>
          <w:docGrid w:type="lines" w:linePitch="326" w:charSpace="0"/>
        </w:sectPr>
      </w:pPr>
    </w:p>
    <w:p>
      <w:pPr>
        <w:pStyle w:val="87"/>
        <w:ind w:left="0" w:firstLine="0"/>
        <w:rPr>
          <w:rFonts w:eastAsia="宋体"/>
          <w:color w:val="auto"/>
          <w:sz w:val="28"/>
          <w:szCs w:val="21"/>
          <w:highlight w:val="none"/>
        </w:rPr>
      </w:pPr>
      <w:bookmarkStart w:id="61" w:name="_Toc140764107"/>
      <w:r>
        <w:rPr>
          <w:rFonts w:hint="eastAsia" w:eastAsia="宋体"/>
          <w:color w:val="auto"/>
          <w:sz w:val="28"/>
          <w:szCs w:val="21"/>
          <w:highlight w:val="none"/>
        </w:rPr>
        <w:t>生态</w:t>
      </w:r>
      <w:r>
        <w:rPr>
          <w:rFonts w:eastAsia="宋体"/>
          <w:color w:val="auto"/>
          <w:sz w:val="28"/>
          <w:szCs w:val="21"/>
          <w:highlight w:val="none"/>
        </w:rPr>
        <w:t>空间</w:t>
      </w:r>
      <w:r>
        <w:rPr>
          <w:rFonts w:hint="eastAsia" w:eastAsia="宋体"/>
          <w:color w:val="auto"/>
          <w:sz w:val="28"/>
          <w:szCs w:val="21"/>
          <w:highlight w:val="none"/>
        </w:rPr>
        <w:t>总体分布</w:t>
      </w:r>
      <w:bookmarkEnd w:id="61"/>
    </w:p>
    <w:p>
      <w:pPr>
        <w:ind w:firstLine="480"/>
        <w:rPr>
          <w:highlight w:val="none"/>
        </w:rPr>
      </w:pPr>
      <w:r>
        <w:rPr>
          <w:rFonts w:hint="eastAsia"/>
          <w:highlight w:val="none"/>
        </w:rPr>
        <w:t>生态空间除了生态保护红线外的区域为一般生态空间。根据《河源市“三线一单”生态环境分区管控方案》（2021年），连平县生态保护红线面积832.43</w:t>
      </w:r>
      <w:r>
        <w:rPr>
          <w:rFonts w:hint="eastAsia"/>
          <w:highlight w:val="none"/>
          <w:lang w:val="en-US" w:eastAsia="zh-CN"/>
        </w:rPr>
        <w:t>平方千米</w:t>
      </w:r>
      <w:r>
        <w:rPr>
          <w:rFonts w:hint="eastAsia"/>
          <w:highlight w:val="none"/>
        </w:rPr>
        <w:t>，占全县国土面积的36.59%；一般生态空间297.79</w:t>
      </w:r>
      <w:r>
        <w:rPr>
          <w:rFonts w:hint="eastAsia"/>
          <w:highlight w:val="none"/>
          <w:lang w:val="en-US" w:eastAsia="zh-CN"/>
        </w:rPr>
        <w:t>平方千米</w:t>
      </w:r>
      <w:r>
        <w:rPr>
          <w:rFonts w:hint="eastAsia"/>
          <w:highlight w:val="none"/>
        </w:rPr>
        <w:t>，占全县国土面积的13.09%；生态空间合计1130.22</w:t>
      </w:r>
      <w:r>
        <w:rPr>
          <w:rFonts w:hint="eastAsia"/>
          <w:highlight w:val="none"/>
          <w:lang w:val="en-US" w:eastAsia="zh-CN"/>
        </w:rPr>
        <w:t>平方千米</w:t>
      </w:r>
      <w:r>
        <w:rPr>
          <w:rFonts w:hint="eastAsia"/>
          <w:highlight w:val="none"/>
        </w:rPr>
        <w:t>，占全县国土面积的49.68%。</w:t>
      </w:r>
    </w:p>
    <w:p>
      <w:pPr>
        <w:ind w:firstLine="480"/>
        <w:rPr>
          <w:highlight w:val="none"/>
        </w:rPr>
      </w:pPr>
      <w:r>
        <w:rPr>
          <w:rFonts w:hint="eastAsia"/>
          <w:highlight w:val="none"/>
        </w:rPr>
        <w:t>连平县生态保护红线</w:t>
      </w:r>
      <w:r>
        <w:rPr>
          <w:highlight w:val="none"/>
        </w:rPr>
        <w:t>包括南岭山地生物多样性维护</w:t>
      </w:r>
      <w:r>
        <w:rPr>
          <w:rFonts w:hint="eastAsia"/>
          <w:highlight w:val="none"/>
        </w:rPr>
        <w:t>-</w:t>
      </w:r>
      <w:r>
        <w:rPr>
          <w:highlight w:val="none"/>
        </w:rPr>
        <w:t>水源涵养生态保护红线和</w:t>
      </w:r>
      <w:r>
        <w:rPr>
          <w:rFonts w:hint="eastAsia"/>
          <w:highlight w:val="none"/>
        </w:rPr>
        <w:t>东江</w:t>
      </w:r>
      <w:r>
        <w:rPr>
          <w:highlight w:val="none"/>
        </w:rPr>
        <w:t>流域</w:t>
      </w:r>
      <w:r>
        <w:rPr>
          <w:rFonts w:hint="eastAsia"/>
          <w:highlight w:val="none"/>
        </w:rPr>
        <w:t>水源涵养-生物多样性维护生态保护红线，红线类型分别为</w:t>
      </w:r>
      <w:r>
        <w:rPr>
          <w:highlight w:val="none"/>
        </w:rPr>
        <w:t>生物多样性和水源涵养</w:t>
      </w:r>
      <w:r>
        <w:rPr>
          <w:rFonts w:hint="eastAsia"/>
          <w:highlight w:val="none"/>
        </w:rPr>
        <w:t>。其中，生物多样性保护红线分布在陂头镇、上坪镇、元善镇西北部、隆街镇；水源涵养红线主要分布在内莞镇、油溪镇、元善镇南部、田源镇。一般生态空间分布在西北部陂头镇、上坪镇以及西南部溪山镇和田源镇。详见图3.2-1。</w:t>
      </w:r>
    </w:p>
    <w:p>
      <w:pPr>
        <w:ind w:firstLine="480"/>
        <w:rPr>
          <w:highlight w:val="none"/>
        </w:rPr>
        <w:sectPr>
          <w:pgSz w:w="11907" w:h="16840"/>
          <w:pgMar w:top="1440" w:right="1803" w:bottom="1440" w:left="1803" w:header="851" w:footer="992" w:gutter="0"/>
          <w:cols w:space="0" w:num="1"/>
          <w:docGrid w:type="lines" w:linePitch="326" w:charSpace="0"/>
        </w:sectPr>
      </w:pPr>
      <w:r>
        <w:rPr>
          <w:highlight w:val="none"/>
        </w:rPr>
        <w:t>总体来看</w:t>
      </w:r>
      <w:r>
        <w:rPr>
          <w:rFonts w:hint="eastAsia"/>
          <w:highlight w:val="none"/>
        </w:rPr>
        <w:t>，连平县陂头镇、上坪镇、元善镇西北部、隆街镇等西北部区域以生态功能以生物多样性保护为主，内莞镇、油溪镇、元善镇南部、田源镇等中部和西南部区域以水源涵养功能为主。严格落实“三线一单”区域布局管控要求，优先保护生态空间，严格控制开发强度，保育生态功能，保护生态系统完整性与生物多样性。生态空间内以维护生态系统功能为主，禁止或限制大规模、高强度的工业和城镇建设，严守生态环境底线，确保生态功能不降低。生态保护红线内，自然保护地核心保护区原则上禁止人为活动，其他区域严格禁止开发性、生产性建设活动，在符合现行法律法规前提下，除国家重大战略项目外，仅允许对生态功能不造成破坏的8类有限人为活动。一般生态空间内，可开展生态保护红线内允许的活动；在不影响主导生态功能的前提下，还可开展国家和省规定不纳入环评管理的项目建设，以及生态旅游、生态农业、基础设施建设、村庄建设等人为活动；人工商品林允许依法进行抚育采伐、择伐和树种更新等经营活动。</w:t>
      </w:r>
    </w:p>
    <w:p>
      <w:pPr>
        <w:pStyle w:val="87"/>
        <w:ind w:left="0" w:firstLine="0"/>
        <w:rPr>
          <w:rFonts w:eastAsia="宋体"/>
          <w:color w:val="auto"/>
          <w:sz w:val="28"/>
          <w:szCs w:val="21"/>
          <w:highlight w:val="none"/>
        </w:rPr>
      </w:pPr>
      <w:bookmarkStart w:id="62" w:name="_Toc140764108"/>
      <w:r>
        <w:rPr>
          <w:rFonts w:eastAsia="宋体"/>
          <w:color w:val="auto"/>
          <w:sz w:val="28"/>
          <w:szCs w:val="21"/>
          <w:highlight w:val="none"/>
        </w:rPr>
        <w:t>生态环境及问题诊断</w:t>
      </w:r>
      <w:bookmarkEnd w:id="62"/>
    </w:p>
    <w:p>
      <w:pPr>
        <w:pStyle w:val="89"/>
        <w:numPr>
          <w:ilvl w:val="2"/>
          <w:numId w:val="1"/>
        </w:numPr>
        <w:ind w:left="0" w:firstLine="0"/>
        <w:rPr>
          <w:rFonts w:eastAsia="宋体"/>
          <w:highlight w:val="none"/>
        </w:rPr>
      </w:pPr>
      <w:bookmarkStart w:id="63" w:name="_Toc140764109"/>
      <w:r>
        <w:rPr>
          <w:rFonts w:hint="eastAsia" w:eastAsia="宋体"/>
          <w:highlight w:val="none"/>
        </w:rPr>
        <w:t>矿山地质</w:t>
      </w:r>
      <w:r>
        <w:rPr>
          <w:rFonts w:eastAsia="宋体"/>
          <w:highlight w:val="none"/>
        </w:rPr>
        <w:t>环境</w:t>
      </w:r>
      <w:bookmarkEnd w:id="63"/>
    </w:p>
    <w:p>
      <w:pPr>
        <w:pStyle w:val="90"/>
        <w:numPr>
          <w:ilvl w:val="3"/>
          <w:numId w:val="1"/>
        </w:numPr>
        <w:spacing w:before="0" w:beforeLines="0" w:after="0" w:afterLines="0"/>
        <w:ind w:left="0" w:firstLine="0"/>
        <w:rPr>
          <w:rFonts w:eastAsia="宋体"/>
          <w:highlight w:val="none"/>
        </w:rPr>
      </w:pPr>
      <w:r>
        <w:rPr>
          <w:rFonts w:hint="eastAsia" w:eastAsia="宋体"/>
          <w:highlight w:val="none"/>
        </w:rPr>
        <w:t>建设</w:t>
      </w:r>
      <w:r>
        <w:rPr>
          <w:rFonts w:eastAsia="宋体"/>
          <w:highlight w:val="none"/>
        </w:rPr>
        <w:t>现状</w:t>
      </w:r>
    </w:p>
    <w:p>
      <w:pPr>
        <w:ind w:firstLine="480"/>
        <w:rPr>
          <w:highlight w:val="none"/>
        </w:rPr>
      </w:pPr>
      <w:r>
        <w:rPr>
          <w:rFonts w:hint="eastAsia"/>
          <w:highlight w:val="none"/>
        </w:rPr>
        <w:t>（1）</w:t>
      </w:r>
      <w:r>
        <w:rPr>
          <w:highlight w:val="none"/>
        </w:rPr>
        <w:t>持证矿山数量与分布</w:t>
      </w:r>
    </w:p>
    <w:p>
      <w:pPr>
        <w:ind w:firstLine="480"/>
        <w:rPr>
          <w:highlight w:val="none"/>
        </w:rPr>
      </w:pPr>
      <w:r>
        <w:rPr>
          <w:rFonts w:hint="eastAsia"/>
          <w:highlight w:val="none"/>
        </w:rPr>
        <w:t>根据连平县自然资源局提供资料，截至2023年3月，连平县持证有效采矿权为15个，其中隆街镇3个，陂头镇、内莞镇、上坪镇和元善镇均为2个，大湖镇、三角镇、油溪镇和忠信镇均为1个。从开采方式来看，分为露天开采和地下开采，其中露天开采矿权共12个，面积共2.691</w:t>
      </w:r>
      <w:r>
        <w:rPr>
          <w:rFonts w:hint="eastAsia"/>
          <w:highlight w:val="none"/>
          <w:lang w:val="en-US" w:eastAsia="zh-CN"/>
        </w:rPr>
        <w:t>平方千米</w:t>
      </w:r>
      <w:r>
        <w:rPr>
          <w:rFonts w:hint="eastAsia"/>
          <w:highlight w:val="none"/>
        </w:rPr>
        <w:t>；地下开采矿权共3个，面积共1.783</w:t>
      </w:r>
      <w:r>
        <w:rPr>
          <w:rFonts w:hint="eastAsia"/>
          <w:highlight w:val="none"/>
          <w:lang w:val="en-US" w:eastAsia="zh-CN"/>
        </w:rPr>
        <w:t>平方千米</w:t>
      </w:r>
      <w:r>
        <w:rPr>
          <w:rFonts w:hint="eastAsia"/>
          <w:highlight w:val="none"/>
        </w:rPr>
        <w:t>。从建设规模来看，小型矿山共12家，面积共1.060</w:t>
      </w:r>
      <w:r>
        <w:rPr>
          <w:rFonts w:hint="eastAsia"/>
          <w:highlight w:val="none"/>
          <w:lang w:val="en-US" w:eastAsia="zh-CN"/>
        </w:rPr>
        <w:t>平方千米</w:t>
      </w:r>
      <w:r>
        <w:rPr>
          <w:rFonts w:hint="eastAsia"/>
          <w:highlight w:val="none"/>
        </w:rPr>
        <w:t>；中型矿山2家，面积共1.435</w:t>
      </w:r>
      <w:r>
        <w:rPr>
          <w:rFonts w:hint="eastAsia"/>
          <w:highlight w:val="none"/>
          <w:lang w:val="en-US" w:eastAsia="zh-CN"/>
        </w:rPr>
        <w:t>平方千米</w:t>
      </w:r>
      <w:r>
        <w:rPr>
          <w:rFonts w:hint="eastAsia"/>
          <w:highlight w:val="none"/>
        </w:rPr>
        <w:t>；大型矿山1家，面积共1.980</w:t>
      </w:r>
      <w:r>
        <w:rPr>
          <w:rFonts w:hint="eastAsia"/>
          <w:highlight w:val="none"/>
          <w:lang w:val="en-US" w:eastAsia="zh-CN"/>
        </w:rPr>
        <w:t>平方千米</w:t>
      </w:r>
      <w:r>
        <w:rPr>
          <w:rFonts w:hint="eastAsia"/>
          <w:highlight w:val="none"/>
        </w:rPr>
        <w:t>。从生产状态来看，持证在采矿山共4家，面积共3.129</w:t>
      </w:r>
      <w:r>
        <w:rPr>
          <w:rFonts w:hint="eastAsia"/>
          <w:highlight w:val="none"/>
          <w:lang w:val="en-US" w:eastAsia="zh-CN"/>
        </w:rPr>
        <w:t>平方千米</w:t>
      </w:r>
      <w:r>
        <w:rPr>
          <w:rFonts w:hint="eastAsia"/>
          <w:highlight w:val="none"/>
        </w:rPr>
        <w:t>；未开工建设矿山2家，面积共0.170</w:t>
      </w:r>
      <w:r>
        <w:rPr>
          <w:rFonts w:hint="eastAsia"/>
          <w:highlight w:val="none"/>
          <w:lang w:val="en-US" w:eastAsia="zh-CN"/>
        </w:rPr>
        <w:t>平方千米</w:t>
      </w:r>
      <w:r>
        <w:rPr>
          <w:rFonts w:hint="eastAsia"/>
          <w:highlight w:val="none"/>
        </w:rPr>
        <w:t>。</w:t>
      </w:r>
    </w:p>
    <w:p>
      <w:pPr>
        <w:ind w:firstLine="0" w:firstLineChars="0"/>
        <w:rPr>
          <w:color w:val="FF0000"/>
          <w:highlight w:val="none"/>
        </w:rPr>
      </w:pPr>
      <w:r>
        <w:rPr>
          <w:highlight w:val="none"/>
        </w:rPr>
        <w:drawing>
          <wp:inline distT="0" distB="0" distL="0" distR="0">
            <wp:extent cx="5271135" cy="2926080"/>
            <wp:effectExtent l="0" t="0" r="24765" b="2667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firstLine="0" w:firstLineChars="0"/>
        <w:jc w:val="center"/>
        <w:rPr>
          <w:b/>
          <w:highlight w:val="none"/>
        </w:rPr>
      </w:pPr>
      <w:r>
        <w:rPr>
          <w:rFonts w:hint="eastAsia"/>
          <w:b/>
          <w:highlight w:val="none"/>
        </w:rPr>
        <w:t>图3.3-1 连平县持证矿山数量与分布统计图</w:t>
      </w:r>
    </w:p>
    <w:p>
      <w:pPr>
        <w:ind w:firstLine="480"/>
        <w:rPr>
          <w:highlight w:val="none"/>
        </w:rPr>
      </w:pPr>
      <w:r>
        <w:rPr>
          <w:rFonts w:hint="eastAsia"/>
          <w:highlight w:val="none"/>
        </w:rPr>
        <w:t>近年来连平县积极推进绿色矿业发展示范区建设工作，通过矿产资源开发利用整合，加快推进矿产资源开发向集中开采区聚集，严格限制规模小、资源利用率低、破坏环境的矿山，逐步实现规模化、集约化开发，为全市绿色矿山建设起到示范指引作用。根据连平县自然资源局提供的资料，截至2023年4月，连平县15家持证矿山中8家达到绿色矿山建设标准，绿色矿山面积达4.003</w:t>
      </w:r>
      <w:r>
        <w:rPr>
          <w:rFonts w:hint="eastAsia"/>
          <w:highlight w:val="none"/>
          <w:lang w:val="en-US" w:eastAsia="zh-CN"/>
        </w:rPr>
        <w:t>平方千米</w:t>
      </w:r>
      <w:r>
        <w:rPr>
          <w:rFonts w:hint="eastAsia"/>
          <w:highlight w:val="none"/>
        </w:rPr>
        <w:t>，其中2018年、2019年和2022年建成绿色矿山数量分别为3家、2家和3家，面积分别为3.065</w:t>
      </w:r>
      <w:r>
        <w:rPr>
          <w:rFonts w:hint="eastAsia"/>
          <w:highlight w:val="none"/>
          <w:lang w:val="en-US" w:eastAsia="zh-CN"/>
        </w:rPr>
        <w:t>平方千米</w:t>
      </w:r>
      <w:r>
        <w:rPr>
          <w:rFonts w:hint="eastAsia"/>
          <w:highlight w:val="none"/>
        </w:rPr>
        <w:t>、0389</w:t>
      </w:r>
      <w:r>
        <w:rPr>
          <w:rFonts w:hint="eastAsia"/>
          <w:highlight w:val="none"/>
          <w:lang w:val="en-US" w:eastAsia="zh-CN"/>
        </w:rPr>
        <w:t>平方千米</w:t>
      </w:r>
      <w:r>
        <w:rPr>
          <w:rFonts w:hint="eastAsia"/>
          <w:highlight w:val="none"/>
        </w:rPr>
        <w:t>和0.549</w:t>
      </w:r>
      <w:r>
        <w:rPr>
          <w:rFonts w:hint="eastAsia"/>
          <w:highlight w:val="none"/>
          <w:lang w:val="en-US" w:eastAsia="zh-CN"/>
        </w:rPr>
        <w:t>平方千米</w:t>
      </w:r>
      <w:r>
        <w:rPr>
          <w:rFonts w:hint="eastAsia"/>
          <w:highlight w:val="none"/>
        </w:rPr>
        <w:t>。从建设规模来看，全县所有大中型矿山均已达到绿色矿山建设标准。从生产状态来看，绿色矿山中4家为持证在采，4家处于停产，</w:t>
      </w:r>
      <w:r>
        <w:rPr>
          <w:rFonts w:hint="eastAsia"/>
          <w:b/>
          <w:highlight w:val="none"/>
          <w:u w:val="single"/>
        </w:rPr>
        <w:t>现状连平县持证在采矿山达到绿色矿山标准占比为100%。</w:t>
      </w:r>
    </w:p>
    <w:p>
      <w:pPr>
        <w:ind w:firstLine="480"/>
        <w:rPr>
          <w:highlight w:val="none"/>
        </w:rPr>
      </w:pPr>
      <w:r>
        <w:rPr>
          <w:rFonts w:hint="eastAsia"/>
          <w:highlight w:val="none"/>
        </w:rPr>
        <w:t>根据调查，连平县隆街镇古石村官坑石场已提交采矿许可证到期后不再延续承诺书，不列入待建绿色矿山名单。因此，连平县待达标绿色矿山共6家，面积合计0.445</w:t>
      </w:r>
      <w:r>
        <w:rPr>
          <w:rFonts w:hint="eastAsia"/>
          <w:highlight w:val="none"/>
          <w:lang w:val="en-US" w:eastAsia="zh-CN"/>
        </w:rPr>
        <w:t>平方千米</w:t>
      </w:r>
      <w:r>
        <w:rPr>
          <w:rFonts w:hint="eastAsia"/>
          <w:highlight w:val="none"/>
        </w:rPr>
        <w:t>，主要分布在陂头镇、大湖镇、隆街镇、内莞镇和三角镇。</w:t>
      </w:r>
    </w:p>
    <w:p>
      <w:pPr>
        <w:ind w:firstLine="0" w:firstLineChars="0"/>
        <w:rPr>
          <w:color w:val="FF0000"/>
          <w:highlight w:val="none"/>
        </w:rPr>
      </w:pPr>
      <w:r>
        <w:rPr>
          <w:highlight w:val="none"/>
        </w:rPr>
        <w:drawing>
          <wp:inline distT="0" distB="0" distL="0" distR="0">
            <wp:extent cx="5553075" cy="3857625"/>
            <wp:effectExtent l="0" t="0" r="9525"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0" w:firstLineChars="0"/>
        <w:jc w:val="center"/>
        <w:rPr>
          <w:b/>
          <w:highlight w:val="none"/>
        </w:rPr>
      </w:pPr>
      <w:r>
        <w:rPr>
          <w:rFonts w:hint="eastAsia"/>
          <w:b/>
          <w:highlight w:val="none"/>
        </w:rPr>
        <w:t>图3.3-2 连平县绿色矿山建设现状统计图</w:t>
      </w:r>
    </w:p>
    <w:p>
      <w:pPr>
        <w:ind w:firstLine="480"/>
        <w:rPr>
          <w:highlight w:val="none"/>
        </w:rPr>
      </w:pPr>
      <w:r>
        <w:rPr>
          <w:rFonts w:hint="eastAsia"/>
          <w:highlight w:val="none"/>
        </w:rPr>
        <w:t>（2）历史</w:t>
      </w:r>
      <w:r>
        <w:rPr>
          <w:highlight w:val="none"/>
        </w:rPr>
        <w:t>遗留矿山数量与分布</w:t>
      </w:r>
    </w:p>
    <w:p>
      <w:pPr>
        <w:ind w:firstLine="480"/>
        <w:rPr>
          <w:highlight w:val="none"/>
        </w:rPr>
      </w:pPr>
      <w:r>
        <w:rPr>
          <w:rFonts w:hint="eastAsia"/>
          <w:highlight w:val="none"/>
        </w:rPr>
        <w:t>为加快推进全县废弃矿山治理恢复工作，根据《土地复垦条例》（国务院令第592号）、《土地复垦条例实施办法》（原国土资源部令第56号）、《矿山地质环境保护规定》（原国土资源部令第44号）和《自然资源部办公厅关于开展全国历史遗留矿山核查工作的通知》（自然资办函〔2021〕1283 号）等政策法规的有关规定</w:t>
      </w:r>
      <w:r>
        <w:rPr>
          <w:highlight w:val="none"/>
        </w:rPr>
        <w:t>，</w:t>
      </w:r>
      <w:r>
        <w:rPr>
          <w:rFonts w:hint="eastAsia"/>
          <w:highlight w:val="none"/>
        </w:rPr>
        <w:t>2021年连平</w:t>
      </w:r>
      <w:r>
        <w:rPr>
          <w:highlight w:val="none"/>
        </w:rPr>
        <w:t>县组织开展了历史遗留矿山核查工作，</w:t>
      </w:r>
      <w:r>
        <w:rPr>
          <w:rFonts w:hint="eastAsia"/>
          <w:highlight w:val="none"/>
        </w:rPr>
        <w:t>通过卫星影像、历史影像以及现场航拍，结合三调数据、采矿权数据等，最终认定连平县历史遗留矿山图斑78个，</w:t>
      </w:r>
      <w:r>
        <w:rPr>
          <w:highlight w:val="none"/>
        </w:rPr>
        <w:t>面积合计</w:t>
      </w:r>
      <w:r>
        <w:rPr>
          <w:rFonts w:hint="eastAsia"/>
          <w:highlight w:val="none"/>
        </w:rPr>
        <w:t>130.78公顷。从面积上看，绣缎镇历史遗留矿山面积最大，为51.20公顷，占全县历史遗留矿山总面积的39.15%；其次为陂头镇和三角镇，分别为40.17公顷和15.77公顷，分别占总面积的30.71%和12.06%；元善镇、溪山镇、隆街镇、内莞镇、上坪镇、油溪镇和内莞镇历史遗留矿山面积均在10公顷以下。从数量上看，陂头镇历史遗留矿山最多，为28家，占全县历史遗留矿山总数的35.90%，其次为三角镇和绣缎镇，分别为14家和10家，分别占总数的17.95%和12.82%。</w:t>
      </w:r>
    </w:p>
    <w:p>
      <w:pPr>
        <w:ind w:firstLine="480"/>
        <w:rPr>
          <w:highlight w:val="none"/>
        </w:rPr>
      </w:pPr>
      <w:r>
        <w:rPr>
          <w:rFonts w:hint="eastAsia"/>
          <w:highlight w:val="none"/>
        </w:rPr>
        <w:t>历史遗留矿山存在的生态问题主要为挖损、占压、塌陷等土地损毁以及植被破坏等。连平县历史遗留矿山与生态空间位置关系如图3.3-5所示，从图中可以看出，连平县历史遗留矿山生态影响问题重点集中在陂头镇，区域内南岭山地生物多样性维护-水源涵养生态保护红线及一般生态空间范围内存在历史遗留矿山图斑，涉及到的自然保护地为河源陂头地方级地质公园。根据调查，2022年连平县选定位于陂头镇、三角镇相对集中连片的4个项目共24个图斑实施修复，总面积43.24公顷，比省下达修复任务34.19公顷增加9.05公顷。截至2022年底，已完成生态修复方案编制工作并完成治理修复面积8.11公顷。历史遗留矿山修复项目对恢复生态环境、提升生态环境承载力、筑牢绿色生态屏障等方面均有十分重要的意义。</w:t>
      </w:r>
    </w:p>
    <w:p>
      <w:pPr>
        <w:ind w:firstLine="480"/>
        <w:rPr>
          <w:highlight w:val="none"/>
        </w:rPr>
        <w:sectPr>
          <w:pgSz w:w="11907" w:h="16840"/>
          <w:pgMar w:top="1440" w:right="1803" w:bottom="1440" w:left="1803" w:header="851" w:footer="992" w:gutter="0"/>
          <w:cols w:space="0" w:num="1"/>
          <w:docGrid w:type="lines" w:linePitch="326" w:charSpace="0"/>
        </w:sectPr>
      </w:pPr>
    </w:p>
    <w:p>
      <w:pPr>
        <w:ind w:left="-480" w:leftChars="-200" w:firstLine="0" w:firstLineChars="0"/>
        <w:rPr>
          <w:color w:val="FF0000"/>
          <w:highlight w:val="none"/>
        </w:rPr>
      </w:pPr>
      <w:r>
        <w:rPr>
          <w:highlight w:val="none"/>
        </w:rPr>
        <w:drawing>
          <wp:inline distT="0" distB="0" distL="0" distR="0">
            <wp:extent cx="5895975" cy="348615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0" w:firstLineChars="0"/>
        <w:jc w:val="center"/>
        <w:rPr>
          <w:b/>
          <w:highlight w:val="none"/>
        </w:rPr>
      </w:pPr>
      <w:r>
        <w:rPr>
          <w:rFonts w:hint="eastAsia"/>
          <w:b/>
          <w:highlight w:val="none"/>
        </w:rPr>
        <w:t>图3.3-3 连平县历史遗留矿山现状统计图</w:t>
      </w:r>
    </w:p>
    <w:p>
      <w:pPr>
        <w:ind w:firstLine="0" w:firstLineChars="0"/>
        <w:jc w:val="center"/>
        <w:rPr>
          <w:b/>
          <w:highlight w:val="none"/>
        </w:rPr>
      </w:pPr>
      <w:r>
        <w:rPr>
          <w:rFonts w:hint="eastAsia"/>
          <w:b/>
          <w:highlight w:val="none"/>
        </w:rPr>
        <w:t>表3.3-1 连平县历史遗留矿山现状统计表</w:t>
      </w:r>
    </w:p>
    <w:tbl>
      <w:tblPr>
        <w:tblStyle w:val="33"/>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922"/>
        <w:gridCol w:w="1800"/>
        <w:gridCol w:w="1399"/>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所在</w:t>
            </w:r>
            <w:r>
              <w:rPr>
                <w:rFonts w:hint="eastAsia"/>
                <w:b/>
                <w:kern w:val="0"/>
                <w:sz w:val="21"/>
                <w:szCs w:val="21"/>
                <w:highlight w:val="none"/>
              </w:rPr>
              <w:t>乡镇</w:t>
            </w:r>
          </w:p>
        </w:tc>
        <w:tc>
          <w:tcPr>
            <w:tcW w:w="1922" w:type="dxa"/>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矿</w:t>
            </w:r>
            <w:r>
              <w:rPr>
                <w:rFonts w:hint="eastAsia"/>
                <w:b/>
                <w:kern w:val="0"/>
                <w:sz w:val="21"/>
                <w:szCs w:val="21"/>
                <w:highlight w:val="none"/>
              </w:rPr>
              <w:t>山</w:t>
            </w:r>
            <w:r>
              <w:rPr>
                <w:b/>
                <w:kern w:val="0"/>
                <w:sz w:val="21"/>
                <w:szCs w:val="21"/>
                <w:highlight w:val="none"/>
              </w:rPr>
              <w:t>面积</w:t>
            </w:r>
          </w:p>
          <w:p>
            <w:pPr>
              <w:widowControl/>
              <w:spacing w:line="240" w:lineRule="auto"/>
              <w:ind w:firstLine="0" w:firstLineChars="0"/>
              <w:jc w:val="center"/>
              <w:rPr>
                <w:b/>
                <w:kern w:val="0"/>
                <w:sz w:val="21"/>
                <w:szCs w:val="21"/>
                <w:highlight w:val="none"/>
              </w:rPr>
            </w:pPr>
            <w:r>
              <w:rPr>
                <w:b/>
                <w:kern w:val="0"/>
                <w:sz w:val="21"/>
                <w:szCs w:val="21"/>
                <w:highlight w:val="none"/>
              </w:rPr>
              <w:t>（公顷）</w:t>
            </w:r>
          </w:p>
        </w:tc>
        <w:tc>
          <w:tcPr>
            <w:tcW w:w="1800" w:type="dxa"/>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矿山数量</w:t>
            </w:r>
          </w:p>
          <w:p>
            <w:pPr>
              <w:widowControl/>
              <w:spacing w:line="240" w:lineRule="auto"/>
              <w:ind w:firstLine="0" w:firstLineChars="0"/>
              <w:jc w:val="center"/>
              <w:rPr>
                <w:b/>
                <w:kern w:val="0"/>
                <w:sz w:val="21"/>
                <w:szCs w:val="21"/>
                <w:highlight w:val="none"/>
              </w:rPr>
            </w:pPr>
            <w:r>
              <w:rPr>
                <w:rFonts w:hint="eastAsia"/>
                <w:b/>
                <w:kern w:val="0"/>
                <w:sz w:val="21"/>
                <w:szCs w:val="21"/>
                <w:highlight w:val="none"/>
              </w:rPr>
              <w:t>（家）</w:t>
            </w:r>
          </w:p>
        </w:tc>
        <w:tc>
          <w:tcPr>
            <w:tcW w:w="1399" w:type="dxa"/>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面积占比（%）</w:t>
            </w:r>
          </w:p>
        </w:tc>
        <w:tc>
          <w:tcPr>
            <w:tcW w:w="1600" w:type="dxa"/>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数量占比</w:t>
            </w:r>
          </w:p>
          <w:p>
            <w:pPr>
              <w:widowControl/>
              <w:spacing w:line="240" w:lineRule="auto"/>
              <w:ind w:firstLine="0" w:firstLineChars="0"/>
              <w:jc w:val="center"/>
              <w:rPr>
                <w:b/>
                <w:kern w:val="0"/>
                <w:sz w:val="21"/>
                <w:szCs w:val="21"/>
                <w:highlight w:val="none"/>
              </w:rPr>
            </w:pPr>
            <w:r>
              <w:rPr>
                <w:b/>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绣缎镇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51.20</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39.15</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陂头镇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40.17</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28</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30.71</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三角镇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15.77</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14</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12.06</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4.62</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3.53</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溪山镇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7.48</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6</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5.72</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隆街镇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2.23</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1.71</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内</w:t>
            </w:r>
            <w:r>
              <w:rPr>
                <w:color w:val="000000"/>
                <w:kern w:val="0"/>
                <w:sz w:val="21"/>
                <w:szCs w:val="21"/>
                <w:highlight w:val="none"/>
              </w:rPr>
              <w:t>莞镇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w:t>
            </w:r>
            <w:r>
              <w:rPr>
                <w:rFonts w:hint="eastAsia"/>
                <w:color w:val="000000"/>
                <w:kern w:val="0"/>
                <w:sz w:val="21"/>
                <w:szCs w:val="21"/>
                <w:highlight w:val="none"/>
              </w:rPr>
              <w:t>63</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3</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w:t>
            </w:r>
            <w:r>
              <w:rPr>
                <w:rFonts w:hint="eastAsia"/>
                <w:color w:val="000000"/>
                <w:kern w:val="0"/>
                <w:sz w:val="21"/>
                <w:szCs w:val="21"/>
                <w:highlight w:val="none"/>
              </w:rPr>
              <w:t>25</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上坪镇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6.30</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9</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4.82</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4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油溪镇</w:t>
            </w:r>
          </w:p>
        </w:tc>
        <w:tc>
          <w:tcPr>
            <w:tcW w:w="1922"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1.38</w:t>
            </w:r>
          </w:p>
        </w:tc>
        <w:tc>
          <w:tcPr>
            <w:tcW w:w="18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w:t>
            </w:r>
          </w:p>
        </w:tc>
        <w:tc>
          <w:tcPr>
            <w:tcW w:w="1399"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1.06</w:t>
            </w:r>
          </w:p>
        </w:tc>
        <w:tc>
          <w:tcPr>
            <w:tcW w:w="1600"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2.56</w:t>
            </w:r>
          </w:p>
        </w:tc>
      </w:tr>
    </w:tbl>
    <w:p>
      <w:pPr>
        <w:ind w:firstLine="0" w:firstLineChars="0"/>
        <w:jc w:val="center"/>
        <w:rPr>
          <w:b/>
          <w:highlight w:val="none"/>
        </w:rPr>
        <w:sectPr>
          <w:pgSz w:w="11907" w:h="16840"/>
          <w:pgMar w:top="1440" w:right="1803" w:bottom="1440" w:left="1803" w:header="851" w:footer="992" w:gutter="0"/>
          <w:cols w:space="0" w:num="1"/>
          <w:docGrid w:type="lines" w:linePitch="326" w:charSpace="0"/>
        </w:sectPr>
      </w:pPr>
    </w:p>
    <w:p>
      <w:pPr>
        <w:pStyle w:val="90"/>
        <w:numPr>
          <w:ilvl w:val="3"/>
          <w:numId w:val="1"/>
        </w:numPr>
        <w:spacing w:before="0" w:beforeLines="0" w:after="0" w:afterLines="0"/>
        <w:ind w:left="0" w:firstLine="0"/>
        <w:rPr>
          <w:rFonts w:eastAsia="宋体"/>
          <w:highlight w:val="none"/>
        </w:rPr>
      </w:pPr>
      <w:r>
        <w:rPr>
          <w:rFonts w:hint="eastAsia" w:eastAsia="宋体"/>
          <w:highlight w:val="none"/>
        </w:rPr>
        <w:t>形势要求</w:t>
      </w:r>
    </w:p>
    <w:p>
      <w:pPr>
        <w:ind w:firstLine="482"/>
        <w:rPr>
          <w:b/>
          <w:highlight w:val="none"/>
        </w:rPr>
      </w:pPr>
      <w:r>
        <w:rPr>
          <w:rFonts w:hint="eastAsia"/>
          <w:b/>
          <w:highlight w:val="none"/>
        </w:rPr>
        <w:t>1. 健全矿山生态保护修复标准体系，构建绿色矿业发展长效机制</w:t>
      </w:r>
    </w:p>
    <w:p>
      <w:pPr>
        <w:ind w:firstLine="480"/>
        <w:rPr>
          <w:highlight w:val="none"/>
        </w:rPr>
      </w:pPr>
      <w:r>
        <w:rPr>
          <w:rFonts w:hint="eastAsia"/>
          <w:highlight w:val="none"/>
        </w:rPr>
        <w:t>党的十八大以来，以习近平同志为核心的党中央把生态文明建设摆在治国理政的突出位置，将其纳入中国特色社会主义“五位一体”总体布局和“四个全面”战略布局，开展了一系列根本性、开创性、长远性工作，形成了习近平生态文明思想，成为处理人与自然关系的根本遵循和方向指南。在矿产开发利用领域，积极推进绿色矿山建设，发布九大行业绿色矿山建设规范，为发展绿色矿业、建设绿色矿山提供技术和管理支撑；26个省（自治区、直辖市）将绿色矿山建设作为矿产资源管理领域重点工作，出台</w:t>
      </w:r>
      <w:r>
        <w:rPr>
          <w:rFonts w:hint="eastAsia"/>
          <w:highlight w:val="none"/>
          <w:lang w:eastAsia="zh-CN"/>
        </w:rPr>
        <w:t>地方性</w:t>
      </w:r>
      <w:r>
        <w:rPr>
          <w:rFonts w:hint="eastAsia"/>
          <w:highlight w:val="none"/>
        </w:rPr>
        <w:t>法规或规范性文件，15个省（自治区、直辖市）发布绿色矿山地方标准，29个省（自治区、直辖市）印发由省级人民政府或多个厅局委办联合起草的绿色矿山管理办法、建设或行动方案。同时，出台《关于推进矿产资源全面节约和高效利用的意见》，将节约与高效利用的要求贯穿于矿产资源勘查开发全过程；印发《矿产资源开发利用水平调查评估制度工作方案》，初步建立矿产资源开发利用水平调查评估制度；陆续开展124种矿产资源合理开发利用“三率”最低指标要求的研究工作，构建起我国矿产资源完整的“三率”指标体系。</w:t>
      </w:r>
    </w:p>
    <w:p>
      <w:pPr>
        <w:ind w:firstLine="482"/>
        <w:rPr>
          <w:b/>
          <w:highlight w:val="none"/>
        </w:rPr>
      </w:pPr>
      <w:r>
        <w:rPr>
          <w:rFonts w:hint="eastAsia"/>
          <w:b/>
          <w:highlight w:val="none"/>
        </w:rPr>
        <w:t>2. 持续加大政策支持力度，统筹推进矿山综合整治</w:t>
      </w:r>
    </w:p>
    <w:p>
      <w:pPr>
        <w:ind w:firstLine="482"/>
        <w:rPr>
          <w:b/>
          <w:highlight w:val="none"/>
        </w:rPr>
      </w:pPr>
      <w:r>
        <w:rPr>
          <w:rFonts w:hint="eastAsia"/>
          <w:b/>
          <w:highlight w:val="none"/>
        </w:rPr>
        <w:t>①国家层面</w:t>
      </w:r>
    </w:p>
    <w:p>
      <w:pPr>
        <w:ind w:firstLine="480"/>
        <w:rPr>
          <w:highlight w:val="none"/>
        </w:rPr>
      </w:pPr>
      <w:r>
        <w:rPr>
          <w:rFonts w:hint="eastAsia"/>
          <w:highlight w:val="none"/>
        </w:rPr>
        <w:t>近年来国家大力倡导绿色矿山建设，支持矿山生态修复的力度不断加大，中央财政安排生态保护修复相关转移支付资金支持生态保护修复，京津冀周边、汾渭平原、长江经济带、黄河流域等重点地区历史遗留废弃矿山环境修复治理被纳入其中。2017年3月，原国土资源部、财政部、原环境保护部、原国家质检总局、原银监会、证监会等六部委联合印发《关于加快建设绿色矿山的实施意见》，首次明确了新形势下矿业绿色发展的总体思路、主要目标、重点任务及政策措施，标志着我国绿色矿山建设由试点进入全面推进阶段。2018年6月国务院印发《打赢蓝天保卫战三年行动计划》、《关于全面加强生态环境保护 坚决打好污染防治攻坚战的意见》，要求推进露天矿山综合整治，全面完成露天矿山摸底排查，对违反资源环境法律法规、规划，污染环境、破坏生态、乱采滥挖的露天矿山，依法予以关闭；对污染治理不规范的露天矿山，依法责令停产整治，整治完成并经相关部门组织验收合格后方可恢复生产，对拒不停产或擅自恢复生产的依法强制关闭；对责任主体灭失的露天矿山，要加强修复绿化、减尘抑尘。2019年5月，自然资源部、生态环境部印发《关于加快推进露天矿山综合整治工作实施意见》，对推进露天矿山综合整治作出了明确的部署安排，要求以违法违规开采和责任主体灭失的露天矿山为重点，全面查清露天矿山基本情况；依法开展露天矿山综合整治；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严格控制新建露天矿山建设项目。2019年底，自然资源部印发《关于探索利用市场化方式推进矿山生态修复的意见》，通过赋予一定期限的自然资源资产使用权等政策，激励社会主体投入矿山生态修复；2021年7月，自然资源部印发《关于开展全国历史遗留矿山核查工作的通知》，首次明确了历史遗留矿山界定标准。2021年11月，国务院办公厅印发《关于鼓励和支持社会资本参与生态保护修复的意见》，将矿山生态保护修复纳入重点领域，在规划管控、产权激励、资源利用等方面予以政策支持。2021年12月，财政部办公厅、自然资源部办公厅印发《关于支持开展历史遗留废弃矿山生态修复示范工程的通知》，支持对生态安全具有重要保障作用、生态受益范围较广、属于共同财政事权的重点区域历史遗留废弃矿山生态修复治理。</w:t>
      </w:r>
    </w:p>
    <w:p>
      <w:pPr>
        <w:ind w:firstLine="482"/>
        <w:rPr>
          <w:b/>
          <w:highlight w:val="none"/>
        </w:rPr>
      </w:pPr>
      <w:r>
        <w:rPr>
          <w:rFonts w:hint="eastAsia"/>
          <w:b/>
          <w:highlight w:val="none"/>
        </w:rPr>
        <w:t>②地方层面</w:t>
      </w:r>
    </w:p>
    <w:p>
      <w:pPr>
        <w:ind w:firstLine="480"/>
        <w:rPr>
          <w:highlight w:val="none"/>
        </w:rPr>
      </w:pPr>
      <w:r>
        <w:rPr>
          <w:rFonts w:hint="eastAsia"/>
          <w:highlight w:val="none"/>
        </w:rPr>
        <w:t>2017年12月，广东省国土资源厅等六部门联合印发《关于广东省绿色矿山建设的工作方案》，提出根据我省实际情况，分金属、非金属 （不含采石场）、采石场、地热矿泉水四类矿山制定绿色矿山建设要求和考核评分标准，逐步完善后形成我省绿色矿山建设标准；鼓励生产矿山因地制宜、结合实际推动矿山升级改造，大中型矿山企业率先创建绿色矿山，发挥示范、带头作用。选取韶关市仁化县、河源市连平县两个矿业经济较发达的地区建设绿色矿业发展示范区。同时提出加大财税政策支持力度、实行矿产资源支持政策、保障绿色矿山建设用地、创新绿色金融扶持政策等政策措施。2021年9月，广东省自然资源厅印发《广东省历史遗留矿山及生产矿山核查工作方案》，要求查明全省历史遗留矿山分布、损毁土地面积和权属、存在的主要生态问题、拟修复方向等基本情况，形成标准统一、数据可靠的数据库。同时，查明全省生产矿山分布及其影响范围内的损毁土地面积和权属等有关情况。2022年9月，广东省自然资源厅发布《关于鼓励和支持社会资本参与生态保护修复的实施意见（征求意见稿）》，提出生态修复八大重点领域，其中包括矿山生态保护修复，重点对城市近郊、村镇周边人口密集以及“三区两线”（指重要自然保护区、景观区、居民集中生活区的周边和重要交通干线、河流湖泊直观可视范围）附近的废弃露天矿山，实施地质灾害隐患治理、矿山损毁土地植被恢复、破损生态单元修复等生态修复措施，重建矿山生态系统，解决历史遗留矿山存在的地质灾害隐患、地形地貌景观破坏等突出生态环境问题。坚持“边开采、边修复”的原则参与绿色矿山建设，推动矿区容貌改善，提高矿产资源节约集约利用水平。同时，提出了出台空间优化、产权激励、指标使用、资源利用、财税支持、金融扶持、科技扶持七大方面的支持政策。</w:t>
      </w:r>
    </w:p>
    <w:p>
      <w:pPr>
        <w:ind w:firstLine="482"/>
        <w:rPr>
          <w:b/>
          <w:highlight w:val="none"/>
        </w:rPr>
      </w:pPr>
      <w:r>
        <w:rPr>
          <w:rFonts w:hint="eastAsia"/>
          <w:b/>
          <w:highlight w:val="none"/>
        </w:rPr>
        <w:t>3. 新时代对矿业高质量发展提出了新要求</w:t>
      </w:r>
    </w:p>
    <w:p>
      <w:pPr>
        <w:ind w:firstLine="482"/>
        <w:rPr>
          <w:b/>
          <w:highlight w:val="none"/>
        </w:rPr>
      </w:pPr>
      <w:r>
        <w:rPr>
          <w:rFonts w:hint="eastAsia"/>
          <w:b/>
          <w:highlight w:val="none"/>
        </w:rPr>
        <w:t>①国家层面</w:t>
      </w:r>
    </w:p>
    <w:p>
      <w:pPr>
        <w:ind w:firstLine="480"/>
        <w:rPr>
          <w:highlight w:val="none"/>
        </w:rPr>
      </w:pPr>
      <w:r>
        <w:rPr>
          <w:rFonts w:hint="eastAsia"/>
          <w:highlight w:val="none"/>
        </w:rPr>
        <w:t>建设绿色矿山是生态文明建设核心理念在矿业领域中的具体实践，</w:t>
      </w:r>
      <w:r>
        <w:rPr>
          <w:rFonts w:hint="eastAsia"/>
          <w:highlight w:val="none"/>
          <w:lang w:val="en-US" w:eastAsia="zh-CN"/>
        </w:rPr>
        <w:t>党的</w:t>
      </w:r>
      <w:r>
        <w:rPr>
          <w:rFonts w:hint="eastAsia"/>
          <w:highlight w:val="none"/>
        </w:rPr>
        <w:t>十八大以来，我国坚持绿水青山就是金山银山的理念，坚持山水林田湖草沙一体化保护和系统治理，全方位、全地域、全过程加强生态环境保护，生态环境保护发生历史性、转折性、全局性</w:t>
      </w:r>
      <w:bookmarkStart w:id="134" w:name="_GoBack"/>
      <w:bookmarkEnd w:id="134"/>
      <w:r>
        <w:rPr>
          <w:rFonts w:hint="eastAsia"/>
          <w:highlight w:val="none"/>
        </w:rPr>
        <w:t>变化。党中央“十四五”规划建议提出，“十四五”时期推动高质量发展，必须立足新发展阶段、贯彻新发展理念、构建新发展格局；必须坚持深化供给侧结构性改革，以创新驱动、高质量供给引领和创造新需求。“十四五”时期坚持生态优先、绿色发展，推进资源总量管理、科学配置、全面节约、循环利用，协同推进经济高质量发展和生态环境高水平保护。这不仅为我国矿业发展提供了新的增长空间，更对我国加快建设现代化</w:t>
      </w:r>
      <w:r>
        <w:rPr>
          <w:rFonts w:hint="eastAsia"/>
          <w:highlight w:val="none"/>
          <w:lang w:val="en-US" w:eastAsia="zh-CN"/>
        </w:rPr>
        <w:t>的</w:t>
      </w:r>
      <w:r>
        <w:rPr>
          <w:rFonts w:hint="eastAsia"/>
          <w:highlight w:val="none"/>
        </w:rPr>
        <w:t>矿业体系，把绿色发展贯穿于矿山建设全过程和各方面，切实转变矿业发展方式，推动矿业实现更高质量、更有效率、更加公平、更可持续、更为安全的发展具有深刻意义，为新发展阶段全面推动我国绿色矿业发展明确了要求、指出了方向。2020年5月，国家发展改革委、自然资源部联合印发了《全国重要生态系统保护和修复重大工程总体规划（2021-2035年）》，提出南方丘陵山地带以增强森林生态系统质量和稳定性为导向，立足南岭山地森林及生物多样性重点生态功能区，在全面保护常绿阔叶林等原生地带性植被的基础上，科学实施森林质量精准提升、中幼林抚育和退化林修复，大力推进水土流失和石漠化综合治理，逐步进行矿山生态修复。党的二十大明确提出，必须牢固树立和践行绿水青山就是金山银山的理念，站在人与自然和谐共生的高度谋划发展；以国家重点生态功能区、生态保护红线、自然保护地等为重点，加快实施重要生态系统保护和修复重大工程。</w:t>
      </w:r>
    </w:p>
    <w:p>
      <w:pPr>
        <w:ind w:firstLine="482"/>
        <w:rPr>
          <w:b/>
          <w:highlight w:val="none"/>
        </w:rPr>
      </w:pPr>
      <w:r>
        <w:rPr>
          <w:rFonts w:hint="eastAsia"/>
          <w:b/>
          <w:highlight w:val="none"/>
        </w:rPr>
        <w:t>②地方层面</w:t>
      </w:r>
    </w:p>
    <w:p>
      <w:pPr>
        <w:ind w:firstLine="480"/>
        <w:rPr>
          <w:highlight w:val="none"/>
        </w:rPr>
      </w:pPr>
      <w:r>
        <w:rPr>
          <w:rFonts w:hint="eastAsia"/>
          <w:highlight w:val="none"/>
        </w:rPr>
        <w:t>我国坚定不移地推进生态文明建设美丽中国，党中央、国务院从战略和全局高度实施粤港澳大湾区、深圳中国特色社会主义先行示范区建设等重大战略，省委、省政府提出加快构建“一核一带一区”区域发展格局和支持广州推动“四个出新出彩”实现老城市新活力的重要部署，为广东生态文明建设和经济绿色转型注入了新的发展动力。“十四五”时期是广东经济绿色转型的关键机遇期，要加快形成绿色发展方式，转换增长动力，推动经济高质量绿色发展。2021年4月广东省人民政府发布的“十四五”规划建议提出要推进生态系统保护与修复，有序开展历史遗留矿山石场治理复绿，加强矿产资源开发地区地质环境和生态修复。2021年9月，广东省人民政府印发《广东省自然资源保护与开发“十四五”规划》，提出推进绿色矿业发展，制定出台绿色矿业发展政策文件，科学编制矿产资源</w:t>
      </w:r>
      <w:r>
        <w:rPr>
          <w:rFonts w:hint="eastAsia"/>
          <w:highlight w:val="none"/>
          <w:lang w:eastAsia="zh-CN"/>
        </w:rPr>
        <w:t>“</w:t>
      </w:r>
      <w:r>
        <w:rPr>
          <w:rFonts w:hint="eastAsia"/>
          <w:highlight w:val="none"/>
        </w:rPr>
        <w:t>十四五</w:t>
      </w:r>
      <w:r>
        <w:rPr>
          <w:rFonts w:hint="eastAsia"/>
          <w:highlight w:val="none"/>
          <w:lang w:eastAsia="zh-CN"/>
        </w:rPr>
        <w:t>”</w:t>
      </w:r>
      <w:r>
        <w:rPr>
          <w:rFonts w:hint="eastAsia"/>
          <w:highlight w:val="none"/>
        </w:rPr>
        <w:t>规划，全面推进绿色矿业发展。到2025年，全省持证在采矿山100%达到绿色矿山建设标准，韶关市绿色矿业发展示范区建设取得显著成效。矿产资源家底基本摸清，矿产资源保障能力进一步提升，全省勘查开发布局基本合理，矿业产业结构完善，资源开发利用效率显著提升，绿色矿业发展新格局基本形成。2021年10月，广东省人民政府印发的《广东省生态文明建设“十四五”规划》，也明确提出了到2025年持证在采矿山100%达到绿色矿山建设标准的目标要求。为全面推进我省矿产资源绿色勘查开发，推动矿业高质量发展，2021年10月，广东省人民政府印发了《广东省绿色矿业发展五年行动方案（2021-2025年）》，系统制定了“十四五”新形势下矿业绿色发展的主要目标和主要任务，明确提出到2023年底，全省持证在采矿山全部达到绿色矿山建设标准；到2025年底，基本形成矿产资源家底基本摸清、绿色勘查开采全面实施、矿区生态环境明显改善、矿产资源利用效率和开发保护水平显著提高、重大项目支撑力度持续增强的绿色矿业发展新格局。2022年10月，广东省自然资源厅和广东省发展和改革委员会联合印发《广东省重要生态系统保护和修复重大工程总体规划（2021-2035年）》，该规划既是对国家部署重要生态系统保护和修复工程的细化和落实，也与广东省国土空间规划以及国土空间生态修复专项规划形成既各自侧重又相互衔接的有益补充，是广东省当前和今后一段时期重要生态系统保护和修复重大工程实施的指导性规划。规划提出包括连平在内的11个县（市、区）范围内重点矿山生态修复任务，通过地质环境治理、地形重塑、土壤重构、植被重建等综合治理工程，恢复矿山生态环境。科学布局和统筹推进广东省未来三年历史遗留矿山生态修复工作，2022年11月，广东省自然资源厅印发《广东省历史遗留矿山生态修复实施方案（2023-2025年）》，提出未来三年，全省力争完成历史遗留矿山生态修复面积7300公顷以上，初步建立覆盖全省的历史遗留矿山生态修复技术支撑体系和矿山生态修复监测评价体系，系统解决历史遗留矿山生态破坏问题，改善矿山周边人居环境，提升废弃土地综合利用水平，恢复区域生态系统服务功能，守住自然生态安全边界。其中，2023-2025年连平县须修复治理的历史遗留矿山面积分别为12公顷、16公顷和12公顷。</w:t>
      </w:r>
    </w:p>
    <w:p>
      <w:pPr>
        <w:pStyle w:val="90"/>
        <w:numPr>
          <w:ilvl w:val="3"/>
          <w:numId w:val="1"/>
        </w:numPr>
        <w:spacing w:before="0" w:beforeLines="0" w:after="0" w:afterLines="0"/>
        <w:ind w:left="0" w:firstLine="0"/>
        <w:rPr>
          <w:rFonts w:eastAsia="宋体"/>
          <w:highlight w:val="none"/>
        </w:rPr>
      </w:pPr>
      <w:r>
        <w:rPr>
          <w:rFonts w:hint="eastAsia" w:eastAsia="宋体"/>
          <w:highlight w:val="none"/>
        </w:rPr>
        <w:t>问题诊断</w:t>
      </w:r>
    </w:p>
    <w:p>
      <w:pPr>
        <w:ind w:firstLine="480"/>
        <w:rPr>
          <w:highlight w:val="none"/>
        </w:rPr>
      </w:pPr>
      <w:r>
        <w:rPr>
          <w:rFonts w:hint="eastAsia"/>
          <w:highlight w:val="none"/>
        </w:rPr>
        <w:t>近年来我国及广东省地方出台了系列关于矿山生态修复政策，大力倡导绿色矿山建设，提升矿产资源利用效率和开发保护水平。“十四五”时期经济高质量发展和生态环境高水平保护、生态文明建设、重要生态系统保护和修复、自然资源保护、绿色矿业发展等新形势发展要求全面推进绿色矿山建设和矿山生态治理修复，要求严格落实矿山企业生态修复主体责任和“边开采边治理、边开采边修复”制度，2023年底前持证在采矿山100%达到广东省绿色矿山建设标准，2025年底前矿区生态环境明显改善，矿产资源开发保护水平显著提高。系统解决历史遗留矿山生态破坏问题，改善矿山周边人居环境，提升废弃土地综合利用水平，恢复区域生态系统服务功能，守住自然生态安全边界。2023-2025年连平县修复治理的历史遗留矿山面积分别达到12公顷、16公顷和12公顷。</w:t>
      </w:r>
    </w:p>
    <w:p>
      <w:pPr>
        <w:ind w:firstLine="480"/>
        <w:rPr>
          <w:highlight w:val="none"/>
        </w:rPr>
      </w:pPr>
      <w:r>
        <w:rPr>
          <w:rFonts w:hint="eastAsia"/>
          <w:highlight w:val="none"/>
        </w:rPr>
        <w:t>连平县地处南岭成矿带，矿产资源丰富，目前已发现矿种20多种，累计发现矿产地（矿点）75处。截至2023年4月，连平县持证有效采矿权为15个，其中持证在采矿山共4家；15家持证矿山中8家达到绿色矿山建设标准，全县所有大中型矿山均已达到绿色矿山建设标准，4家持证在采矿山均已达到绿色矿山建设标准，</w:t>
      </w:r>
      <w:r>
        <w:rPr>
          <w:rFonts w:hint="eastAsia"/>
          <w:b/>
          <w:highlight w:val="none"/>
          <w:u w:val="single"/>
        </w:rPr>
        <w:t>持证在采矿山达到绿色矿山标准占比为100%。</w:t>
      </w:r>
      <w:r>
        <w:rPr>
          <w:rFonts w:hint="eastAsia"/>
          <w:highlight w:val="none"/>
        </w:rPr>
        <w:t>现状连平县尚有6家持证矿山未达到绿色矿山标准，存在矿区复绿、矿区开矿条件未完善等问题。根据《连平县矿产资源总体规划（2021-2025年）》，至2025年全县矿山总数控制在35个以内，规划期矿山数量及矿产资源开采总量将进一步提升，在新形势发展要求下生产矿山绿色发展优势有待持续提升。</w:t>
      </w:r>
    </w:p>
    <w:p>
      <w:pPr>
        <w:ind w:firstLine="480"/>
        <w:rPr>
          <w:highlight w:val="none"/>
        </w:rPr>
      </w:pPr>
    </w:p>
    <w:p>
      <w:pPr>
        <w:ind w:firstLine="0" w:firstLineChars="0"/>
        <w:jc w:val="center"/>
        <w:rPr>
          <w:highlight w:val="none"/>
        </w:rPr>
      </w:pPr>
      <w:r>
        <w:rPr>
          <w:highlight w:val="none"/>
        </w:rPr>
        <w:drawing>
          <wp:inline distT="0" distB="0" distL="0" distR="0">
            <wp:extent cx="2543175" cy="3667125"/>
            <wp:effectExtent l="0" t="0" r="9525"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hint="eastAsia"/>
          <w:highlight w:val="none"/>
        </w:rPr>
        <w:t xml:space="preserve"> </w:t>
      </w:r>
      <w:r>
        <w:rPr>
          <w:highlight w:val="none"/>
        </w:rPr>
        <w:drawing>
          <wp:inline distT="0" distB="0" distL="0" distR="0">
            <wp:extent cx="2428875" cy="3657600"/>
            <wp:effectExtent l="0" t="0" r="9525"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ind w:firstLine="0" w:firstLineChars="0"/>
        <w:jc w:val="center"/>
        <w:rPr>
          <w:b/>
          <w:highlight w:val="none"/>
        </w:rPr>
      </w:pPr>
      <w:r>
        <w:rPr>
          <w:b/>
          <w:highlight w:val="none"/>
        </w:rPr>
        <w:t>图3.3-</w:t>
      </w:r>
      <w:r>
        <w:rPr>
          <w:rFonts w:hint="eastAsia"/>
          <w:b/>
          <w:highlight w:val="none"/>
        </w:rPr>
        <w:t>6</w:t>
      </w:r>
      <w:r>
        <w:rPr>
          <w:b/>
          <w:highlight w:val="none"/>
        </w:rPr>
        <w:t xml:space="preserve"> 连平县矿山地质环境问题统计图</w:t>
      </w:r>
    </w:p>
    <w:p>
      <w:pPr>
        <w:ind w:firstLine="480"/>
        <w:rPr>
          <w:highlight w:val="none"/>
        </w:rPr>
      </w:pPr>
      <w:r>
        <w:rPr>
          <w:rFonts w:hint="eastAsia"/>
          <w:highlight w:val="none"/>
        </w:rPr>
        <w:t>连平县历史遗留矿山点多、面广且呈现分散状态，面积达130.78公顷，矿山无序开采造成地表植被破坏、土壤酸化、弃土无序堆填、土地压占与损毁、水源涵养功能下降、水土流失等历史遗留问题有待治理，尤其是陂头镇南岭山地生物多样性维护-水源涵养生态保护红线及一般生态空间范围内历史遗留矿山生态影响问题（详见图3.3-5），是规划期矿山地质环境修复治理工作的重点。</w:t>
      </w:r>
    </w:p>
    <w:p>
      <w:pPr>
        <w:pStyle w:val="89"/>
        <w:numPr>
          <w:ilvl w:val="2"/>
          <w:numId w:val="1"/>
        </w:numPr>
        <w:ind w:left="0" w:firstLine="0"/>
        <w:rPr>
          <w:rFonts w:eastAsia="宋体"/>
          <w:highlight w:val="none"/>
        </w:rPr>
      </w:pPr>
      <w:bookmarkStart w:id="64" w:name="_Toc140764110"/>
      <w:r>
        <w:rPr>
          <w:rFonts w:eastAsia="宋体"/>
          <w:highlight w:val="none"/>
        </w:rPr>
        <w:t>水土流失</w:t>
      </w:r>
      <w:bookmarkEnd w:id="64"/>
    </w:p>
    <w:p>
      <w:pPr>
        <w:pStyle w:val="90"/>
        <w:numPr>
          <w:ilvl w:val="3"/>
          <w:numId w:val="1"/>
        </w:numPr>
        <w:spacing w:before="0" w:beforeLines="0" w:after="0" w:afterLines="0"/>
        <w:ind w:left="0" w:firstLine="0"/>
        <w:rPr>
          <w:rFonts w:eastAsia="宋体"/>
          <w:highlight w:val="none"/>
        </w:rPr>
      </w:pPr>
      <w:r>
        <w:rPr>
          <w:rFonts w:eastAsia="宋体"/>
          <w:highlight w:val="none"/>
        </w:rPr>
        <w:t>水土流失现状</w:t>
      </w:r>
    </w:p>
    <w:p>
      <w:pPr>
        <w:ind w:firstLine="482"/>
        <w:rPr>
          <w:b/>
          <w:highlight w:val="none"/>
        </w:rPr>
      </w:pPr>
      <w:r>
        <w:rPr>
          <w:rFonts w:hint="eastAsia"/>
          <w:b/>
          <w:highlight w:val="none"/>
        </w:rPr>
        <w:t>1.水土流失概况</w:t>
      </w:r>
    </w:p>
    <w:p>
      <w:pPr>
        <w:ind w:firstLine="480"/>
        <w:rPr>
          <w:highlight w:val="none"/>
        </w:rPr>
      </w:pPr>
      <w:r>
        <w:rPr>
          <w:rFonts w:hint="eastAsia"/>
          <w:highlight w:val="none"/>
        </w:rPr>
        <w:t>连平县为国家级水土流失重点预防区，属于河源市北部山地丘陵土壤保持和水源涵养区，</w:t>
      </w:r>
      <w:r>
        <w:rPr>
          <w:highlight w:val="none"/>
        </w:rPr>
        <w:t>水土流失类型包括自然侵蚀和人为侵蚀两类，其中自然侵蚀包括崩岗、溶蚀以及其他自然侵蚀（表现为面蚀、沟蚀），人为侵蚀包括坡耕地、生产建设等。根据连平县水务局提供数据</w:t>
      </w:r>
      <w:r>
        <w:rPr>
          <w:rFonts w:hint="eastAsia"/>
          <w:highlight w:val="none"/>
        </w:rPr>
        <w:t>，2020年连平县水土流失面积为234.62</w:t>
      </w:r>
      <w:r>
        <w:rPr>
          <w:rFonts w:hint="eastAsia"/>
          <w:highlight w:val="none"/>
          <w:lang w:val="en-US" w:eastAsia="zh-CN"/>
        </w:rPr>
        <w:t>平方千米</w:t>
      </w:r>
      <w:r>
        <w:rPr>
          <w:rFonts w:hint="eastAsia"/>
          <w:highlight w:val="none"/>
        </w:rPr>
        <w:t>，在河源市排名第五（由大到小），小于龙川县（732.17</w:t>
      </w:r>
      <w:r>
        <w:rPr>
          <w:rFonts w:hint="eastAsia"/>
          <w:highlight w:val="none"/>
          <w:lang w:val="en-US" w:eastAsia="zh-CN"/>
        </w:rPr>
        <w:t>平方千米</w:t>
      </w:r>
      <w:r>
        <w:rPr>
          <w:rFonts w:hint="eastAsia"/>
          <w:highlight w:val="none"/>
        </w:rPr>
        <w:t>）、东源县（563.54</w:t>
      </w:r>
      <w:r>
        <w:rPr>
          <w:rFonts w:hint="eastAsia"/>
          <w:highlight w:val="none"/>
          <w:lang w:val="en-US" w:eastAsia="zh-CN"/>
        </w:rPr>
        <w:t>平方千米</w:t>
      </w:r>
      <w:r>
        <w:rPr>
          <w:rFonts w:hint="eastAsia"/>
          <w:highlight w:val="none"/>
        </w:rPr>
        <w:t>）、紫金县（497.99</w:t>
      </w:r>
      <w:r>
        <w:rPr>
          <w:rFonts w:hint="eastAsia"/>
          <w:highlight w:val="none"/>
          <w:lang w:val="en-US" w:eastAsia="zh-CN"/>
        </w:rPr>
        <w:t>平方千米</w:t>
      </w:r>
      <w:r>
        <w:rPr>
          <w:rFonts w:hint="eastAsia"/>
          <w:highlight w:val="none"/>
        </w:rPr>
        <w:t>）、和平县（493.41</w:t>
      </w:r>
      <w:r>
        <w:rPr>
          <w:rFonts w:hint="eastAsia"/>
          <w:highlight w:val="none"/>
          <w:lang w:val="en-US" w:eastAsia="zh-CN"/>
        </w:rPr>
        <w:t>平方千米</w:t>
      </w:r>
      <w:r>
        <w:rPr>
          <w:rFonts w:hint="eastAsia"/>
          <w:highlight w:val="none"/>
        </w:rPr>
        <w:t>），占河源全市水土流失面积的9.12%；水土流失面积占县域国土面积比例为10.32%，明显低于河源市全市水土流失比例（16.44%），为河源市全市占比最低。</w:t>
      </w:r>
    </w:p>
    <w:p>
      <w:pPr>
        <w:ind w:left="-240" w:leftChars="-100" w:firstLine="199" w:firstLineChars="83"/>
        <w:rPr>
          <w:color w:val="FF0000"/>
          <w:highlight w:val="none"/>
        </w:rPr>
      </w:pPr>
      <w:r>
        <w:rPr>
          <w:highlight w:val="none"/>
        </w:rPr>
        <w:drawing>
          <wp:inline distT="0" distB="0" distL="0" distR="0">
            <wp:extent cx="5448300" cy="3848100"/>
            <wp:effectExtent l="0" t="0" r="19050" b="1905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482"/>
        <w:jc w:val="center"/>
        <w:rPr>
          <w:b/>
          <w:highlight w:val="none"/>
        </w:rPr>
      </w:pPr>
      <w:r>
        <w:rPr>
          <w:rFonts w:hint="eastAsia"/>
          <w:b/>
          <w:highlight w:val="none"/>
        </w:rPr>
        <w:t>图3.3-7 河源市土壤侵蚀统计图</w:t>
      </w:r>
    </w:p>
    <w:p>
      <w:pPr>
        <w:ind w:firstLine="480"/>
        <w:rPr>
          <w:highlight w:val="none"/>
        </w:rPr>
      </w:pPr>
      <w:r>
        <w:rPr>
          <w:rFonts w:hint="eastAsia"/>
          <w:highlight w:val="none"/>
        </w:rPr>
        <w:t>从横向来看，连平县水土流失以轻度为主，面积为</w:t>
      </w:r>
      <w:r>
        <w:rPr>
          <w:highlight w:val="none"/>
        </w:rPr>
        <w:t>211.72</w:t>
      </w:r>
      <w:r>
        <w:rPr>
          <w:highlight w:val="none"/>
        </w:rPr>
        <w:tab/>
      </w:r>
      <w:r>
        <w:rPr>
          <w:rFonts w:hint="eastAsia"/>
          <w:highlight w:val="none"/>
          <w:lang w:val="en-US" w:eastAsia="zh-CN"/>
        </w:rPr>
        <w:t>平方千米</w:t>
      </w:r>
      <w:r>
        <w:rPr>
          <w:rFonts w:hint="eastAsia"/>
          <w:highlight w:val="none"/>
        </w:rPr>
        <w:t>，占水土流失总面积的90.24%，其次为中度侵蚀，面积为15.46</w:t>
      </w:r>
      <w:r>
        <w:rPr>
          <w:highlight w:val="none"/>
        </w:rPr>
        <w:tab/>
      </w:r>
      <w:r>
        <w:rPr>
          <w:rFonts w:hint="eastAsia"/>
          <w:highlight w:val="none"/>
          <w:lang w:val="en-US" w:eastAsia="zh-CN"/>
        </w:rPr>
        <w:t>平方千米</w:t>
      </w:r>
      <w:r>
        <w:rPr>
          <w:rFonts w:hint="eastAsia"/>
          <w:highlight w:val="none"/>
        </w:rPr>
        <w:t>，占水土流失总面积的6.59%；强烈、极强烈和剧烈侵蚀面积分别为</w:t>
      </w:r>
      <w:r>
        <w:rPr>
          <w:highlight w:val="none"/>
        </w:rPr>
        <w:t xml:space="preserve">6.22 </w:t>
      </w:r>
      <w:r>
        <w:rPr>
          <w:rFonts w:hint="eastAsia"/>
          <w:highlight w:val="none"/>
          <w:lang w:val="en-US" w:eastAsia="zh-CN"/>
        </w:rPr>
        <w:t>平方千米</w:t>
      </w:r>
      <w:r>
        <w:rPr>
          <w:rFonts w:hint="eastAsia"/>
          <w:highlight w:val="none"/>
        </w:rPr>
        <w:t>、</w:t>
      </w:r>
      <w:r>
        <w:rPr>
          <w:highlight w:val="none"/>
        </w:rPr>
        <w:t>0.5</w:t>
      </w:r>
      <w:r>
        <w:rPr>
          <w:highlight w:val="none"/>
        </w:rPr>
        <w:tab/>
      </w:r>
      <w:r>
        <w:rPr>
          <w:rFonts w:hint="eastAsia"/>
          <w:highlight w:val="none"/>
        </w:rPr>
        <w:t>0</w:t>
      </w:r>
      <w:r>
        <w:rPr>
          <w:rFonts w:hint="eastAsia"/>
          <w:highlight w:val="none"/>
          <w:lang w:val="en-US" w:eastAsia="zh-CN"/>
        </w:rPr>
        <w:t>平方千米</w:t>
      </w:r>
      <w:r>
        <w:rPr>
          <w:rFonts w:hint="eastAsia"/>
          <w:highlight w:val="none"/>
        </w:rPr>
        <w:t>和</w:t>
      </w:r>
      <w:r>
        <w:rPr>
          <w:highlight w:val="none"/>
        </w:rPr>
        <w:t>0.72</w:t>
      </w:r>
      <w:r>
        <w:rPr>
          <w:rFonts w:hint="eastAsia"/>
          <w:highlight w:val="none"/>
          <w:lang w:val="en-US" w:eastAsia="zh-CN"/>
        </w:rPr>
        <w:t>平方千米</w:t>
      </w:r>
      <w:r>
        <w:rPr>
          <w:rFonts w:hint="eastAsia"/>
          <w:highlight w:val="none"/>
        </w:rPr>
        <w:t>，分别占水土流失总面积的2.65%、0.21%和0.31%。从纵向来看，连平县轻度侵蚀占水土流失面积的比例最高（90.24%），其次为和平县（89.1%）、东源县（88.46%），源城区轻度侵蚀占比最低（80.73%）。连平县中度侵蚀、极强烈侵蚀占比均最低，强烈侵蚀仅高于和平县（2.56%），剧烈侵蚀也仅高于紫金县（0.05%）、和平县（0.17%）和龙川县（0.28%）。综合河源全市来看，连平县水土流失程度相对较轻，水土流失面积占国土面积比例最低，且轻度侵蚀占比最高。</w:t>
      </w:r>
    </w:p>
    <w:p>
      <w:pPr>
        <w:ind w:firstLine="0" w:firstLineChars="0"/>
        <w:jc w:val="center"/>
        <w:rPr>
          <w:highlight w:val="none"/>
        </w:rPr>
      </w:pPr>
      <w:r>
        <w:rPr>
          <w:highlight w:val="none"/>
        </w:rPr>
        <w:drawing>
          <wp:inline distT="0" distB="0" distL="0" distR="0">
            <wp:extent cx="4595495" cy="3543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a:extLst>
                        <a:ext uri="{28A0092B-C50C-407E-A947-70E740481C1C}">
                          <a14:useLocalDpi xmlns:a14="http://schemas.microsoft.com/office/drawing/2010/main" val="0"/>
                        </a:ext>
                      </a:extLst>
                    </a:blip>
                    <a:srcRect l="7552" t="9091" r="11719" b="10438"/>
                    <a:stretch>
                      <a:fillRect/>
                    </a:stretch>
                  </pic:blipFill>
                  <pic:spPr>
                    <a:xfrm>
                      <a:off x="0" y="0"/>
                      <a:ext cx="4597101" cy="3544216"/>
                    </a:xfrm>
                    <a:prstGeom prst="rect">
                      <a:avLst/>
                    </a:prstGeom>
                    <a:noFill/>
                    <a:ln>
                      <a:noFill/>
                    </a:ln>
                  </pic:spPr>
                </pic:pic>
              </a:graphicData>
            </a:graphic>
          </wp:inline>
        </w:drawing>
      </w:r>
    </w:p>
    <w:p>
      <w:pPr>
        <w:ind w:firstLine="0" w:firstLineChars="0"/>
        <w:jc w:val="center"/>
        <w:rPr>
          <w:b/>
          <w:highlight w:val="none"/>
        </w:rPr>
      </w:pPr>
      <w:r>
        <w:rPr>
          <w:b/>
          <w:highlight w:val="none"/>
        </w:rPr>
        <w:t>图</w:t>
      </w:r>
      <w:r>
        <w:rPr>
          <w:rFonts w:hint="eastAsia"/>
          <w:b/>
          <w:highlight w:val="none"/>
        </w:rPr>
        <w:t>3.3-8 河源市土壤侵蚀强度比例统计图</w:t>
      </w:r>
    </w:p>
    <w:p>
      <w:pPr>
        <w:ind w:firstLine="480"/>
        <w:rPr>
          <w:highlight w:val="none"/>
        </w:rPr>
        <w:sectPr>
          <w:pgSz w:w="11907" w:h="16840"/>
          <w:pgMar w:top="1440" w:right="1803" w:bottom="1440" w:left="1803" w:header="851" w:footer="992" w:gutter="0"/>
          <w:cols w:space="0" w:num="1"/>
          <w:docGrid w:type="lines" w:linePitch="326" w:charSpace="0"/>
        </w:sectPr>
      </w:pPr>
      <w:r>
        <w:rPr>
          <w:rFonts w:hint="eastAsia"/>
          <w:highlight w:val="none"/>
        </w:rPr>
        <w:t>连平县地形以山地、丘陵为主，山地丘陵面积比例大，且连平县所在地区由中生界侏罗系地层及花岗岩体构成山岭的主体，并且岩石的风化壳比较厚，容易造成大面积的土壤侵蚀；加之连平县降雨量大且集中在每年4~9月，暴雨次数多，降雨量大，暴雨急流对脆弱母岩和植被覆盖少的下垫面层易冲蚀。连平县山地多，耕地数量不足，导致农业开发程度较高，坡耕地面积增大，在没有集中进行治理和预防的情况下，容易造成水土流失。总体来看，连平县水土流失主要类型为坡耕地水土流失以及轻度自然侵蚀，主要分布在连平中部连平河与大席河流域，涉及元善镇、溪山镇、上坪镇、内莞镇、田源镇等；以及东部忠信河、大湖河、五禾水流域，涉及高莞镇、忠信镇、三角镇、大湖镇、绣缎镇等。工程侵蚀以采矿为主，主要分布在油溪镇南部和三角镇西部。因此连平中部连平河、大席河以及东部忠信河、大湖河、五禾水流域应作为连平县水土流失防治重点区域，对高莞高莞水库、三角称沟水水库、连平县鹤湖河、高莞甘坑水、内莞大塘缺水、田源船洞水、溪山石坑河、忠信桥南岗水等饮用水源保护地通过封育、水土保持林草等措施进行预防保护，提升水源涵养功能，并强化重点区域内坡耕地水土流失治理。</w:t>
      </w:r>
    </w:p>
    <w:p>
      <w:pPr>
        <w:ind w:firstLine="482"/>
        <w:rPr>
          <w:b/>
          <w:highlight w:val="none"/>
        </w:rPr>
      </w:pPr>
      <w:r>
        <w:rPr>
          <w:rFonts w:hint="eastAsia"/>
          <w:b/>
          <w:highlight w:val="none"/>
        </w:rPr>
        <w:t>2.</w:t>
      </w:r>
      <w:r>
        <w:rPr>
          <w:b/>
          <w:highlight w:val="none"/>
        </w:rPr>
        <w:t>水土</w:t>
      </w:r>
      <w:r>
        <w:rPr>
          <w:rFonts w:hint="eastAsia"/>
          <w:b/>
          <w:highlight w:val="none"/>
        </w:rPr>
        <w:t>保持现状</w:t>
      </w:r>
    </w:p>
    <w:p>
      <w:pPr>
        <w:ind w:firstLine="480"/>
        <w:rPr>
          <w:b/>
          <w:highlight w:val="none"/>
        </w:rPr>
      </w:pPr>
      <w:r>
        <w:rPr>
          <w:rFonts w:hint="eastAsia"/>
          <w:highlight w:val="none"/>
        </w:rPr>
        <w:t>连平县贯彻落实党的十九大报告关于“统筹山水林田湖草系统治理”的精神和践行“绿水青山就是金山银山”的绿色发展理念，</w:t>
      </w:r>
      <w:r>
        <w:rPr>
          <w:highlight w:val="none"/>
        </w:rPr>
        <w:t>狠抓水土流失综合防治</w:t>
      </w:r>
      <w:r>
        <w:rPr>
          <w:rFonts w:hint="eastAsia"/>
          <w:highlight w:val="none"/>
        </w:rPr>
        <w:t>，包括封山育林、水土保持林、种草等措施。根据《河源市水土保持规划（2019-2030年）》，河源市水务局提供的水土保持生态治理统计报表和河源市林业局提供的河源市重点生态工程建设任务表显示，2013~2019年期间连平县水土流失治理面积合计95.74</w:t>
      </w:r>
      <w:r>
        <w:rPr>
          <w:rFonts w:hint="eastAsia"/>
          <w:highlight w:val="none"/>
          <w:lang w:val="en-US" w:eastAsia="zh-CN"/>
        </w:rPr>
        <w:t>平方千米</w:t>
      </w:r>
      <w:r>
        <w:rPr>
          <w:rFonts w:hint="eastAsia"/>
          <w:highlight w:val="none"/>
        </w:rPr>
        <w:t>，其中2016~2019年期间水土流失治理面积合计40.31</w:t>
      </w:r>
      <w:r>
        <w:rPr>
          <w:rFonts w:hint="eastAsia"/>
          <w:highlight w:val="none"/>
          <w:lang w:val="en-US" w:eastAsia="zh-CN"/>
        </w:rPr>
        <w:t>平方千米</w:t>
      </w:r>
      <w:r>
        <w:rPr>
          <w:rFonts w:hint="eastAsia"/>
          <w:highlight w:val="none"/>
        </w:rPr>
        <w:t xml:space="preserve">。水土流失治理以封山育林为主，2016~2019年期间封山育林面积达26.03 </w:t>
      </w:r>
      <w:r>
        <w:rPr>
          <w:rFonts w:hint="eastAsia"/>
          <w:highlight w:val="none"/>
          <w:lang w:val="en-US" w:eastAsia="zh-CN"/>
        </w:rPr>
        <w:t>平方千米</w:t>
      </w:r>
      <w:r>
        <w:rPr>
          <w:rFonts w:hint="eastAsia"/>
          <w:highlight w:val="none"/>
        </w:rPr>
        <w:t>，占总治理面积的64.57%；其次为水土保持林，面积12.15</w:t>
      </w:r>
      <w:r>
        <w:rPr>
          <w:rFonts w:hint="eastAsia"/>
          <w:highlight w:val="none"/>
          <w:lang w:val="en-US" w:eastAsia="zh-CN"/>
        </w:rPr>
        <w:t>平方千米</w:t>
      </w:r>
      <w:r>
        <w:rPr>
          <w:rFonts w:hint="eastAsia"/>
          <w:highlight w:val="none"/>
        </w:rPr>
        <w:t>，占总治理面积的30.14%。</w:t>
      </w:r>
    </w:p>
    <w:p>
      <w:pPr>
        <w:ind w:firstLine="0" w:firstLineChars="0"/>
        <w:rPr>
          <w:b/>
          <w:color w:val="FF0000"/>
          <w:highlight w:val="none"/>
        </w:rPr>
      </w:pPr>
      <w:r>
        <w:rPr>
          <w:highlight w:val="none"/>
        </w:rPr>
        <w:drawing>
          <wp:inline distT="0" distB="0" distL="0" distR="0">
            <wp:extent cx="5267325" cy="2962275"/>
            <wp:effectExtent l="0" t="0" r="9525" b="952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0" w:firstLineChars="0"/>
        <w:jc w:val="center"/>
        <w:rPr>
          <w:b/>
          <w:highlight w:val="none"/>
        </w:rPr>
      </w:pPr>
      <w:r>
        <w:rPr>
          <w:b/>
          <w:highlight w:val="none"/>
        </w:rPr>
        <w:t>图</w:t>
      </w:r>
      <w:r>
        <w:rPr>
          <w:rFonts w:hint="eastAsia"/>
          <w:b/>
          <w:highlight w:val="none"/>
        </w:rPr>
        <w:t>3.3-10 2016-2019年连平县水土流失治理面积统计图</w:t>
      </w:r>
    </w:p>
    <w:p>
      <w:pPr>
        <w:ind w:firstLine="482"/>
        <w:rPr>
          <w:b/>
          <w:highlight w:val="none"/>
        </w:rPr>
      </w:pPr>
      <w:r>
        <w:rPr>
          <w:rFonts w:hint="eastAsia"/>
          <w:b/>
          <w:highlight w:val="none"/>
        </w:rPr>
        <w:t>3.</w:t>
      </w:r>
      <w:r>
        <w:rPr>
          <w:b/>
          <w:highlight w:val="none"/>
        </w:rPr>
        <w:t>水土</w:t>
      </w:r>
      <w:r>
        <w:rPr>
          <w:rFonts w:hint="eastAsia"/>
          <w:b/>
          <w:highlight w:val="none"/>
        </w:rPr>
        <w:t>流失变化趋势</w:t>
      </w:r>
    </w:p>
    <w:p>
      <w:pPr>
        <w:ind w:firstLine="480"/>
        <w:rPr>
          <w:highlight w:val="none"/>
        </w:rPr>
      </w:pPr>
      <w:r>
        <w:rPr>
          <w:highlight w:val="none"/>
        </w:rPr>
        <w:t>根据</w:t>
      </w:r>
      <w:r>
        <w:rPr>
          <w:rFonts w:hint="eastAsia"/>
          <w:highlight w:val="none"/>
        </w:rPr>
        <w:t xml:space="preserve">广东省第四次水土流失遥感普查成果，2013年连平县自然侵蚀153.83 </w:t>
      </w:r>
      <w:r>
        <w:rPr>
          <w:rFonts w:hint="eastAsia"/>
          <w:highlight w:val="none"/>
          <w:lang w:val="en-US" w:eastAsia="zh-CN"/>
        </w:rPr>
        <w:t>平方千米</w:t>
      </w:r>
      <w:r>
        <w:rPr>
          <w:rFonts w:hint="eastAsia"/>
          <w:highlight w:val="none"/>
        </w:rPr>
        <w:t xml:space="preserve">，工程建设8.68 </w:t>
      </w:r>
      <w:r>
        <w:rPr>
          <w:rFonts w:hint="eastAsia"/>
          <w:highlight w:val="none"/>
          <w:lang w:val="en-US" w:eastAsia="zh-CN"/>
        </w:rPr>
        <w:t>平方千米</w:t>
      </w:r>
      <w:r>
        <w:rPr>
          <w:rFonts w:hint="eastAsia"/>
          <w:highlight w:val="none"/>
        </w:rPr>
        <w:t xml:space="preserve">，坡耕地84.62 </w:t>
      </w:r>
      <w:r>
        <w:rPr>
          <w:rFonts w:hint="eastAsia"/>
          <w:highlight w:val="none"/>
          <w:lang w:val="en-US" w:eastAsia="zh-CN"/>
        </w:rPr>
        <w:t>平方千米</w:t>
      </w:r>
      <w:r>
        <w:rPr>
          <w:rFonts w:hint="eastAsia"/>
          <w:highlight w:val="none"/>
        </w:rPr>
        <w:t xml:space="preserve">，水土流失面积合计为247.13 </w:t>
      </w:r>
      <w:r>
        <w:rPr>
          <w:rFonts w:hint="eastAsia"/>
          <w:highlight w:val="none"/>
          <w:lang w:val="en-US" w:eastAsia="zh-CN"/>
        </w:rPr>
        <w:t>平方千米</w:t>
      </w:r>
      <w:r>
        <w:rPr>
          <w:rFonts w:hint="eastAsia"/>
          <w:highlight w:val="none"/>
        </w:rPr>
        <w:t>。与2013年相比，连平县水土流失面积下降12.51</w:t>
      </w:r>
      <w:r>
        <w:rPr>
          <w:rFonts w:hint="eastAsia"/>
          <w:highlight w:val="none"/>
          <w:lang w:val="en-US" w:eastAsia="zh-CN"/>
        </w:rPr>
        <w:t>平方千米</w:t>
      </w:r>
      <w:r>
        <w:rPr>
          <w:rFonts w:hint="eastAsia"/>
          <w:highlight w:val="none"/>
        </w:rPr>
        <w:t>，占总面积的5.06%；河源市水务局提供的水土保持生态治理统计报表和河源市林业局提供的河源市重点生态工程建设任务表显示，2013~2019年期间连平县水土流失治理面积合计95.74</w:t>
      </w:r>
      <w:r>
        <w:rPr>
          <w:rFonts w:hint="eastAsia"/>
          <w:highlight w:val="none"/>
          <w:lang w:val="en-US" w:eastAsia="zh-CN"/>
        </w:rPr>
        <w:t>平方千米</w:t>
      </w:r>
      <w:r>
        <w:rPr>
          <w:rFonts w:hint="eastAsia"/>
          <w:highlight w:val="none"/>
        </w:rPr>
        <w:t>，由此可见，连平县水土流失面积总体呈下降趋势，但新生水土流失未能完全有效遏制。</w:t>
      </w:r>
    </w:p>
    <w:p>
      <w:pPr>
        <w:ind w:firstLine="0" w:firstLineChars="0"/>
        <w:rPr>
          <w:highlight w:val="none"/>
        </w:rPr>
      </w:pPr>
      <w:r>
        <w:rPr>
          <w:highlight w:val="none"/>
        </w:rPr>
        <w:drawing>
          <wp:inline distT="0" distB="0" distL="0" distR="0">
            <wp:extent cx="5591175" cy="2752725"/>
            <wp:effectExtent l="0" t="0" r="9525" b="952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0" w:firstLineChars="0"/>
        <w:jc w:val="center"/>
        <w:rPr>
          <w:b/>
          <w:highlight w:val="none"/>
        </w:rPr>
      </w:pPr>
      <w:r>
        <w:rPr>
          <w:rFonts w:hint="eastAsia"/>
          <w:b/>
          <w:highlight w:val="none"/>
        </w:rPr>
        <w:t>图3.3-11 连平县水土流失变化趋势分析图</w:t>
      </w:r>
    </w:p>
    <w:p>
      <w:pPr>
        <w:pStyle w:val="90"/>
        <w:numPr>
          <w:ilvl w:val="3"/>
          <w:numId w:val="1"/>
        </w:numPr>
        <w:spacing w:before="0" w:beforeLines="0" w:after="0" w:afterLines="0"/>
        <w:ind w:left="0" w:firstLine="0"/>
        <w:rPr>
          <w:rFonts w:eastAsia="宋体"/>
          <w:highlight w:val="none"/>
        </w:rPr>
      </w:pPr>
      <w:r>
        <w:rPr>
          <w:rFonts w:eastAsia="宋体"/>
          <w:highlight w:val="none"/>
        </w:rPr>
        <w:t>水土</w:t>
      </w:r>
      <w:r>
        <w:rPr>
          <w:rFonts w:hint="eastAsia" w:eastAsia="宋体"/>
          <w:highlight w:val="none"/>
        </w:rPr>
        <w:t>保持</w:t>
      </w:r>
      <w:r>
        <w:rPr>
          <w:rFonts w:eastAsia="宋体"/>
          <w:highlight w:val="none"/>
        </w:rPr>
        <w:t>区划</w:t>
      </w:r>
    </w:p>
    <w:p>
      <w:pPr>
        <w:ind w:firstLine="480"/>
        <w:rPr>
          <w:highlight w:val="none"/>
        </w:rPr>
      </w:pPr>
      <w:r>
        <w:rPr>
          <w:rFonts w:hint="eastAsia"/>
          <w:highlight w:val="none"/>
        </w:rPr>
        <w:t>根据《河源市水土保护规划（2019-2030年）》，基于广东省第四次水土流失遥感普查成果报告、河源市2019年统计年鉴及 2013-2019历年的水土流失综合治理统计数据，将河源市划分为3个五级区，分别为：北部、南部山地丘陵土壤保持和水源涵养区（I）、中部低山丘陵生态维护和水源涵养区（Ⅱ）和中部平原人居环境维护和水质维护区（Ⅲ）。其中，连平县为河源市北部山地丘陵土壤保持和水源涵养区，水土流失具体防治需求及治理模式如下表3.3-2所示。</w:t>
      </w:r>
    </w:p>
    <w:p>
      <w:pPr>
        <w:ind w:firstLine="0" w:firstLineChars="0"/>
        <w:jc w:val="center"/>
        <w:rPr>
          <w:b/>
          <w:highlight w:val="none"/>
        </w:rPr>
        <w:sectPr>
          <w:pgSz w:w="11907" w:h="16840"/>
          <w:pgMar w:top="1440" w:right="1803" w:bottom="1440" w:left="1803" w:header="851" w:footer="992" w:gutter="0"/>
          <w:cols w:space="0" w:num="1"/>
          <w:docGrid w:type="lines" w:linePitch="326" w:charSpace="0"/>
        </w:sectPr>
      </w:pPr>
    </w:p>
    <w:p>
      <w:pPr>
        <w:ind w:firstLine="0" w:firstLineChars="0"/>
        <w:jc w:val="center"/>
        <w:rPr>
          <w:b/>
          <w:highlight w:val="none"/>
        </w:rPr>
      </w:pPr>
      <w:r>
        <w:rPr>
          <w:rFonts w:hint="eastAsia"/>
          <w:b/>
          <w:highlight w:val="none"/>
        </w:rPr>
        <w:t>表3.3-2 连平县水土保持区划结果、水土流失防治需求及治理模式</w:t>
      </w:r>
    </w:p>
    <w:tbl>
      <w:tblPr>
        <w:tblStyle w:val="34"/>
        <w:tblW w:w="9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34"/>
        <w:gridCol w:w="1929"/>
        <w:gridCol w:w="5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2" w:type="dxa"/>
            <w:vAlign w:val="center"/>
          </w:tcPr>
          <w:p>
            <w:pPr>
              <w:spacing w:line="240" w:lineRule="auto"/>
              <w:ind w:firstLine="0" w:firstLineChars="0"/>
              <w:jc w:val="center"/>
              <w:rPr>
                <w:b/>
                <w:sz w:val="21"/>
                <w:szCs w:val="21"/>
                <w:highlight w:val="none"/>
              </w:rPr>
            </w:pPr>
            <w:r>
              <w:rPr>
                <w:rFonts w:hint="eastAsia"/>
                <w:b/>
                <w:sz w:val="21"/>
                <w:szCs w:val="21"/>
                <w:highlight w:val="none"/>
              </w:rPr>
              <w:t>省四级区名称</w:t>
            </w:r>
          </w:p>
        </w:tc>
        <w:tc>
          <w:tcPr>
            <w:tcW w:w="1134" w:type="dxa"/>
            <w:vAlign w:val="center"/>
          </w:tcPr>
          <w:p>
            <w:pPr>
              <w:spacing w:line="240" w:lineRule="auto"/>
              <w:ind w:firstLine="0" w:firstLineChars="0"/>
              <w:jc w:val="center"/>
              <w:rPr>
                <w:b/>
                <w:sz w:val="21"/>
                <w:szCs w:val="21"/>
                <w:highlight w:val="none"/>
              </w:rPr>
            </w:pPr>
            <w:r>
              <w:rPr>
                <w:rFonts w:hint="eastAsia"/>
                <w:b/>
                <w:sz w:val="21"/>
                <w:szCs w:val="21"/>
                <w:highlight w:val="none"/>
              </w:rPr>
              <w:t>河源市区划名称</w:t>
            </w:r>
          </w:p>
        </w:tc>
        <w:tc>
          <w:tcPr>
            <w:tcW w:w="1929" w:type="dxa"/>
            <w:vAlign w:val="center"/>
          </w:tcPr>
          <w:p>
            <w:pPr>
              <w:spacing w:line="240" w:lineRule="auto"/>
              <w:ind w:firstLine="0" w:firstLineChars="0"/>
              <w:jc w:val="center"/>
              <w:rPr>
                <w:b/>
                <w:sz w:val="21"/>
                <w:szCs w:val="21"/>
                <w:highlight w:val="none"/>
              </w:rPr>
            </w:pPr>
            <w:r>
              <w:rPr>
                <w:rFonts w:hint="eastAsia"/>
                <w:b/>
                <w:sz w:val="21"/>
                <w:szCs w:val="21"/>
                <w:highlight w:val="none"/>
              </w:rPr>
              <w:t>行政区</w:t>
            </w:r>
          </w:p>
        </w:tc>
        <w:tc>
          <w:tcPr>
            <w:tcW w:w="5772" w:type="dxa"/>
            <w:vAlign w:val="center"/>
          </w:tcPr>
          <w:p>
            <w:pPr>
              <w:spacing w:line="240" w:lineRule="auto"/>
              <w:ind w:firstLine="0" w:firstLineChars="0"/>
              <w:jc w:val="center"/>
              <w:rPr>
                <w:b/>
                <w:sz w:val="21"/>
                <w:szCs w:val="21"/>
                <w:highlight w:val="none"/>
              </w:rPr>
            </w:pPr>
            <w:r>
              <w:rPr>
                <w:rFonts w:hint="eastAsia"/>
                <w:b/>
                <w:sz w:val="21"/>
                <w:szCs w:val="21"/>
                <w:highlight w:val="none"/>
              </w:rPr>
              <w:t>水土保持防治方向及治理模式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ind w:firstLine="0" w:firstLineChars="0"/>
              <w:jc w:val="center"/>
              <w:rPr>
                <w:sz w:val="21"/>
                <w:szCs w:val="21"/>
                <w:highlight w:val="none"/>
              </w:rPr>
            </w:pPr>
            <w:r>
              <w:rPr>
                <w:rFonts w:hint="eastAsia"/>
                <w:sz w:val="21"/>
                <w:szCs w:val="21"/>
                <w:highlight w:val="none"/>
              </w:rPr>
              <w:t>岭南东部山地丘陵土壤保持水源涵养区（Ⅱ</w:t>
            </w:r>
            <w:r>
              <w:rPr>
                <w:rFonts w:hint="eastAsia"/>
                <w:sz w:val="21"/>
                <w:szCs w:val="21"/>
                <w:highlight w:val="none"/>
                <w:vertAlign w:val="subscript"/>
              </w:rPr>
              <w:t>1</w:t>
            </w:r>
            <w:r>
              <w:rPr>
                <w:rFonts w:hint="eastAsia"/>
                <w:sz w:val="21"/>
                <w:szCs w:val="21"/>
                <w:highlight w:val="none"/>
              </w:rPr>
              <w:t>）</w:t>
            </w:r>
          </w:p>
        </w:tc>
        <w:tc>
          <w:tcPr>
            <w:tcW w:w="1134" w:type="dxa"/>
            <w:vAlign w:val="center"/>
          </w:tcPr>
          <w:p>
            <w:pPr>
              <w:spacing w:line="240" w:lineRule="auto"/>
              <w:ind w:firstLine="0" w:firstLineChars="0"/>
              <w:jc w:val="center"/>
              <w:rPr>
                <w:sz w:val="21"/>
                <w:szCs w:val="21"/>
                <w:highlight w:val="none"/>
              </w:rPr>
            </w:pPr>
            <w:r>
              <w:rPr>
                <w:rFonts w:hint="eastAsia"/>
                <w:sz w:val="21"/>
                <w:szCs w:val="21"/>
                <w:highlight w:val="none"/>
              </w:rPr>
              <w:t>北部、南部山地丘陵土壤保持和水源涵养区（I）</w:t>
            </w:r>
          </w:p>
        </w:tc>
        <w:tc>
          <w:tcPr>
            <w:tcW w:w="1929" w:type="dxa"/>
            <w:vAlign w:val="center"/>
          </w:tcPr>
          <w:p>
            <w:pPr>
              <w:spacing w:line="240" w:lineRule="auto"/>
              <w:ind w:firstLine="0" w:firstLineChars="0"/>
              <w:jc w:val="center"/>
              <w:rPr>
                <w:sz w:val="21"/>
                <w:szCs w:val="21"/>
                <w:highlight w:val="none"/>
              </w:rPr>
            </w:pPr>
            <w:r>
              <w:rPr>
                <w:rFonts w:hint="eastAsia"/>
                <w:sz w:val="21"/>
                <w:szCs w:val="21"/>
                <w:highlight w:val="none"/>
              </w:rPr>
              <w:t>上坪、内莞、元善、陂头、溪山、隆街、田源、油溪、忠信、高莞、大湖、三角、绣缎</w:t>
            </w:r>
          </w:p>
        </w:tc>
        <w:tc>
          <w:tcPr>
            <w:tcW w:w="5772" w:type="dxa"/>
            <w:vAlign w:val="center"/>
          </w:tcPr>
          <w:p>
            <w:pPr>
              <w:spacing w:line="240" w:lineRule="auto"/>
              <w:ind w:firstLine="0" w:firstLineChars="0"/>
              <w:jc w:val="left"/>
              <w:rPr>
                <w:sz w:val="21"/>
                <w:szCs w:val="21"/>
                <w:highlight w:val="none"/>
              </w:rPr>
            </w:pPr>
            <w:r>
              <w:rPr>
                <w:rFonts w:hint="eastAsia"/>
                <w:b/>
                <w:sz w:val="21"/>
                <w:szCs w:val="21"/>
                <w:highlight w:val="none"/>
              </w:rPr>
              <w:t>主要防治对象：</w:t>
            </w:r>
            <w:r>
              <w:rPr>
                <w:rFonts w:hint="eastAsia"/>
                <w:sz w:val="21"/>
                <w:szCs w:val="21"/>
                <w:highlight w:val="none"/>
              </w:rPr>
              <w:t>控制人为水土流失，加强山丘区自然水土流失治理及坡耕地治理，实施生态清洁型小流域治理，进行坡耕地综合治理。</w:t>
            </w:r>
          </w:p>
          <w:p>
            <w:pPr>
              <w:spacing w:line="240" w:lineRule="auto"/>
              <w:ind w:firstLine="0" w:firstLineChars="0"/>
              <w:jc w:val="left"/>
              <w:rPr>
                <w:sz w:val="21"/>
                <w:szCs w:val="21"/>
                <w:highlight w:val="none"/>
              </w:rPr>
            </w:pPr>
            <w:r>
              <w:rPr>
                <w:rFonts w:hint="eastAsia"/>
                <w:b/>
                <w:sz w:val="21"/>
                <w:szCs w:val="21"/>
                <w:highlight w:val="none"/>
              </w:rPr>
              <w:t>水土流失防治方向：</w:t>
            </w:r>
            <w:r>
              <w:rPr>
                <w:rFonts w:hint="eastAsia"/>
                <w:sz w:val="21"/>
                <w:szCs w:val="21"/>
                <w:highlight w:val="none"/>
              </w:rPr>
              <w:t>①实施重要水源地上游和水库开发利用区预防保护措施，维护现有植被和自然生态系统，扩大森林面积，涵养水源，并在主要河流两岸和水库周边营造水源防护林，控制面源污染；②加强山地丘陵地区的水土保持生态建设，点面结合，开展清洁小流域治理；生态发展区要坚持生态环保为主，加快建设重点生态功能保护区，确保生态功能的恢复和保育，逐步恢复生态平衡，遏制可能出现的生态环境质量下降趋势；③严格控制山地开发活动，实施开发建设项目准入制，加强生态环境保护，加强园区建设、交通运输等生产建设活动监督管理。禁止开发区要实施强制性保护，研究制定符合实际的生态补偿政策，严禁不符合规定的任何开发活动，依法关停所有排放企业，实现零排放；④在禁火期和禁火区域继续推行严格的禁火令，做好防火劝导宣传，加强监督管理，从源头控制火烧迹地的产生；⑤采取综合治理模式进行崩岗治理，通过建立工程防护体系，营造水土保持林草，恢复植被，控制水土流失，改善区域生态环境。</w:t>
            </w:r>
          </w:p>
          <w:p>
            <w:pPr>
              <w:spacing w:line="240" w:lineRule="auto"/>
              <w:ind w:firstLine="0" w:firstLineChars="0"/>
              <w:jc w:val="left"/>
              <w:rPr>
                <w:sz w:val="21"/>
                <w:szCs w:val="21"/>
                <w:highlight w:val="none"/>
              </w:rPr>
            </w:pPr>
            <w:r>
              <w:rPr>
                <w:rFonts w:hint="eastAsia"/>
                <w:b/>
                <w:sz w:val="21"/>
                <w:szCs w:val="21"/>
                <w:highlight w:val="none"/>
              </w:rPr>
              <w:t>治理模式：</w:t>
            </w:r>
            <w:r>
              <w:rPr>
                <w:rFonts w:hint="eastAsia"/>
                <w:sz w:val="21"/>
                <w:szCs w:val="21"/>
                <w:highlight w:val="none"/>
              </w:rPr>
              <w:t>水源地上游生态保护区生态修复模式，清洁小流域（片区）治理模式，坡面水系治理模式，坡耕地治理模式、崩岗治理模式。</w:t>
            </w:r>
          </w:p>
        </w:tc>
      </w:tr>
    </w:tbl>
    <w:p>
      <w:pPr>
        <w:pStyle w:val="90"/>
        <w:numPr>
          <w:ilvl w:val="3"/>
          <w:numId w:val="1"/>
        </w:numPr>
        <w:spacing w:before="0" w:beforeLines="0" w:after="0" w:afterLines="0"/>
        <w:ind w:left="0" w:firstLine="0"/>
        <w:rPr>
          <w:rFonts w:eastAsia="宋体"/>
          <w:highlight w:val="none"/>
        </w:rPr>
      </w:pPr>
      <w:r>
        <w:rPr>
          <w:rFonts w:hint="eastAsia" w:eastAsia="宋体"/>
          <w:highlight w:val="none"/>
        </w:rPr>
        <w:t>问题诊断</w:t>
      </w:r>
    </w:p>
    <w:p>
      <w:pPr>
        <w:ind w:firstLine="480"/>
        <w:rPr>
          <w:highlight w:val="none"/>
        </w:rPr>
      </w:pPr>
      <w:r>
        <w:rPr>
          <w:rFonts w:hint="eastAsia"/>
          <w:highlight w:val="none"/>
        </w:rPr>
        <w:t>连平县水土流失面积总体呈下降趋势，但新生水土流失未能完全有效遏制，究其原因，主要有以下几点：</w:t>
      </w:r>
    </w:p>
    <w:p>
      <w:pPr>
        <w:ind w:firstLine="480"/>
        <w:rPr>
          <w:highlight w:val="none"/>
        </w:rPr>
      </w:pPr>
      <w:r>
        <w:rPr>
          <w:rFonts w:hint="eastAsia"/>
          <w:highlight w:val="none"/>
        </w:rPr>
        <w:t>①地形地貌和气候自然条件。连平县地形以山地、丘陵为主，由中生界侏罗系地层及花岗岩体构成山岭主体，并且岩石的风化壳比较厚，容易造成大面积的土壤侵蚀。区域暴雨次数多，降雨量大，暴雨急流对脆弱母岩和植被覆盖少的下垫面层易冲蚀，在没有集中进行治理和预防的情况下，容易造成水土流失。</w:t>
      </w:r>
    </w:p>
    <w:p>
      <w:pPr>
        <w:ind w:firstLine="480"/>
        <w:rPr>
          <w:highlight w:val="none"/>
        </w:rPr>
      </w:pPr>
      <w:r>
        <w:rPr>
          <w:rFonts w:hint="eastAsia"/>
          <w:highlight w:val="none"/>
        </w:rPr>
        <w:t>②耕地资源不足，农业开发程度较高。连平县山地多，耕地数量不足，导致农业开发程度较高，近年来坡耕地面积增幅较大。从土地资源的利用角度来看，水土流失最严重的是坡耕地，尤其是在雨季，坡耕地水土流失问题更加严重。</w:t>
      </w:r>
    </w:p>
    <w:p>
      <w:pPr>
        <w:ind w:firstLine="480"/>
        <w:rPr>
          <w:highlight w:val="none"/>
        </w:rPr>
      </w:pPr>
      <w:r>
        <w:rPr>
          <w:rFonts w:hint="eastAsia"/>
          <w:highlight w:val="none"/>
        </w:rPr>
        <w:t>③森林生态系统水土保持支撑能力不强。连平县森林质量总体不高，纯林多、混交林少，树种结构较单一，且多为单层林，森林生态系统稳定性差。人为干扰大，林地被征占用现象长期存在，林地面积逐年减少，松材线虫病、薇甘菊等林业有害生物威胁大，导致森林生态系统水土保持支撑能力不强。</w:t>
      </w:r>
    </w:p>
    <w:p>
      <w:pPr>
        <w:ind w:firstLine="480"/>
        <w:rPr>
          <w:b/>
          <w:color w:val="FF0000"/>
          <w:highlight w:val="none"/>
        </w:rPr>
      </w:pPr>
      <w:r>
        <w:rPr>
          <w:rFonts w:hint="eastAsia"/>
          <w:highlight w:val="none"/>
        </w:rPr>
        <w:t>连平县水土流失主要类型为坡耕地水土流失以及轻度自然侵蚀，主要分布在连平中部连平河与大席河流域，涉及元善镇、溪山镇、上坪镇、内莞镇、田源镇等；以及东北面忠信河、大湖河、五禾水流域，涉及高莞镇、忠信镇、三角镇、大湖镇、绣缎镇等。规划期，应以连平中部连平河、大席河以及东北面忠信河、大湖河、五禾水流域应为水土流失防治重点区域，对高莞高莞水库、三角称沟水水库、连平县鹤湖河、高莞甘坑水、内莞大塘缺水、田源船洞水、溪山石坑河、忠信桥南岗水等饮用水源保护地通过封育、水土保持林草等措施进行预防保护，提升水源涵养功能，并强化重点区域内坡耕地水土流失治理。</w:t>
      </w:r>
    </w:p>
    <w:p>
      <w:pPr>
        <w:pStyle w:val="89"/>
        <w:numPr>
          <w:ilvl w:val="2"/>
          <w:numId w:val="1"/>
        </w:numPr>
        <w:ind w:left="0" w:firstLine="0"/>
        <w:rPr>
          <w:rFonts w:eastAsia="宋体"/>
          <w:highlight w:val="none"/>
        </w:rPr>
      </w:pPr>
      <w:bookmarkStart w:id="65" w:name="_Toc140764111"/>
      <w:r>
        <w:rPr>
          <w:rFonts w:eastAsia="宋体"/>
          <w:highlight w:val="none"/>
        </w:rPr>
        <w:t>水生态环境</w:t>
      </w:r>
      <w:bookmarkEnd w:id="65"/>
    </w:p>
    <w:p>
      <w:pPr>
        <w:pStyle w:val="90"/>
        <w:numPr>
          <w:ilvl w:val="3"/>
          <w:numId w:val="1"/>
        </w:numPr>
        <w:spacing w:before="0" w:beforeLines="0" w:after="0" w:afterLines="0"/>
        <w:ind w:left="0" w:firstLine="0"/>
        <w:rPr>
          <w:rFonts w:eastAsia="宋体"/>
          <w:highlight w:val="none"/>
        </w:rPr>
      </w:pPr>
      <w:r>
        <w:rPr>
          <w:rFonts w:eastAsia="宋体"/>
          <w:highlight w:val="none"/>
        </w:rPr>
        <w:t>水资源</w:t>
      </w:r>
    </w:p>
    <w:p>
      <w:pPr>
        <w:ind w:firstLine="482"/>
        <w:rPr>
          <w:b/>
          <w:highlight w:val="none"/>
        </w:rPr>
      </w:pPr>
      <w:r>
        <w:rPr>
          <w:rFonts w:hint="eastAsia"/>
          <w:b/>
          <w:highlight w:val="none"/>
        </w:rPr>
        <w:t>（1）水资源概况</w:t>
      </w:r>
    </w:p>
    <w:p>
      <w:pPr>
        <w:ind w:firstLine="480"/>
        <w:rPr>
          <w:highlight w:val="none"/>
        </w:rPr>
      </w:pPr>
      <w:r>
        <w:rPr>
          <w:rFonts w:hint="eastAsia"/>
          <w:highlight w:val="none"/>
        </w:rPr>
        <w:t>连平县境内分属东江、北江两大水系。东江水系河流有连平河、大席河、忠信河和大湖河，流域面积1965.5平方</w:t>
      </w:r>
      <w:r>
        <w:rPr>
          <w:rFonts w:hint="eastAsia"/>
          <w:highlight w:val="none"/>
          <w:lang w:val="en-US" w:eastAsia="zh-CN"/>
        </w:rPr>
        <w:t>千米</w:t>
      </w:r>
      <w:r>
        <w:rPr>
          <w:rFonts w:hint="eastAsia"/>
          <w:highlight w:val="none"/>
        </w:rPr>
        <w:t>，占全县土地总面积的83.11%。大小支流57条，其中集雨面积10平方</w:t>
      </w:r>
      <w:r>
        <w:rPr>
          <w:rFonts w:hint="eastAsia"/>
          <w:highlight w:val="none"/>
          <w:lang w:val="en-US" w:eastAsia="zh-CN"/>
        </w:rPr>
        <w:t>千米</w:t>
      </w:r>
      <w:r>
        <w:rPr>
          <w:rFonts w:hint="eastAsia"/>
          <w:highlight w:val="none"/>
        </w:rPr>
        <w:t>以上支流42条。北江水系主要河流有陂头河和贵东河，流域面积313.4平方</w:t>
      </w:r>
      <w:r>
        <w:rPr>
          <w:rFonts w:hint="eastAsia"/>
          <w:highlight w:val="none"/>
          <w:lang w:val="en-US" w:eastAsia="zh-CN"/>
        </w:rPr>
        <w:t>千米</w:t>
      </w:r>
      <w:r>
        <w:rPr>
          <w:rFonts w:hint="eastAsia"/>
          <w:highlight w:val="none"/>
        </w:rPr>
        <w:t>，占全县土地面积的13.25%。大小支流11条，其中集雨面积10平方</w:t>
      </w:r>
      <w:r>
        <w:rPr>
          <w:rFonts w:hint="eastAsia"/>
          <w:highlight w:val="none"/>
          <w:lang w:val="en-US" w:eastAsia="zh-CN"/>
        </w:rPr>
        <w:t>千米</w:t>
      </w:r>
      <w:r>
        <w:rPr>
          <w:rFonts w:hint="eastAsia"/>
          <w:highlight w:val="none"/>
        </w:rPr>
        <w:t>以上支流7条。从空间上看，连平县水资源包括北江大坑口以下和东江秋香江口以上两个分区，建有大中型水库1座，为瓮潭水库，位于东江秋香江口以上水资源分区。</w:t>
      </w:r>
    </w:p>
    <w:p>
      <w:pPr>
        <w:ind w:firstLine="480"/>
        <w:rPr>
          <w:highlight w:val="none"/>
        </w:rPr>
      </w:pPr>
      <w:r>
        <w:rPr>
          <w:rFonts w:hint="eastAsia"/>
          <w:highlight w:val="none"/>
        </w:rPr>
        <w:t>根据《广东省河源市连平县江河流域综合规划修编报告》（2020年），连平全县多年平均降雨量1760毫米，各流域内统计年限是最长的雨量站有连平站和忠信站，据连平站1952年至2008年资料统计，多年平均降雨量1784毫米，最大年降雨量为1975年的2841毫米，最小年降雨量为1968年的1004毫米，两者相差2.83倍。最大1小时暴雨量为1992年4月23日的121毫米，最大24小时暴雨量为1964年6月14日的278.1毫米，最大3天暴雨量为1964年6月13日开始的382毫米。各流域降雨量年内分配不均，春旱、夏洪、秋旱比较突出。连平县多年平均径流深980</w:t>
      </w:r>
      <w:r>
        <w:rPr>
          <w:rFonts w:hint="eastAsia"/>
          <w:highlight w:val="none"/>
          <w:lang w:val="en-US" w:eastAsia="zh-CN"/>
        </w:rPr>
        <w:t>毫米</w:t>
      </w:r>
      <w:r>
        <w:rPr>
          <w:rFonts w:hint="eastAsia"/>
          <w:highlight w:val="none"/>
        </w:rPr>
        <w:t>，年径流总量22.33亿立方米。但年内分配不均，汛期4~9月径流量占全年79%~81%，干旱年份山区小河溪接近断流。</w:t>
      </w:r>
    </w:p>
    <w:p>
      <w:pPr>
        <w:ind w:firstLineChars="83"/>
        <w:jc w:val="center"/>
        <w:rPr>
          <w:b/>
          <w:highlight w:val="none"/>
        </w:rPr>
      </w:pPr>
      <w:r>
        <w:rPr>
          <w:rFonts w:hint="eastAsia"/>
          <w:b/>
          <w:highlight w:val="none"/>
        </w:rPr>
        <w:t>表3.3-3 2021年连平县大中型水库需水动态</w:t>
      </w:r>
    </w:p>
    <w:tbl>
      <w:tblPr>
        <w:tblStyle w:val="33"/>
        <w:tblW w:w="4993" w:type="pct"/>
        <w:jc w:val="center"/>
        <w:tblLayout w:type="fixed"/>
        <w:tblCellMar>
          <w:top w:w="0" w:type="dxa"/>
          <w:left w:w="108" w:type="dxa"/>
          <w:bottom w:w="0" w:type="dxa"/>
          <w:right w:w="108" w:type="dxa"/>
        </w:tblCellMar>
      </w:tblPr>
      <w:tblGrid>
        <w:gridCol w:w="1277"/>
        <w:gridCol w:w="1276"/>
        <w:gridCol w:w="1276"/>
        <w:gridCol w:w="1558"/>
        <w:gridCol w:w="1703"/>
        <w:gridCol w:w="1415"/>
      </w:tblGrid>
      <w:tr>
        <w:tblPrEx>
          <w:tblCellMar>
            <w:top w:w="0" w:type="dxa"/>
            <w:left w:w="108" w:type="dxa"/>
            <w:bottom w:w="0" w:type="dxa"/>
            <w:right w:w="108" w:type="dxa"/>
          </w:tblCellMar>
        </w:tblPrEx>
        <w:trPr>
          <w:trHeight w:val="710" w:hRule="atLeast"/>
          <w:jc w:val="center"/>
        </w:trPr>
        <w:tc>
          <w:tcPr>
            <w:tcW w:w="7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水库名称</w:t>
            </w:r>
          </w:p>
        </w:tc>
        <w:tc>
          <w:tcPr>
            <w:tcW w:w="75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水库规模</w:t>
            </w:r>
          </w:p>
        </w:tc>
        <w:tc>
          <w:tcPr>
            <w:tcW w:w="75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总库容</w:t>
            </w:r>
            <w:r>
              <w:rPr>
                <w:b/>
                <w:color w:val="000000"/>
                <w:kern w:val="0"/>
                <w:sz w:val="21"/>
                <w:szCs w:val="21"/>
                <w:highlight w:val="none"/>
              </w:rPr>
              <w:br w:type="textWrapping"/>
            </w:r>
            <w:r>
              <w:rPr>
                <w:b/>
                <w:color w:val="000000"/>
                <w:kern w:val="0"/>
                <w:sz w:val="21"/>
                <w:szCs w:val="21"/>
                <w:highlight w:val="none"/>
              </w:rPr>
              <w:t>（万</w:t>
            </w:r>
            <w:r>
              <w:rPr>
                <w:rFonts w:hint="eastAsia"/>
                <w:b/>
                <w:color w:val="000000"/>
                <w:kern w:val="0"/>
                <w:sz w:val="21"/>
                <w:szCs w:val="21"/>
                <w:highlight w:val="none"/>
                <w:lang w:val="en-US" w:eastAsia="zh-CN"/>
              </w:rPr>
              <w:t>立方米</w:t>
            </w:r>
            <w:r>
              <w:rPr>
                <w:b/>
                <w:color w:val="000000"/>
                <w:kern w:val="0"/>
                <w:sz w:val="21"/>
                <w:szCs w:val="21"/>
                <w:highlight w:val="none"/>
              </w:rPr>
              <w:t>）</w:t>
            </w:r>
          </w:p>
        </w:tc>
        <w:tc>
          <w:tcPr>
            <w:tcW w:w="91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年初蓄水总量</w:t>
            </w:r>
            <w:r>
              <w:rPr>
                <w:b/>
                <w:color w:val="000000"/>
                <w:kern w:val="0"/>
                <w:sz w:val="21"/>
                <w:szCs w:val="21"/>
                <w:highlight w:val="none"/>
              </w:rPr>
              <w:br w:type="textWrapping"/>
            </w:r>
            <w:r>
              <w:rPr>
                <w:b/>
                <w:color w:val="000000"/>
                <w:kern w:val="0"/>
                <w:sz w:val="21"/>
                <w:szCs w:val="21"/>
                <w:highlight w:val="none"/>
              </w:rPr>
              <w:t>（万</w:t>
            </w:r>
            <w:r>
              <w:rPr>
                <w:rFonts w:hint="eastAsia"/>
                <w:b/>
                <w:color w:val="000000"/>
                <w:kern w:val="0"/>
                <w:sz w:val="21"/>
                <w:szCs w:val="21"/>
                <w:highlight w:val="none"/>
                <w:lang w:val="en-US" w:eastAsia="zh-CN"/>
              </w:rPr>
              <w:t>立方米</w:t>
            </w:r>
            <w:r>
              <w:rPr>
                <w:b/>
                <w:color w:val="000000"/>
                <w:kern w:val="0"/>
                <w:sz w:val="21"/>
                <w:szCs w:val="21"/>
                <w:highlight w:val="none"/>
              </w:rPr>
              <w:t>）</w:t>
            </w:r>
          </w:p>
        </w:tc>
        <w:tc>
          <w:tcPr>
            <w:tcW w:w="100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年末蓄水总量</w:t>
            </w:r>
            <w:r>
              <w:rPr>
                <w:b/>
                <w:color w:val="000000"/>
                <w:kern w:val="0"/>
                <w:sz w:val="21"/>
                <w:szCs w:val="21"/>
                <w:highlight w:val="none"/>
              </w:rPr>
              <w:br w:type="textWrapping"/>
            </w:r>
            <w:r>
              <w:rPr>
                <w:b/>
                <w:color w:val="000000"/>
                <w:kern w:val="0"/>
                <w:sz w:val="21"/>
                <w:szCs w:val="21"/>
                <w:highlight w:val="none"/>
              </w:rPr>
              <w:t>（万</w:t>
            </w:r>
            <w:r>
              <w:rPr>
                <w:rFonts w:hint="eastAsia"/>
                <w:b/>
                <w:color w:val="000000"/>
                <w:kern w:val="0"/>
                <w:sz w:val="21"/>
                <w:szCs w:val="21"/>
                <w:highlight w:val="none"/>
                <w:lang w:val="en-US" w:eastAsia="zh-CN"/>
              </w:rPr>
              <w:t>立方米</w:t>
            </w:r>
            <w:r>
              <w:rPr>
                <w:b/>
                <w:color w:val="000000"/>
                <w:kern w:val="0"/>
                <w:sz w:val="21"/>
                <w:szCs w:val="21"/>
                <w:highlight w:val="none"/>
              </w:rPr>
              <w:t>）</w:t>
            </w:r>
          </w:p>
        </w:tc>
        <w:tc>
          <w:tcPr>
            <w:tcW w:w="83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年蓄水变量</w:t>
            </w:r>
            <w:r>
              <w:rPr>
                <w:b/>
                <w:color w:val="000000"/>
                <w:kern w:val="0"/>
                <w:sz w:val="21"/>
                <w:szCs w:val="21"/>
                <w:highlight w:val="none"/>
              </w:rPr>
              <w:br w:type="textWrapping"/>
            </w:r>
            <w:r>
              <w:rPr>
                <w:b/>
                <w:color w:val="000000"/>
                <w:kern w:val="0"/>
                <w:sz w:val="21"/>
                <w:szCs w:val="21"/>
                <w:highlight w:val="none"/>
              </w:rPr>
              <w:t>（万</w:t>
            </w:r>
            <w:r>
              <w:rPr>
                <w:rFonts w:hint="eastAsia"/>
                <w:b/>
                <w:color w:val="000000"/>
                <w:kern w:val="0"/>
                <w:sz w:val="21"/>
                <w:szCs w:val="21"/>
                <w:highlight w:val="none"/>
                <w:lang w:val="en-US" w:eastAsia="zh-CN"/>
              </w:rPr>
              <w:t>立方米</w:t>
            </w:r>
            <w:r>
              <w:rPr>
                <w:b/>
                <w:color w:val="000000"/>
                <w:kern w:val="0"/>
                <w:sz w:val="21"/>
                <w:szCs w:val="21"/>
                <w:highlight w:val="none"/>
              </w:rPr>
              <w:t>）</w:t>
            </w:r>
          </w:p>
        </w:tc>
      </w:tr>
      <w:tr>
        <w:tblPrEx>
          <w:tblCellMar>
            <w:top w:w="0" w:type="dxa"/>
            <w:left w:w="108" w:type="dxa"/>
            <w:bottom w:w="0" w:type="dxa"/>
            <w:right w:w="108" w:type="dxa"/>
          </w:tblCellMar>
        </w:tblPrEx>
        <w:trPr>
          <w:trHeight w:val="423" w:hRule="atLeast"/>
          <w:jc w:val="center"/>
        </w:trPr>
        <w:tc>
          <w:tcPr>
            <w:tcW w:w="751"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瓮潭水库</w:t>
            </w:r>
          </w:p>
        </w:tc>
        <w:tc>
          <w:tcPr>
            <w:tcW w:w="7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中型</w:t>
            </w:r>
          </w:p>
        </w:tc>
        <w:tc>
          <w:tcPr>
            <w:tcW w:w="7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3173</w:t>
            </w:r>
          </w:p>
        </w:tc>
        <w:tc>
          <w:tcPr>
            <w:tcW w:w="91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237</w:t>
            </w:r>
          </w:p>
        </w:tc>
        <w:tc>
          <w:tcPr>
            <w:tcW w:w="100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117</w:t>
            </w:r>
          </w:p>
        </w:tc>
        <w:tc>
          <w:tcPr>
            <w:tcW w:w="83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-120</w:t>
            </w:r>
          </w:p>
        </w:tc>
      </w:tr>
    </w:tbl>
    <w:p>
      <w:pPr>
        <w:ind w:firstLine="480"/>
        <w:rPr>
          <w:highlight w:val="none"/>
        </w:rPr>
      </w:pPr>
      <w:r>
        <w:rPr>
          <w:highlight w:val="none"/>
        </w:rPr>
        <w:t>（</w:t>
      </w:r>
      <w:r>
        <w:rPr>
          <w:rFonts w:hint="eastAsia"/>
          <w:highlight w:val="none"/>
        </w:rPr>
        <w:t>2</w:t>
      </w:r>
      <w:r>
        <w:rPr>
          <w:highlight w:val="none"/>
        </w:rPr>
        <w:t>）水资源开发利用</w:t>
      </w:r>
    </w:p>
    <w:p>
      <w:pPr>
        <w:ind w:firstLine="480"/>
        <w:rPr>
          <w:highlight w:val="none"/>
        </w:rPr>
      </w:pPr>
      <w:r>
        <w:rPr>
          <w:rFonts w:hint="eastAsia" w:ascii="宋体" w:hAnsi="宋体" w:cs="宋体"/>
          <w:highlight w:val="none"/>
        </w:rPr>
        <w:t>①</w:t>
      </w:r>
      <w:r>
        <w:rPr>
          <w:highlight w:val="none"/>
        </w:rPr>
        <w:t>供水情况</w:t>
      </w:r>
    </w:p>
    <w:p>
      <w:pPr>
        <w:ind w:firstLine="480"/>
        <w:rPr>
          <w:highlight w:val="none"/>
        </w:rPr>
      </w:pPr>
      <w:r>
        <w:rPr>
          <w:highlight w:val="none"/>
        </w:rPr>
        <w:t>根据202</w:t>
      </w:r>
      <w:r>
        <w:rPr>
          <w:rFonts w:hint="eastAsia"/>
          <w:highlight w:val="none"/>
        </w:rPr>
        <w:t>1</w:t>
      </w:r>
      <w:r>
        <w:rPr>
          <w:highlight w:val="none"/>
        </w:rPr>
        <w:t>年</w:t>
      </w:r>
      <w:r>
        <w:rPr>
          <w:rFonts w:hint="eastAsia"/>
          <w:highlight w:val="none"/>
        </w:rPr>
        <w:t>连平县水资源统计成果</w:t>
      </w:r>
      <w:r>
        <w:rPr>
          <w:highlight w:val="none"/>
        </w:rPr>
        <w:t>，202</w:t>
      </w:r>
      <w:r>
        <w:rPr>
          <w:rFonts w:hint="eastAsia"/>
          <w:highlight w:val="none"/>
        </w:rPr>
        <w:t>1</w:t>
      </w:r>
      <w:r>
        <w:rPr>
          <w:highlight w:val="none"/>
        </w:rPr>
        <w:t>年连平县总供水量</w:t>
      </w:r>
      <w:r>
        <w:rPr>
          <w:rFonts w:hint="eastAsia"/>
          <w:highlight w:val="none"/>
        </w:rPr>
        <w:t>19224.44</w:t>
      </w:r>
      <w:r>
        <w:rPr>
          <w:highlight w:val="none"/>
        </w:rPr>
        <w:t>万</w:t>
      </w:r>
      <w:r>
        <w:rPr>
          <w:rFonts w:hint="eastAsia"/>
          <w:highlight w:val="none"/>
        </w:rPr>
        <w:t>立方米</w:t>
      </w:r>
      <w:r>
        <w:rPr>
          <w:highlight w:val="none"/>
        </w:rPr>
        <w:t>，其中地表水源供水</w:t>
      </w:r>
      <w:r>
        <w:rPr>
          <w:rFonts w:hint="eastAsia"/>
          <w:highlight w:val="none"/>
        </w:rPr>
        <w:t>19196.6</w:t>
      </w:r>
      <w:r>
        <w:rPr>
          <w:highlight w:val="none"/>
        </w:rPr>
        <w:t>万</w:t>
      </w:r>
      <w:r>
        <w:rPr>
          <w:rFonts w:hint="eastAsia"/>
          <w:highlight w:val="none"/>
        </w:rPr>
        <w:t>立方米</w:t>
      </w:r>
      <w:r>
        <w:rPr>
          <w:highlight w:val="none"/>
        </w:rPr>
        <w:t>，占总供水量的</w:t>
      </w:r>
      <w:r>
        <w:rPr>
          <w:rFonts w:hint="eastAsia"/>
          <w:highlight w:val="none"/>
        </w:rPr>
        <w:t>99.86</w:t>
      </w:r>
      <w:r>
        <w:rPr>
          <w:highlight w:val="none"/>
        </w:rPr>
        <w:t>%，地下水源供水</w:t>
      </w:r>
      <w:r>
        <w:rPr>
          <w:rFonts w:hint="eastAsia"/>
          <w:highlight w:val="none"/>
        </w:rPr>
        <w:t>27.84</w:t>
      </w:r>
      <w:r>
        <w:rPr>
          <w:highlight w:val="none"/>
        </w:rPr>
        <w:t>万</w:t>
      </w:r>
      <w:r>
        <w:rPr>
          <w:rFonts w:hint="eastAsia"/>
          <w:highlight w:val="none"/>
        </w:rPr>
        <w:t>立方米</w:t>
      </w:r>
      <w:r>
        <w:rPr>
          <w:highlight w:val="none"/>
        </w:rPr>
        <w:t>，占总供水量的</w:t>
      </w:r>
      <w:r>
        <w:rPr>
          <w:rFonts w:hint="eastAsia"/>
          <w:highlight w:val="none"/>
        </w:rPr>
        <w:t>0.14</w:t>
      </w:r>
      <w:r>
        <w:rPr>
          <w:highlight w:val="none"/>
        </w:rPr>
        <w:t>%。地表水源供水中，蓄水工程供水</w:t>
      </w:r>
      <w:r>
        <w:rPr>
          <w:rFonts w:hint="eastAsia"/>
          <w:highlight w:val="none"/>
        </w:rPr>
        <w:t>12477.79</w:t>
      </w:r>
      <w:r>
        <w:rPr>
          <w:highlight w:val="none"/>
        </w:rPr>
        <w:t>万</w:t>
      </w:r>
      <w:r>
        <w:rPr>
          <w:rFonts w:hint="eastAsia"/>
          <w:highlight w:val="none"/>
        </w:rPr>
        <w:t>立方米</w:t>
      </w:r>
      <w:r>
        <w:rPr>
          <w:highlight w:val="none"/>
        </w:rPr>
        <w:t>，占总供水量的</w:t>
      </w:r>
      <w:r>
        <w:rPr>
          <w:rFonts w:hint="eastAsia"/>
          <w:highlight w:val="none"/>
        </w:rPr>
        <w:t>64.91</w:t>
      </w:r>
      <w:r>
        <w:rPr>
          <w:highlight w:val="none"/>
        </w:rPr>
        <w:t>%；引水工程</w:t>
      </w:r>
      <w:r>
        <w:rPr>
          <w:rFonts w:hint="eastAsia"/>
          <w:highlight w:val="none"/>
        </w:rPr>
        <w:t>6718.81</w:t>
      </w:r>
      <w:r>
        <w:rPr>
          <w:highlight w:val="none"/>
        </w:rPr>
        <w:t>万</w:t>
      </w:r>
      <w:r>
        <w:rPr>
          <w:rFonts w:hint="eastAsia"/>
          <w:highlight w:val="none"/>
        </w:rPr>
        <w:t>立方米</w:t>
      </w:r>
      <w:r>
        <w:rPr>
          <w:highlight w:val="none"/>
        </w:rPr>
        <w:t>，占总供水量的</w:t>
      </w:r>
      <w:r>
        <w:rPr>
          <w:rFonts w:hint="eastAsia"/>
          <w:highlight w:val="none"/>
        </w:rPr>
        <w:t>34.95</w:t>
      </w:r>
      <w:r>
        <w:rPr>
          <w:highlight w:val="none"/>
        </w:rPr>
        <w:t>%。</w:t>
      </w:r>
    </w:p>
    <w:p>
      <w:pPr>
        <w:ind w:firstLine="0" w:firstLineChars="0"/>
        <w:jc w:val="center"/>
        <w:rPr>
          <w:color w:val="FF0000"/>
          <w:highlight w:val="none"/>
        </w:rPr>
      </w:pPr>
      <w:r>
        <w:rPr>
          <w:highlight w:val="none"/>
        </w:rPr>
        <w:drawing>
          <wp:inline distT="0" distB="0" distL="0" distR="0">
            <wp:extent cx="5267325" cy="3409950"/>
            <wp:effectExtent l="0" t="0" r="9525" b="1905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ind w:firstLine="0" w:firstLineChars="0"/>
        <w:jc w:val="center"/>
        <w:rPr>
          <w:b/>
          <w:highlight w:val="none"/>
        </w:rPr>
      </w:pPr>
      <w:r>
        <w:rPr>
          <w:b/>
          <w:highlight w:val="none"/>
        </w:rPr>
        <w:t>图3.</w:t>
      </w:r>
      <w:r>
        <w:rPr>
          <w:rFonts w:hint="eastAsia"/>
          <w:b/>
          <w:highlight w:val="none"/>
        </w:rPr>
        <w:t>3</w:t>
      </w:r>
      <w:r>
        <w:rPr>
          <w:b/>
          <w:highlight w:val="none"/>
        </w:rPr>
        <w:t>-</w:t>
      </w:r>
      <w:r>
        <w:rPr>
          <w:rFonts w:hint="eastAsia"/>
          <w:b/>
          <w:highlight w:val="none"/>
        </w:rPr>
        <w:t>12</w:t>
      </w:r>
      <w:r>
        <w:rPr>
          <w:b/>
          <w:highlight w:val="none"/>
        </w:rPr>
        <w:t xml:space="preserve"> </w:t>
      </w:r>
      <w:r>
        <w:rPr>
          <w:rFonts w:hint="eastAsia"/>
          <w:b/>
          <w:highlight w:val="none"/>
        </w:rPr>
        <w:t>连平</w:t>
      </w:r>
      <w:r>
        <w:rPr>
          <w:b/>
          <w:highlight w:val="none"/>
        </w:rPr>
        <w:t>县供水</w:t>
      </w:r>
      <w:r>
        <w:rPr>
          <w:rFonts w:hint="eastAsia"/>
          <w:b/>
          <w:highlight w:val="none"/>
        </w:rPr>
        <w:t>量</w:t>
      </w:r>
      <w:r>
        <w:rPr>
          <w:b/>
          <w:highlight w:val="none"/>
        </w:rPr>
        <w:t>统计图</w:t>
      </w:r>
    </w:p>
    <w:p>
      <w:pPr>
        <w:ind w:firstLine="480"/>
        <w:rPr>
          <w:highlight w:val="none"/>
        </w:rPr>
      </w:pPr>
      <w:r>
        <w:rPr>
          <w:rFonts w:hint="eastAsia" w:ascii="宋体" w:hAnsi="宋体" w:cs="宋体"/>
          <w:highlight w:val="none"/>
        </w:rPr>
        <w:t>②</w:t>
      </w:r>
      <w:r>
        <w:rPr>
          <w:highlight w:val="none"/>
        </w:rPr>
        <w:t>用水情况</w:t>
      </w:r>
    </w:p>
    <w:p>
      <w:pPr>
        <w:ind w:firstLine="480"/>
        <w:rPr>
          <w:highlight w:val="none"/>
        </w:rPr>
      </w:pPr>
      <w:r>
        <w:rPr>
          <w:highlight w:val="none"/>
        </w:rPr>
        <w:t>根据202</w:t>
      </w:r>
      <w:r>
        <w:rPr>
          <w:rFonts w:hint="eastAsia"/>
          <w:highlight w:val="none"/>
        </w:rPr>
        <w:t>1</w:t>
      </w:r>
      <w:r>
        <w:rPr>
          <w:highlight w:val="none"/>
        </w:rPr>
        <w:t>年</w:t>
      </w:r>
      <w:r>
        <w:rPr>
          <w:rFonts w:hint="eastAsia"/>
          <w:highlight w:val="none"/>
        </w:rPr>
        <w:t>连平县水资源统计成果</w:t>
      </w:r>
      <w:r>
        <w:rPr>
          <w:highlight w:val="none"/>
        </w:rPr>
        <w:t>，202</w:t>
      </w:r>
      <w:r>
        <w:rPr>
          <w:rFonts w:hint="eastAsia"/>
          <w:highlight w:val="none"/>
        </w:rPr>
        <w:t>1</w:t>
      </w:r>
      <w:r>
        <w:rPr>
          <w:highlight w:val="none"/>
        </w:rPr>
        <w:t>年</w:t>
      </w:r>
      <w:r>
        <w:rPr>
          <w:rFonts w:hint="eastAsia"/>
          <w:highlight w:val="none"/>
        </w:rPr>
        <w:t>连平</w:t>
      </w:r>
      <w:r>
        <w:rPr>
          <w:highlight w:val="none"/>
        </w:rPr>
        <w:t>县总用水量</w:t>
      </w:r>
      <w:r>
        <w:rPr>
          <w:rFonts w:hint="eastAsia"/>
          <w:highlight w:val="none"/>
        </w:rPr>
        <w:t>19224.4</w:t>
      </w:r>
      <w:r>
        <w:rPr>
          <w:highlight w:val="none"/>
        </w:rPr>
        <w:t>万</w:t>
      </w:r>
      <w:r>
        <w:rPr>
          <w:rFonts w:hint="eastAsia"/>
          <w:highlight w:val="none"/>
        </w:rPr>
        <w:t>立方米</w:t>
      </w:r>
      <w:r>
        <w:rPr>
          <w:highlight w:val="none"/>
        </w:rPr>
        <w:t>，其中农田灌溉用水</w:t>
      </w:r>
      <w:r>
        <w:rPr>
          <w:rFonts w:hint="eastAsia"/>
          <w:highlight w:val="none"/>
        </w:rPr>
        <w:t>15566.86</w:t>
      </w:r>
      <w:r>
        <w:rPr>
          <w:highlight w:val="none"/>
        </w:rPr>
        <w:t>万</w:t>
      </w:r>
      <w:r>
        <w:rPr>
          <w:rFonts w:hint="eastAsia"/>
          <w:highlight w:val="none"/>
        </w:rPr>
        <w:t>立方米</w:t>
      </w:r>
      <w:r>
        <w:rPr>
          <w:highlight w:val="none"/>
        </w:rPr>
        <w:t>，占总用水量的</w:t>
      </w:r>
      <w:r>
        <w:rPr>
          <w:rFonts w:hint="eastAsia"/>
          <w:highlight w:val="none"/>
        </w:rPr>
        <w:t>80.97</w:t>
      </w:r>
      <w:r>
        <w:rPr>
          <w:highlight w:val="none"/>
        </w:rPr>
        <w:t>%；林牧渔畜用水</w:t>
      </w:r>
      <w:r>
        <w:rPr>
          <w:rFonts w:hint="eastAsia"/>
          <w:highlight w:val="none"/>
        </w:rPr>
        <w:t>1331.16</w:t>
      </w:r>
      <w:r>
        <w:rPr>
          <w:highlight w:val="none"/>
        </w:rPr>
        <w:t>万</w:t>
      </w:r>
      <w:r>
        <w:rPr>
          <w:rFonts w:hint="eastAsia"/>
          <w:highlight w:val="none"/>
        </w:rPr>
        <w:t>立方米</w:t>
      </w:r>
      <w:r>
        <w:rPr>
          <w:highlight w:val="none"/>
        </w:rPr>
        <w:t>，占总用水量的</w:t>
      </w:r>
      <w:r>
        <w:rPr>
          <w:rFonts w:hint="eastAsia"/>
          <w:highlight w:val="none"/>
        </w:rPr>
        <w:t>6.92</w:t>
      </w:r>
      <w:r>
        <w:rPr>
          <w:highlight w:val="none"/>
        </w:rPr>
        <w:t>%；工业用水</w:t>
      </w:r>
      <w:r>
        <w:rPr>
          <w:rFonts w:hint="eastAsia"/>
          <w:highlight w:val="none"/>
        </w:rPr>
        <w:t>181.64</w:t>
      </w:r>
      <w:r>
        <w:rPr>
          <w:highlight w:val="none"/>
        </w:rPr>
        <w:t>万</w:t>
      </w:r>
      <w:r>
        <w:rPr>
          <w:rFonts w:hint="eastAsia"/>
          <w:highlight w:val="none"/>
        </w:rPr>
        <w:t>立方米</w:t>
      </w:r>
      <w:r>
        <w:rPr>
          <w:highlight w:val="none"/>
        </w:rPr>
        <w:t>，占总用水量的</w:t>
      </w:r>
      <w:r>
        <w:rPr>
          <w:rFonts w:hint="eastAsia"/>
          <w:highlight w:val="none"/>
        </w:rPr>
        <w:t>0.94</w:t>
      </w:r>
      <w:r>
        <w:rPr>
          <w:highlight w:val="none"/>
        </w:rPr>
        <w:t>%；城镇公共用水</w:t>
      </w:r>
      <w:r>
        <w:rPr>
          <w:rFonts w:hint="eastAsia"/>
          <w:highlight w:val="none"/>
        </w:rPr>
        <w:t>196.60</w:t>
      </w:r>
      <w:r>
        <w:rPr>
          <w:highlight w:val="none"/>
        </w:rPr>
        <w:t>万</w:t>
      </w:r>
      <w:r>
        <w:rPr>
          <w:rFonts w:hint="eastAsia"/>
          <w:highlight w:val="none"/>
        </w:rPr>
        <w:t>立方米</w:t>
      </w:r>
      <w:r>
        <w:rPr>
          <w:highlight w:val="none"/>
        </w:rPr>
        <w:t>，占总用水量的</w:t>
      </w:r>
      <w:r>
        <w:rPr>
          <w:rFonts w:hint="eastAsia"/>
          <w:highlight w:val="none"/>
        </w:rPr>
        <w:t>1.02</w:t>
      </w:r>
      <w:r>
        <w:rPr>
          <w:highlight w:val="none"/>
        </w:rPr>
        <w:t>%；</w:t>
      </w:r>
      <w:r>
        <w:rPr>
          <w:rFonts w:hint="eastAsia"/>
          <w:highlight w:val="none"/>
        </w:rPr>
        <w:t>居民</w:t>
      </w:r>
      <w:r>
        <w:rPr>
          <w:highlight w:val="none"/>
        </w:rPr>
        <w:t>生活用水</w:t>
      </w:r>
      <w:r>
        <w:rPr>
          <w:rFonts w:hint="eastAsia"/>
          <w:highlight w:val="none"/>
        </w:rPr>
        <w:t>1948.18</w:t>
      </w:r>
      <w:r>
        <w:rPr>
          <w:highlight w:val="none"/>
        </w:rPr>
        <w:t>万</w:t>
      </w:r>
      <w:r>
        <w:rPr>
          <w:rFonts w:hint="eastAsia"/>
          <w:highlight w:val="none"/>
        </w:rPr>
        <w:t>立方米</w:t>
      </w:r>
      <w:r>
        <w:rPr>
          <w:highlight w:val="none"/>
        </w:rPr>
        <w:t>，占总用水量的</w:t>
      </w:r>
      <w:r>
        <w:rPr>
          <w:rFonts w:hint="eastAsia"/>
          <w:highlight w:val="none"/>
        </w:rPr>
        <w:t>10.13</w:t>
      </w:r>
      <w:r>
        <w:rPr>
          <w:highlight w:val="none"/>
        </w:rPr>
        <w:t>%。农田灌溉用水中主要为水田用水</w:t>
      </w:r>
      <w:r>
        <w:rPr>
          <w:rFonts w:hint="eastAsia"/>
          <w:highlight w:val="none"/>
        </w:rPr>
        <w:t>，</w:t>
      </w:r>
      <w:r>
        <w:rPr>
          <w:highlight w:val="none"/>
        </w:rPr>
        <w:t>占农田灌溉用水量的</w:t>
      </w:r>
      <w:r>
        <w:rPr>
          <w:rFonts w:hint="eastAsia"/>
          <w:highlight w:val="none"/>
        </w:rPr>
        <w:t>94.44%；</w:t>
      </w:r>
      <w:r>
        <w:rPr>
          <w:highlight w:val="none"/>
        </w:rPr>
        <w:t>林牧渔畜用水中主要为鱼塘补水</w:t>
      </w:r>
      <w:r>
        <w:rPr>
          <w:rFonts w:hint="eastAsia"/>
          <w:highlight w:val="none"/>
        </w:rPr>
        <w:t>，</w:t>
      </w:r>
      <w:r>
        <w:rPr>
          <w:highlight w:val="none"/>
        </w:rPr>
        <w:t>其次为园地灌溉</w:t>
      </w:r>
      <w:r>
        <w:rPr>
          <w:rFonts w:hint="eastAsia"/>
          <w:highlight w:val="none"/>
        </w:rPr>
        <w:t>，</w:t>
      </w:r>
      <w:r>
        <w:rPr>
          <w:highlight w:val="none"/>
        </w:rPr>
        <w:t>分别占林牧渔畜用水量的</w:t>
      </w:r>
      <w:r>
        <w:rPr>
          <w:rFonts w:hint="eastAsia"/>
          <w:highlight w:val="none"/>
        </w:rPr>
        <w:t>62.35%和24.65%；工业用水以国有及规模以上企业用水为主，占工业用水量的96.34%；</w:t>
      </w:r>
      <w:r>
        <w:rPr>
          <w:highlight w:val="none"/>
        </w:rPr>
        <w:t>城镇公共用水以服务业为主</w:t>
      </w:r>
      <w:r>
        <w:rPr>
          <w:rFonts w:hint="eastAsia"/>
          <w:highlight w:val="none"/>
        </w:rPr>
        <w:t>，</w:t>
      </w:r>
      <w:r>
        <w:rPr>
          <w:highlight w:val="none"/>
        </w:rPr>
        <w:t>其次为建筑业</w:t>
      </w:r>
      <w:r>
        <w:rPr>
          <w:rFonts w:hint="eastAsia"/>
          <w:highlight w:val="none"/>
        </w:rPr>
        <w:t>，</w:t>
      </w:r>
      <w:r>
        <w:rPr>
          <w:highlight w:val="none"/>
        </w:rPr>
        <w:t>分别占城镇公共用水量的</w:t>
      </w:r>
      <w:r>
        <w:rPr>
          <w:rFonts w:hint="eastAsia"/>
          <w:highlight w:val="none"/>
        </w:rPr>
        <w:t>63.58%和36.42%；居民生活用水中农村用水和城镇用水分别占58.18%和41.82%。</w:t>
      </w:r>
    </w:p>
    <w:p>
      <w:pPr>
        <w:ind w:firstLine="480"/>
        <w:rPr>
          <w:highlight w:val="none"/>
        </w:rPr>
      </w:pPr>
      <w:r>
        <w:rPr>
          <w:rFonts w:hint="eastAsia"/>
          <w:highlight w:val="none"/>
        </w:rPr>
        <w:t>从空间上来看，北江大坑口以下和东江秋香江口以上总用水量分别为</w:t>
      </w:r>
      <w:r>
        <w:rPr>
          <w:highlight w:val="none"/>
        </w:rPr>
        <w:t>2248.60万</w:t>
      </w:r>
      <w:r>
        <w:rPr>
          <w:rFonts w:hint="eastAsia"/>
          <w:highlight w:val="none"/>
        </w:rPr>
        <w:t>立方米</w:t>
      </w:r>
      <w:r>
        <w:rPr>
          <w:highlight w:val="none"/>
        </w:rPr>
        <w:t>和16975.83万</w:t>
      </w:r>
      <w:r>
        <w:rPr>
          <w:rFonts w:hint="eastAsia"/>
          <w:highlight w:val="none"/>
        </w:rPr>
        <w:t>立方米，</w:t>
      </w:r>
      <w:r>
        <w:rPr>
          <w:highlight w:val="none"/>
        </w:rPr>
        <w:t>分别占总用水量的</w:t>
      </w:r>
      <w:r>
        <w:rPr>
          <w:rFonts w:hint="eastAsia"/>
          <w:highlight w:val="none"/>
        </w:rPr>
        <w:t>88.30%和11.70%。</w:t>
      </w:r>
    </w:p>
    <w:p>
      <w:pPr>
        <w:ind w:firstLine="0" w:firstLineChars="0"/>
        <w:jc w:val="center"/>
        <w:rPr>
          <w:color w:val="FF0000"/>
          <w:highlight w:val="none"/>
        </w:rPr>
      </w:pPr>
      <w:r>
        <w:rPr>
          <w:highlight w:val="none"/>
        </w:rPr>
        <w:drawing>
          <wp:inline distT="0" distB="0" distL="0" distR="0">
            <wp:extent cx="5267325" cy="3438525"/>
            <wp:effectExtent l="0" t="0" r="9525"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ind w:firstLine="0" w:firstLineChars="0"/>
        <w:jc w:val="center"/>
        <w:rPr>
          <w:b/>
          <w:highlight w:val="none"/>
        </w:rPr>
      </w:pPr>
      <w:r>
        <w:rPr>
          <w:b/>
          <w:highlight w:val="none"/>
        </w:rPr>
        <w:t>图3.</w:t>
      </w:r>
      <w:r>
        <w:rPr>
          <w:rFonts w:hint="eastAsia"/>
          <w:b/>
          <w:highlight w:val="none"/>
        </w:rPr>
        <w:t>3</w:t>
      </w:r>
      <w:r>
        <w:rPr>
          <w:b/>
          <w:highlight w:val="none"/>
        </w:rPr>
        <w:t>-</w:t>
      </w:r>
      <w:r>
        <w:rPr>
          <w:rFonts w:hint="eastAsia"/>
          <w:b/>
          <w:highlight w:val="none"/>
        </w:rPr>
        <w:t>13</w:t>
      </w:r>
      <w:r>
        <w:rPr>
          <w:b/>
          <w:highlight w:val="none"/>
        </w:rPr>
        <w:t xml:space="preserve"> </w:t>
      </w:r>
      <w:r>
        <w:rPr>
          <w:rFonts w:hint="eastAsia"/>
          <w:b/>
          <w:highlight w:val="none"/>
        </w:rPr>
        <w:t>连平</w:t>
      </w:r>
      <w:r>
        <w:rPr>
          <w:b/>
          <w:highlight w:val="none"/>
        </w:rPr>
        <w:t>县用水比例图</w:t>
      </w:r>
    </w:p>
    <w:p>
      <w:pPr>
        <w:ind w:firstLine="480"/>
        <w:rPr>
          <w:highlight w:val="none"/>
        </w:rPr>
      </w:pPr>
      <w:r>
        <w:rPr>
          <w:rFonts w:hint="eastAsia" w:ascii="宋体" w:hAnsi="宋体" w:cs="宋体"/>
          <w:highlight w:val="none"/>
        </w:rPr>
        <w:t>③</w:t>
      </w:r>
      <w:r>
        <w:rPr>
          <w:highlight w:val="none"/>
        </w:rPr>
        <w:t>用水效率</w:t>
      </w:r>
    </w:p>
    <w:p>
      <w:pPr>
        <w:ind w:firstLine="480"/>
        <w:rPr>
          <w:highlight w:val="none"/>
        </w:rPr>
      </w:pPr>
      <w:r>
        <w:rPr>
          <w:highlight w:val="none"/>
        </w:rPr>
        <w:t>201</w:t>
      </w:r>
      <w:r>
        <w:rPr>
          <w:rFonts w:hint="eastAsia"/>
          <w:highlight w:val="none"/>
        </w:rPr>
        <w:t>7</w:t>
      </w:r>
      <w:r>
        <w:rPr>
          <w:highlight w:val="none"/>
        </w:rPr>
        <w:t>~202</w:t>
      </w:r>
      <w:r>
        <w:rPr>
          <w:rFonts w:hint="eastAsia"/>
          <w:highlight w:val="none"/>
        </w:rPr>
        <w:t>1</w:t>
      </w:r>
      <w:r>
        <w:rPr>
          <w:highlight w:val="none"/>
        </w:rPr>
        <w:t>年</w:t>
      </w:r>
      <w:r>
        <w:rPr>
          <w:rFonts w:hint="eastAsia"/>
          <w:highlight w:val="none"/>
        </w:rPr>
        <w:t>连平</w:t>
      </w:r>
      <w:r>
        <w:rPr>
          <w:highlight w:val="none"/>
        </w:rPr>
        <w:t>县用水</w:t>
      </w:r>
      <w:r>
        <w:rPr>
          <w:rFonts w:hint="eastAsia"/>
          <w:highlight w:val="none"/>
        </w:rPr>
        <w:t>指标见</w:t>
      </w:r>
      <w:r>
        <w:rPr>
          <w:highlight w:val="none"/>
        </w:rPr>
        <w:t>表</w:t>
      </w:r>
      <w:r>
        <w:rPr>
          <w:rFonts w:hint="eastAsia"/>
          <w:highlight w:val="none"/>
        </w:rPr>
        <w:t>3.3-4和图3.3-14</w:t>
      </w:r>
      <w:r>
        <w:rPr>
          <w:highlight w:val="none"/>
        </w:rPr>
        <w:t>。从图表中可以看出，201</w:t>
      </w:r>
      <w:r>
        <w:rPr>
          <w:rFonts w:hint="eastAsia"/>
          <w:highlight w:val="none"/>
        </w:rPr>
        <w:t>7</w:t>
      </w:r>
      <w:r>
        <w:rPr>
          <w:highlight w:val="none"/>
        </w:rPr>
        <w:t>~202</w:t>
      </w:r>
      <w:r>
        <w:rPr>
          <w:rFonts w:hint="eastAsia"/>
          <w:highlight w:val="none"/>
        </w:rPr>
        <w:t>1</w:t>
      </w:r>
      <w:r>
        <w:rPr>
          <w:highlight w:val="none"/>
        </w:rPr>
        <w:t>年</w:t>
      </w:r>
      <w:r>
        <w:rPr>
          <w:rFonts w:hint="eastAsia"/>
          <w:highlight w:val="none"/>
        </w:rPr>
        <w:t>连平</w:t>
      </w:r>
      <w:r>
        <w:rPr>
          <w:highlight w:val="none"/>
        </w:rPr>
        <w:t>县万元GDP用水量和</w:t>
      </w:r>
      <w:r>
        <w:rPr>
          <w:rFonts w:hint="eastAsia"/>
          <w:highlight w:val="none"/>
        </w:rPr>
        <w:t>万元工业增加值用水量和农业灌溉综合用水均</w:t>
      </w:r>
      <w:r>
        <w:rPr>
          <w:highlight w:val="none"/>
        </w:rPr>
        <w:t>呈现下降趋势，分别从</w:t>
      </w:r>
      <w:r>
        <w:rPr>
          <w:rFonts w:hint="eastAsia"/>
          <w:highlight w:val="none"/>
        </w:rPr>
        <w:t>255.05立方米、108.98</w:t>
      </w:r>
      <w:r>
        <w:rPr>
          <w:highlight w:val="none"/>
        </w:rPr>
        <w:t xml:space="preserve"> </w:t>
      </w:r>
      <w:r>
        <w:rPr>
          <w:rFonts w:hint="eastAsia"/>
          <w:highlight w:val="none"/>
        </w:rPr>
        <w:t>立方米和858.44</w:t>
      </w:r>
      <w:r>
        <w:rPr>
          <w:highlight w:val="none"/>
        </w:rPr>
        <w:t xml:space="preserve"> </w:t>
      </w:r>
      <w:r>
        <w:rPr>
          <w:rFonts w:hint="eastAsia"/>
          <w:highlight w:val="none"/>
        </w:rPr>
        <w:t>立方米/亩下降至173.54立方米、9.66立方米和729.61</w:t>
      </w:r>
      <w:r>
        <w:rPr>
          <w:highlight w:val="none"/>
        </w:rPr>
        <w:t xml:space="preserve"> </w:t>
      </w:r>
      <w:r>
        <w:rPr>
          <w:rFonts w:hint="eastAsia"/>
          <w:highlight w:val="none"/>
        </w:rPr>
        <w:t>立方米/亩；</w:t>
      </w:r>
      <w:r>
        <w:rPr>
          <w:highlight w:val="none"/>
        </w:rPr>
        <w:t>居民生活用水</w:t>
      </w:r>
      <w:r>
        <w:rPr>
          <w:rFonts w:hint="eastAsia"/>
          <w:highlight w:val="none"/>
        </w:rPr>
        <w:t>（</w:t>
      </w:r>
      <w:r>
        <w:rPr>
          <w:highlight w:val="none"/>
        </w:rPr>
        <w:t>含城镇居民和农村居民生活用水</w:t>
      </w:r>
      <w:r>
        <w:rPr>
          <w:rFonts w:hint="eastAsia"/>
          <w:highlight w:val="none"/>
        </w:rPr>
        <w:t>）总体呈现上升趋势，</w:t>
      </w:r>
      <w:r>
        <w:rPr>
          <w:highlight w:val="none"/>
        </w:rPr>
        <w:t>城镇居民和农村居民生活用水分别从</w:t>
      </w:r>
      <w:r>
        <w:rPr>
          <w:rFonts w:hint="eastAsia"/>
          <w:highlight w:val="none"/>
        </w:rPr>
        <w:t>144.87</w:t>
      </w:r>
      <w:r>
        <w:rPr>
          <w:sz w:val="21"/>
          <w:szCs w:val="21"/>
          <w:highlight w:val="none"/>
        </w:rPr>
        <w:t>升/人·日</w:t>
      </w:r>
      <w:r>
        <w:rPr>
          <w:rFonts w:hint="eastAsia"/>
          <w:highlight w:val="none"/>
        </w:rPr>
        <w:t>和138.03</w:t>
      </w:r>
      <w:r>
        <w:rPr>
          <w:sz w:val="21"/>
          <w:szCs w:val="21"/>
          <w:highlight w:val="none"/>
        </w:rPr>
        <w:t>升/人·日</w:t>
      </w:r>
      <w:r>
        <w:rPr>
          <w:rFonts w:hint="eastAsia"/>
          <w:highlight w:val="none"/>
        </w:rPr>
        <w:t>上升至211.83</w:t>
      </w:r>
      <w:r>
        <w:rPr>
          <w:sz w:val="21"/>
          <w:szCs w:val="21"/>
          <w:highlight w:val="none"/>
        </w:rPr>
        <w:t>升/人·日</w:t>
      </w:r>
      <w:r>
        <w:rPr>
          <w:rFonts w:hint="eastAsia"/>
          <w:highlight w:val="none"/>
        </w:rPr>
        <w:t>和196.78</w:t>
      </w:r>
      <w:r>
        <w:rPr>
          <w:sz w:val="21"/>
          <w:szCs w:val="21"/>
          <w:highlight w:val="none"/>
        </w:rPr>
        <w:t>升/人·日</w:t>
      </w:r>
      <w:r>
        <w:rPr>
          <w:highlight w:val="none"/>
        </w:rPr>
        <w:t>。</w:t>
      </w:r>
    </w:p>
    <w:p>
      <w:pPr>
        <w:ind w:firstLine="480"/>
        <w:rPr>
          <w:highlight w:val="none"/>
        </w:rPr>
      </w:pPr>
      <w:r>
        <w:rPr>
          <w:rFonts w:hint="eastAsia"/>
          <w:highlight w:val="none"/>
        </w:rPr>
        <w:t>2021年连平县与河源市用水指标对比分析见图3.3-15。从图中可以看出，连平县万元工业增加值用水量和</w:t>
      </w:r>
      <w:r>
        <w:rPr>
          <w:highlight w:val="none"/>
        </w:rPr>
        <w:t>农村居民生活用水量</w:t>
      </w:r>
      <w:r>
        <w:rPr>
          <w:rFonts w:hint="eastAsia"/>
          <w:highlight w:val="none"/>
        </w:rPr>
        <w:t>高于</w:t>
      </w:r>
      <w:r>
        <w:rPr>
          <w:highlight w:val="none"/>
        </w:rPr>
        <w:t>河源全市平均水平</w:t>
      </w:r>
      <w:r>
        <w:rPr>
          <w:rFonts w:hint="eastAsia"/>
          <w:highlight w:val="none"/>
        </w:rPr>
        <w:t>，</w:t>
      </w:r>
      <w:r>
        <w:rPr>
          <w:highlight w:val="none"/>
        </w:rPr>
        <w:t>其中</w:t>
      </w:r>
      <w:r>
        <w:rPr>
          <w:rFonts w:hint="eastAsia"/>
          <w:highlight w:val="none"/>
        </w:rPr>
        <w:t>万元工业增加值用水量比全市平均水平高41.43%，</w:t>
      </w:r>
      <w:r>
        <w:rPr>
          <w:highlight w:val="none"/>
        </w:rPr>
        <w:t>农村居民生活用水量</w:t>
      </w:r>
      <w:r>
        <w:rPr>
          <w:rFonts w:hint="eastAsia"/>
          <w:highlight w:val="none"/>
        </w:rPr>
        <w:t>比全市平均水平高13.75%。农业灌溉综合用水量与全市平均水平基本相当，万元工业增加值用水量和</w:t>
      </w:r>
      <w:r>
        <w:rPr>
          <w:highlight w:val="none"/>
        </w:rPr>
        <w:t>城镇居民生活用水则低于全市平均水平</w:t>
      </w:r>
      <w:r>
        <w:rPr>
          <w:rFonts w:hint="eastAsia"/>
          <w:highlight w:val="none"/>
        </w:rPr>
        <w:t>。</w:t>
      </w:r>
      <w:r>
        <w:rPr>
          <w:highlight w:val="none"/>
        </w:rPr>
        <w:t>总体来看</w:t>
      </w:r>
      <w:r>
        <w:rPr>
          <w:rFonts w:hint="eastAsia"/>
          <w:highlight w:val="none"/>
        </w:rPr>
        <w:t>，</w:t>
      </w:r>
      <w:r>
        <w:rPr>
          <w:highlight w:val="none"/>
        </w:rPr>
        <w:t>过去五年</w:t>
      </w:r>
      <w:r>
        <w:rPr>
          <w:rFonts w:hint="eastAsia"/>
          <w:highlight w:val="none"/>
        </w:rPr>
        <w:t>，</w:t>
      </w:r>
      <w:r>
        <w:rPr>
          <w:highlight w:val="none"/>
        </w:rPr>
        <w:t>连平县用水</w:t>
      </w:r>
      <w:r>
        <w:rPr>
          <w:rFonts w:hint="eastAsia"/>
          <w:highlight w:val="none"/>
        </w:rPr>
        <w:t>效率整体得到提高</w:t>
      </w:r>
      <w:r>
        <w:rPr>
          <w:highlight w:val="none"/>
        </w:rPr>
        <w:t>，但居民生活</w:t>
      </w:r>
      <w:r>
        <w:rPr>
          <w:rFonts w:hint="eastAsia"/>
          <w:highlight w:val="none"/>
        </w:rPr>
        <w:t>节水力度还有待加大</w:t>
      </w:r>
      <w:r>
        <w:rPr>
          <w:highlight w:val="none"/>
        </w:rPr>
        <w:t>。</w:t>
      </w:r>
    </w:p>
    <w:p>
      <w:pPr>
        <w:ind w:firstLine="0" w:firstLineChars="0"/>
        <w:jc w:val="center"/>
        <w:rPr>
          <w:b/>
          <w:bCs/>
          <w:highlight w:val="none"/>
        </w:rPr>
      </w:pPr>
      <w:r>
        <w:rPr>
          <w:b/>
          <w:bCs/>
          <w:highlight w:val="none"/>
        </w:rPr>
        <w:t>表3.</w:t>
      </w:r>
      <w:r>
        <w:rPr>
          <w:rFonts w:hint="eastAsia"/>
          <w:b/>
          <w:bCs/>
          <w:highlight w:val="none"/>
        </w:rPr>
        <w:t>3</w:t>
      </w:r>
      <w:r>
        <w:rPr>
          <w:b/>
          <w:bCs/>
          <w:highlight w:val="none"/>
        </w:rPr>
        <w:t>-</w:t>
      </w:r>
      <w:r>
        <w:rPr>
          <w:rFonts w:hint="eastAsia"/>
          <w:b/>
          <w:bCs/>
          <w:highlight w:val="none"/>
        </w:rPr>
        <w:t>4</w:t>
      </w:r>
      <w:r>
        <w:rPr>
          <w:b/>
          <w:bCs/>
          <w:highlight w:val="none"/>
        </w:rPr>
        <w:t xml:space="preserve"> 201</w:t>
      </w:r>
      <w:r>
        <w:rPr>
          <w:rFonts w:hint="eastAsia"/>
          <w:b/>
          <w:bCs/>
          <w:highlight w:val="none"/>
        </w:rPr>
        <w:t>7</w:t>
      </w:r>
      <w:r>
        <w:rPr>
          <w:b/>
          <w:bCs/>
          <w:highlight w:val="none"/>
        </w:rPr>
        <w:t>~202</w:t>
      </w:r>
      <w:r>
        <w:rPr>
          <w:rFonts w:hint="eastAsia"/>
          <w:b/>
          <w:bCs/>
          <w:highlight w:val="none"/>
        </w:rPr>
        <w:t>1</w:t>
      </w:r>
      <w:r>
        <w:rPr>
          <w:b/>
          <w:bCs/>
          <w:highlight w:val="none"/>
        </w:rPr>
        <w:t>年</w:t>
      </w:r>
      <w:r>
        <w:rPr>
          <w:rFonts w:hint="eastAsia"/>
          <w:b/>
          <w:bCs/>
          <w:highlight w:val="none"/>
        </w:rPr>
        <w:t>连平</w:t>
      </w:r>
      <w:r>
        <w:rPr>
          <w:b/>
          <w:bCs/>
          <w:highlight w:val="none"/>
        </w:rPr>
        <w:t>县用水效率统计表</w:t>
      </w:r>
    </w:p>
    <w:tbl>
      <w:tblPr>
        <w:tblStyle w:val="34"/>
        <w:tblW w:w="8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241"/>
        <w:gridCol w:w="1397"/>
        <w:gridCol w:w="1446"/>
        <w:gridCol w:w="150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035" w:type="dxa"/>
            <w:vAlign w:val="center"/>
          </w:tcPr>
          <w:p>
            <w:pPr>
              <w:spacing w:line="240" w:lineRule="auto"/>
              <w:ind w:firstLine="0" w:firstLineChars="0"/>
              <w:jc w:val="center"/>
              <w:rPr>
                <w:b/>
                <w:sz w:val="21"/>
                <w:szCs w:val="21"/>
                <w:highlight w:val="none"/>
              </w:rPr>
            </w:pPr>
            <w:r>
              <w:rPr>
                <w:b/>
                <w:sz w:val="21"/>
                <w:szCs w:val="21"/>
                <w:highlight w:val="none"/>
              </w:rPr>
              <w:t>时间</w:t>
            </w:r>
          </w:p>
        </w:tc>
        <w:tc>
          <w:tcPr>
            <w:tcW w:w="1241" w:type="dxa"/>
            <w:vAlign w:val="center"/>
          </w:tcPr>
          <w:p>
            <w:pPr>
              <w:spacing w:line="240" w:lineRule="auto"/>
              <w:ind w:firstLine="0" w:firstLineChars="0"/>
              <w:jc w:val="center"/>
              <w:rPr>
                <w:b/>
                <w:sz w:val="21"/>
                <w:szCs w:val="21"/>
                <w:highlight w:val="none"/>
              </w:rPr>
            </w:pPr>
            <w:r>
              <w:rPr>
                <w:b/>
                <w:sz w:val="21"/>
                <w:szCs w:val="21"/>
                <w:highlight w:val="none"/>
              </w:rPr>
              <w:t>万元GDP用水量（</w:t>
            </w:r>
            <w:r>
              <w:rPr>
                <w:rFonts w:hint="eastAsia"/>
                <w:b/>
                <w:sz w:val="21"/>
                <w:szCs w:val="21"/>
                <w:highlight w:val="none"/>
                <w:lang w:val="en-US" w:eastAsia="zh-CN"/>
              </w:rPr>
              <w:t>立方米</w:t>
            </w:r>
            <w:r>
              <w:rPr>
                <w:b/>
                <w:sz w:val="21"/>
                <w:szCs w:val="21"/>
                <w:highlight w:val="none"/>
              </w:rPr>
              <w:t>）</w:t>
            </w:r>
          </w:p>
        </w:tc>
        <w:tc>
          <w:tcPr>
            <w:tcW w:w="1397" w:type="dxa"/>
            <w:vAlign w:val="center"/>
          </w:tcPr>
          <w:p>
            <w:pPr>
              <w:spacing w:line="240" w:lineRule="auto"/>
              <w:ind w:firstLine="0" w:firstLineChars="0"/>
              <w:jc w:val="center"/>
              <w:rPr>
                <w:b/>
                <w:sz w:val="21"/>
                <w:szCs w:val="21"/>
                <w:highlight w:val="none"/>
              </w:rPr>
            </w:pPr>
            <w:r>
              <w:rPr>
                <w:b/>
                <w:sz w:val="21"/>
                <w:szCs w:val="21"/>
                <w:highlight w:val="none"/>
              </w:rPr>
              <w:t>万元工业增加值用水量（</w:t>
            </w:r>
            <w:r>
              <w:rPr>
                <w:rFonts w:hint="eastAsia"/>
                <w:b/>
                <w:sz w:val="21"/>
                <w:szCs w:val="21"/>
                <w:highlight w:val="none"/>
                <w:lang w:val="en-US" w:eastAsia="zh-CN"/>
              </w:rPr>
              <w:t>立方米</w:t>
            </w:r>
            <w:r>
              <w:rPr>
                <w:b/>
                <w:sz w:val="21"/>
                <w:szCs w:val="21"/>
                <w:highlight w:val="none"/>
              </w:rPr>
              <w:t>）</w:t>
            </w:r>
          </w:p>
        </w:tc>
        <w:tc>
          <w:tcPr>
            <w:tcW w:w="1446" w:type="dxa"/>
            <w:vAlign w:val="center"/>
          </w:tcPr>
          <w:p>
            <w:pPr>
              <w:spacing w:line="240" w:lineRule="auto"/>
              <w:ind w:firstLine="0" w:firstLineChars="0"/>
              <w:jc w:val="center"/>
              <w:rPr>
                <w:b/>
                <w:sz w:val="21"/>
                <w:szCs w:val="21"/>
                <w:highlight w:val="none"/>
              </w:rPr>
            </w:pPr>
            <w:r>
              <w:rPr>
                <w:b/>
                <w:sz w:val="21"/>
                <w:szCs w:val="21"/>
                <w:highlight w:val="none"/>
              </w:rPr>
              <w:t>农业灌溉综合用水量（</w:t>
            </w:r>
            <w:r>
              <w:rPr>
                <w:rFonts w:hint="eastAsia"/>
                <w:b/>
                <w:sz w:val="21"/>
                <w:szCs w:val="21"/>
                <w:highlight w:val="none"/>
                <w:lang w:val="en-US" w:eastAsia="zh-CN"/>
              </w:rPr>
              <w:t>立方米</w:t>
            </w:r>
            <w:r>
              <w:rPr>
                <w:b/>
                <w:sz w:val="21"/>
                <w:szCs w:val="21"/>
                <w:highlight w:val="none"/>
              </w:rPr>
              <w:t>/亩）</w:t>
            </w:r>
          </w:p>
        </w:tc>
        <w:tc>
          <w:tcPr>
            <w:tcW w:w="1502" w:type="dxa"/>
            <w:vAlign w:val="center"/>
          </w:tcPr>
          <w:p>
            <w:pPr>
              <w:spacing w:line="240" w:lineRule="auto"/>
              <w:ind w:firstLine="0" w:firstLineChars="0"/>
              <w:jc w:val="center"/>
              <w:rPr>
                <w:b/>
                <w:sz w:val="21"/>
                <w:szCs w:val="21"/>
                <w:highlight w:val="none"/>
              </w:rPr>
            </w:pPr>
            <w:r>
              <w:rPr>
                <w:b/>
                <w:sz w:val="21"/>
                <w:szCs w:val="21"/>
                <w:highlight w:val="none"/>
              </w:rPr>
              <w:t>城镇居民生活用水指标（升/人·日）</w:t>
            </w:r>
          </w:p>
        </w:tc>
        <w:tc>
          <w:tcPr>
            <w:tcW w:w="1552" w:type="dxa"/>
            <w:vAlign w:val="center"/>
          </w:tcPr>
          <w:p>
            <w:pPr>
              <w:spacing w:line="240" w:lineRule="auto"/>
              <w:ind w:firstLine="0" w:firstLineChars="0"/>
              <w:jc w:val="center"/>
              <w:rPr>
                <w:b/>
                <w:sz w:val="21"/>
                <w:szCs w:val="21"/>
                <w:highlight w:val="none"/>
              </w:rPr>
            </w:pPr>
            <w:r>
              <w:rPr>
                <w:b/>
                <w:sz w:val="21"/>
                <w:szCs w:val="21"/>
                <w:highlight w:val="none"/>
              </w:rPr>
              <w:t>农村居民生活用水指标（升/人·日）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35" w:type="dxa"/>
            <w:vAlign w:val="center"/>
          </w:tcPr>
          <w:p>
            <w:pPr>
              <w:spacing w:line="240" w:lineRule="auto"/>
              <w:ind w:firstLine="0" w:firstLineChars="0"/>
              <w:jc w:val="center"/>
              <w:rPr>
                <w:bCs/>
                <w:sz w:val="21"/>
                <w:szCs w:val="21"/>
                <w:highlight w:val="none"/>
              </w:rPr>
            </w:pPr>
            <w:r>
              <w:rPr>
                <w:bCs/>
                <w:sz w:val="21"/>
                <w:szCs w:val="21"/>
                <w:highlight w:val="none"/>
              </w:rPr>
              <w:t>201</w:t>
            </w:r>
            <w:r>
              <w:rPr>
                <w:rFonts w:hint="eastAsia"/>
                <w:bCs/>
                <w:sz w:val="21"/>
                <w:szCs w:val="21"/>
                <w:highlight w:val="none"/>
              </w:rPr>
              <w:t>7</w:t>
            </w:r>
            <w:r>
              <w:rPr>
                <w:bCs/>
                <w:sz w:val="21"/>
                <w:szCs w:val="21"/>
                <w:highlight w:val="none"/>
              </w:rPr>
              <w:t>年</w:t>
            </w:r>
          </w:p>
        </w:tc>
        <w:tc>
          <w:tcPr>
            <w:tcW w:w="1241" w:type="dxa"/>
            <w:vAlign w:val="center"/>
          </w:tcPr>
          <w:p>
            <w:pPr>
              <w:spacing w:line="240" w:lineRule="auto"/>
              <w:ind w:firstLine="0" w:firstLineChars="0"/>
              <w:jc w:val="center"/>
              <w:rPr>
                <w:sz w:val="21"/>
                <w:szCs w:val="21"/>
                <w:highlight w:val="none"/>
              </w:rPr>
            </w:pPr>
            <w:r>
              <w:rPr>
                <w:rFonts w:hint="eastAsia"/>
                <w:sz w:val="21"/>
                <w:szCs w:val="21"/>
                <w:highlight w:val="none"/>
              </w:rPr>
              <w:t>255.05</w:t>
            </w:r>
          </w:p>
        </w:tc>
        <w:tc>
          <w:tcPr>
            <w:tcW w:w="1397" w:type="dxa"/>
            <w:vAlign w:val="center"/>
          </w:tcPr>
          <w:p>
            <w:pPr>
              <w:spacing w:line="240" w:lineRule="auto"/>
              <w:ind w:firstLine="0" w:firstLineChars="0"/>
              <w:jc w:val="center"/>
              <w:rPr>
                <w:sz w:val="21"/>
                <w:szCs w:val="21"/>
                <w:highlight w:val="none"/>
              </w:rPr>
            </w:pPr>
            <w:r>
              <w:rPr>
                <w:rFonts w:hint="eastAsia"/>
                <w:sz w:val="21"/>
                <w:szCs w:val="21"/>
                <w:highlight w:val="none"/>
              </w:rPr>
              <w:t>108.98</w:t>
            </w:r>
          </w:p>
        </w:tc>
        <w:tc>
          <w:tcPr>
            <w:tcW w:w="1446" w:type="dxa"/>
            <w:vAlign w:val="center"/>
          </w:tcPr>
          <w:p>
            <w:pPr>
              <w:spacing w:line="240" w:lineRule="auto"/>
              <w:ind w:firstLine="0" w:firstLineChars="0"/>
              <w:jc w:val="center"/>
              <w:rPr>
                <w:sz w:val="21"/>
                <w:szCs w:val="21"/>
                <w:highlight w:val="none"/>
              </w:rPr>
            </w:pPr>
            <w:r>
              <w:rPr>
                <w:rFonts w:hint="eastAsia"/>
                <w:sz w:val="21"/>
                <w:szCs w:val="21"/>
                <w:highlight w:val="none"/>
              </w:rPr>
              <w:t>858.44</w:t>
            </w:r>
          </w:p>
        </w:tc>
        <w:tc>
          <w:tcPr>
            <w:tcW w:w="1502" w:type="dxa"/>
            <w:vAlign w:val="center"/>
          </w:tcPr>
          <w:p>
            <w:pPr>
              <w:spacing w:line="240" w:lineRule="auto"/>
              <w:ind w:firstLine="0" w:firstLineChars="0"/>
              <w:jc w:val="center"/>
              <w:rPr>
                <w:sz w:val="21"/>
                <w:szCs w:val="21"/>
                <w:highlight w:val="none"/>
              </w:rPr>
            </w:pPr>
            <w:r>
              <w:rPr>
                <w:rFonts w:hint="eastAsia"/>
                <w:sz w:val="21"/>
                <w:szCs w:val="21"/>
                <w:highlight w:val="none"/>
              </w:rPr>
              <w:t>144.87</w:t>
            </w:r>
          </w:p>
        </w:tc>
        <w:tc>
          <w:tcPr>
            <w:tcW w:w="1552" w:type="dxa"/>
            <w:vAlign w:val="center"/>
          </w:tcPr>
          <w:p>
            <w:pPr>
              <w:spacing w:line="240" w:lineRule="auto"/>
              <w:ind w:firstLine="0" w:firstLineChars="0"/>
              <w:jc w:val="center"/>
              <w:rPr>
                <w:sz w:val="21"/>
                <w:szCs w:val="21"/>
                <w:highlight w:val="none"/>
              </w:rPr>
            </w:pPr>
            <w:r>
              <w:rPr>
                <w:rFonts w:hint="eastAsia"/>
                <w:sz w:val="21"/>
                <w:szCs w:val="21"/>
                <w:highlight w:val="none"/>
              </w:rPr>
              <w:t>138.03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35" w:type="dxa"/>
            <w:vAlign w:val="center"/>
          </w:tcPr>
          <w:p>
            <w:pPr>
              <w:spacing w:line="240" w:lineRule="auto"/>
              <w:ind w:firstLine="0" w:firstLineChars="0"/>
              <w:jc w:val="center"/>
              <w:rPr>
                <w:bCs/>
                <w:sz w:val="21"/>
                <w:szCs w:val="21"/>
                <w:highlight w:val="none"/>
              </w:rPr>
            </w:pPr>
            <w:r>
              <w:rPr>
                <w:bCs/>
                <w:sz w:val="21"/>
                <w:szCs w:val="21"/>
                <w:highlight w:val="none"/>
              </w:rPr>
              <w:t>201</w:t>
            </w:r>
            <w:r>
              <w:rPr>
                <w:rFonts w:hint="eastAsia"/>
                <w:bCs/>
                <w:sz w:val="21"/>
                <w:szCs w:val="21"/>
                <w:highlight w:val="none"/>
              </w:rPr>
              <w:t>8</w:t>
            </w:r>
            <w:r>
              <w:rPr>
                <w:bCs/>
                <w:sz w:val="21"/>
                <w:szCs w:val="21"/>
                <w:highlight w:val="none"/>
              </w:rPr>
              <w:t>年</w:t>
            </w:r>
          </w:p>
        </w:tc>
        <w:tc>
          <w:tcPr>
            <w:tcW w:w="1241" w:type="dxa"/>
            <w:vAlign w:val="center"/>
          </w:tcPr>
          <w:p>
            <w:pPr>
              <w:spacing w:line="240" w:lineRule="auto"/>
              <w:ind w:firstLine="0" w:firstLineChars="0"/>
              <w:jc w:val="center"/>
              <w:rPr>
                <w:sz w:val="21"/>
                <w:szCs w:val="21"/>
                <w:highlight w:val="none"/>
              </w:rPr>
            </w:pPr>
            <w:r>
              <w:rPr>
                <w:rFonts w:hint="eastAsia"/>
                <w:sz w:val="21"/>
                <w:szCs w:val="21"/>
                <w:highlight w:val="none"/>
              </w:rPr>
              <w:t>189.25</w:t>
            </w:r>
          </w:p>
        </w:tc>
        <w:tc>
          <w:tcPr>
            <w:tcW w:w="1397" w:type="dxa"/>
            <w:vAlign w:val="center"/>
          </w:tcPr>
          <w:p>
            <w:pPr>
              <w:spacing w:line="240" w:lineRule="auto"/>
              <w:ind w:firstLine="0" w:firstLineChars="0"/>
              <w:jc w:val="center"/>
              <w:rPr>
                <w:sz w:val="21"/>
                <w:szCs w:val="21"/>
                <w:highlight w:val="none"/>
              </w:rPr>
            </w:pPr>
            <w:r>
              <w:rPr>
                <w:rFonts w:hint="eastAsia"/>
                <w:sz w:val="21"/>
                <w:szCs w:val="21"/>
                <w:highlight w:val="none"/>
              </w:rPr>
              <w:t>95.44</w:t>
            </w:r>
          </w:p>
        </w:tc>
        <w:tc>
          <w:tcPr>
            <w:tcW w:w="1446" w:type="dxa"/>
            <w:vAlign w:val="center"/>
          </w:tcPr>
          <w:p>
            <w:pPr>
              <w:spacing w:line="240" w:lineRule="auto"/>
              <w:ind w:firstLine="0" w:firstLineChars="0"/>
              <w:jc w:val="center"/>
              <w:rPr>
                <w:sz w:val="21"/>
                <w:szCs w:val="21"/>
                <w:highlight w:val="none"/>
              </w:rPr>
            </w:pPr>
            <w:r>
              <w:rPr>
                <w:rFonts w:hint="eastAsia"/>
                <w:sz w:val="21"/>
                <w:szCs w:val="21"/>
                <w:highlight w:val="none"/>
              </w:rPr>
              <w:t>806.41</w:t>
            </w:r>
          </w:p>
        </w:tc>
        <w:tc>
          <w:tcPr>
            <w:tcW w:w="1502" w:type="dxa"/>
            <w:vAlign w:val="center"/>
          </w:tcPr>
          <w:p>
            <w:pPr>
              <w:spacing w:line="240" w:lineRule="auto"/>
              <w:ind w:firstLine="0" w:firstLineChars="0"/>
              <w:jc w:val="center"/>
              <w:rPr>
                <w:sz w:val="21"/>
                <w:szCs w:val="21"/>
                <w:highlight w:val="none"/>
              </w:rPr>
            </w:pPr>
            <w:r>
              <w:rPr>
                <w:rFonts w:hint="eastAsia"/>
                <w:sz w:val="21"/>
                <w:szCs w:val="21"/>
                <w:highlight w:val="none"/>
              </w:rPr>
              <w:t>134.84</w:t>
            </w:r>
          </w:p>
        </w:tc>
        <w:tc>
          <w:tcPr>
            <w:tcW w:w="1552" w:type="dxa"/>
            <w:vAlign w:val="center"/>
          </w:tcPr>
          <w:p>
            <w:pPr>
              <w:spacing w:line="240" w:lineRule="auto"/>
              <w:ind w:firstLine="0" w:firstLineChars="0"/>
              <w:jc w:val="center"/>
              <w:rPr>
                <w:sz w:val="21"/>
                <w:szCs w:val="21"/>
                <w:highlight w:val="none"/>
              </w:rPr>
            </w:pPr>
            <w:r>
              <w:rPr>
                <w:rFonts w:hint="eastAsia"/>
                <w:sz w:val="21"/>
                <w:szCs w:val="21"/>
                <w:highlight w:val="none"/>
              </w:rPr>
              <w:t>241.16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35" w:type="dxa"/>
            <w:vAlign w:val="center"/>
          </w:tcPr>
          <w:p>
            <w:pPr>
              <w:spacing w:line="240" w:lineRule="auto"/>
              <w:ind w:firstLine="0" w:firstLineChars="0"/>
              <w:jc w:val="center"/>
              <w:rPr>
                <w:bCs/>
                <w:sz w:val="21"/>
                <w:szCs w:val="21"/>
                <w:highlight w:val="none"/>
              </w:rPr>
            </w:pPr>
            <w:r>
              <w:rPr>
                <w:bCs/>
                <w:sz w:val="21"/>
                <w:szCs w:val="21"/>
                <w:highlight w:val="none"/>
              </w:rPr>
              <w:t>201</w:t>
            </w:r>
            <w:r>
              <w:rPr>
                <w:rFonts w:hint="eastAsia"/>
                <w:bCs/>
                <w:sz w:val="21"/>
                <w:szCs w:val="21"/>
                <w:highlight w:val="none"/>
              </w:rPr>
              <w:t>9</w:t>
            </w:r>
            <w:r>
              <w:rPr>
                <w:bCs/>
                <w:sz w:val="21"/>
                <w:szCs w:val="21"/>
                <w:highlight w:val="none"/>
              </w:rPr>
              <w:t>年</w:t>
            </w:r>
          </w:p>
        </w:tc>
        <w:tc>
          <w:tcPr>
            <w:tcW w:w="1241" w:type="dxa"/>
            <w:vAlign w:val="center"/>
          </w:tcPr>
          <w:p>
            <w:pPr>
              <w:spacing w:line="240" w:lineRule="auto"/>
              <w:ind w:firstLine="0" w:firstLineChars="0"/>
              <w:jc w:val="center"/>
              <w:rPr>
                <w:sz w:val="21"/>
                <w:szCs w:val="21"/>
                <w:highlight w:val="none"/>
              </w:rPr>
            </w:pPr>
            <w:r>
              <w:rPr>
                <w:rFonts w:hint="eastAsia"/>
                <w:sz w:val="21"/>
                <w:szCs w:val="21"/>
                <w:highlight w:val="none"/>
              </w:rPr>
              <w:t>220.50</w:t>
            </w:r>
          </w:p>
        </w:tc>
        <w:tc>
          <w:tcPr>
            <w:tcW w:w="1397" w:type="dxa"/>
            <w:vAlign w:val="center"/>
          </w:tcPr>
          <w:p>
            <w:pPr>
              <w:spacing w:line="240" w:lineRule="auto"/>
              <w:ind w:firstLine="0" w:firstLineChars="0"/>
              <w:jc w:val="center"/>
              <w:rPr>
                <w:sz w:val="21"/>
                <w:szCs w:val="21"/>
                <w:highlight w:val="none"/>
              </w:rPr>
            </w:pPr>
            <w:r>
              <w:rPr>
                <w:rFonts w:hint="eastAsia"/>
                <w:sz w:val="21"/>
                <w:szCs w:val="21"/>
                <w:highlight w:val="none"/>
              </w:rPr>
              <w:t>113.36</w:t>
            </w:r>
          </w:p>
        </w:tc>
        <w:tc>
          <w:tcPr>
            <w:tcW w:w="1446" w:type="dxa"/>
            <w:vAlign w:val="center"/>
          </w:tcPr>
          <w:p>
            <w:pPr>
              <w:spacing w:line="240" w:lineRule="auto"/>
              <w:ind w:firstLine="0" w:firstLineChars="0"/>
              <w:jc w:val="center"/>
              <w:rPr>
                <w:sz w:val="21"/>
                <w:szCs w:val="21"/>
                <w:highlight w:val="none"/>
              </w:rPr>
            </w:pPr>
            <w:r>
              <w:rPr>
                <w:rFonts w:hint="eastAsia"/>
                <w:sz w:val="21"/>
                <w:szCs w:val="21"/>
                <w:highlight w:val="none"/>
              </w:rPr>
              <w:t>789.68</w:t>
            </w:r>
          </w:p>
        </w:tc>
        <w:tc>
          <w:tcPr>
            <w:tcW w:w="1502" w:type="dxa"/>
            <w:vAlign w:val="center"/>
          </w:tcPr>
          <w:p>
            <w:pPr>
              <w:spacing w:line="240" w:lineRule="auto"/>
              <w:ind w:firstLine="0" w:firstLineChars="0"/>
              <w:jc w:val="center"/>
              <w:rPr>
                <w:sz w:val="21"/>
                <w:szCs w:val="21"/>
                <w:highlight w:val="none"/>
              </w:rPr>
            </w:pPr>
            <w:r>
              <w:rPr>
                <w:rFonts w:hint="eastAsia"/>
                <w:sz w:val="21"/>
                <w:szCs w:val="21"/>
                <w:highlight w:val="none"/>
              </w:rPr>
              <w:t>134.15</w:t>
            </w:r>
          </w:p>
        </w:tc>
        <w:tc>
          <w:tcPr>
            <w:tcW w:w="1552" w:type="dxa"/>
            <w:vAlign w:val="center"/>
          </w:tcPr>
          <w:p>
            <w:pPr>
              <w:spacing w:line="240" w:lineRule="auto"/>
              <w:ind w:firstLine="0" w:firstLineChars="0"/>
              <w:jc w:val="center"/>
              <w:rPr>
                <w:sz w:val="21"/>
                <w:szCs w:val="21"/>
                <w:highlight w:val="none"/>
              </w:rPr>
            </w:pPr>
            <w:r>
              <w:rPr>
                <w:rFonts w:hint="eastAsia"/>
                <w:sz w:val="21"/>
                <w:szCs w:val="21"/>
                <w:highlight w:val="none"/>
              </w:rPr>
              <w:t>66.05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35" w:type="dxa"/>
            <w:vAlign w:val="center"/>
          </w:tcPr>
          <w:p>
            <w:pPr>
              <w:spacing w:line="240" w:lineRule="auto"/>
              <w:ind w:firstLine="0" w:firstLineChars="0"/>
              <w:jc w:val="center"/>
              <w:rPr>
                <w:bCs/>
                <w:sz w:val="21"/>
                <w:szCs w:val="21"/>
                <w:highlight w:val="none"/>
              </w:rPr>
            </w:pPr>
            <w:r>
              <w:rPr>
                <w:bCs/>
                <w:sz w:val="21"/>
                <w:szCs w:val="21"/>
                <w:highlight w:val="none"/>
              </w:rPr>
              <w:t>20</w:t>
            </w:r>
            <w:r>
              <w:rPr>
                <w:rFonts w:hint="eastAsia"/>
                <w:bCs/>
                <w:sz w:val="21"/>
                <w:szCs w:val="21"/>
                <w:highlight w:val="none"/>
              </w:rPr>
              <w:t>20</w:t>
            </w:r>
            <w:r>
              <w:rPr>
                <w:bCs/>
                <w:sz w:val="21"/>
                <w:szCs w:val="21"/>
                <w:highlight w:val="none"/>
              </w:rPr>
              <w:t>年</w:t>
            </w:r>
          </w:p>
        </w:tc>
        <w:tc>
          <w:tcPr>
            <w:tcW w:w="1241" w:type="dxa"/>
            <w:vAlign w:val="center"/>
          </w:tcPr>
          <w:p>
            <w:pPr>
              <w:spacing w:line="240" w:lineRule="auto"/>
              <w:ind w:firstLine="0" w:firstLineChars="0"/>
              <w:jc w:val="center"/>
              <w:rPr>
                <w:sz w:val="21"/>
                <w:szCs w:val="21"/>
                <w:highlight w:val="none"/>
              </w:rPr>
            </w:pPr>
            <w:r>
              <w:rPr>
                <w:rFonts w:hint="eastAsia"/>
                <w:sz w:val="21"/>
                <w:szCs w:val="21"/>
                <w:highlight w:val="none"/>
              </w:rPr>
              <w:t>218.39</w:t>
            </w:r>
          </w:p>
        </w:tc>
        <w:tc>
          <w:tcPr>
            <w:tcW w:w="1397" w:type="dxa"/>
            <w:vAlign w:val="center"/>
          </w:tcPr>
          <w:p>
            <w:pPr>
              <w:spacing w:line="240" w:lineRule="auto"/>
              <w:ind w:firstLine="0" w:firstLineChars="0"/>
              <w:jc w:val="center"/>
              <w:rPr>
                <w:sz w:val="21"/>
                <w:szCs w:val="21"/>
                <w:highlight w:val="none"/>
              </w:rPr>
            </w:pPr>
            <w:r>
              <w:rPr>
                <w:rFonts w:hint="eastAsia"/>
                <w:sz w:val="21"/>
                <w:szCs w:val="21"/>
                <w:highlight w:val="none"/>
              </w:rPr>
              <w:t>27.12</w:t>
            </w:r>
          </w:p>
        </w:tc>
        <w:tc>
          <w:tcPr>
            <w:tcW w:w="1446" w:type="dxa"/>
            <w:vAlign w:val="center"/>
          </w:tcPr>
          <w:p>
            <w:pPr>
              <w:spacing w:line="240" w:lineRule="auto"/>
              <w:ind w:firstLine="0" w:firstLineChars="0"/>
              <w:jc w:val="center"/>
              <w:rPr>
                <w:sz w:val="21"/>
                <w:szCs w:val="21"/>
                <w:highlight w:val="none"/>
              </w:rPr>
            </w:pPr>
            <w:r>
              <w:rPr>
                <w:rFonts w:hint="eastAsia"/>
                <w:sz w:val="21"/>
                <w:szCs w:val="21"/>
                <w:highlight w:val="none"/>
              </w:rPr>
              <w:t>769.29</w:t>
            </w:r>
          </w:p>
        </w:tc>
        <w:tc>
          <w:tcPr>
            <w:tcW w:w="1502" w:type="dxa"/>
            <w:vAlign w:val="center"/>
          </w:tcPr>
          <w:p>
            <w:pPr>
              <w:spacing w:line="240" w:lineRule="auto"/>
              <w:ind w:firstLine="0" w:firstLineChars="0"/>
              <w:jc w:val="center"/>
              <w:rPr>
                <w:sz w:val="21"/>
                <w:szCs w:val="21"/>
                <w:highlight w:val="none"/>
              </w:rPr>
            </w:pPr>
            <w:r>
              <w:rPr>
                <w:rFonts w:hint="eastAsia"/>
                <w:sz w:val="21"/>
                <w:szCs w:val="21"/>
                <w:highlight w:val="none"/>
              </w:rPr>
              <w:t>249.93</w:t>
            </w:r>
          </w:p>
        </w:tc>
        <w:tc>
          <w:tcPr>
            <w:tcW w:w="1552" w:type="dxa"/>
            <w:vAlign w:val="center"/>
          </w:tcPr>
          <w:p>
            <w:pPr>
              <w:spacing w:line="240" w:lineRule="auto"/>
              <w:ind w:firstLine="0" w:firstLineChars="0"/>
              <w:jc w:val="center"/>
              <w:rPr>
                <w:sz w:val="21"/>
                <w:szCs w:val="21"/>
                <w:highlight w:val="none"/>
              </w:rPr>
            </w:pPr>
            <w:r>
              <w:rPr>
                <w:rFonts w:hint="eastAsia"/>
                <w:sz w:val="21"/>
                <w:szCs w:val="21"/>
                <w:highlight w:val="none"/>
              </w:rPr>
              <w:t>141.03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35" w:type="dxa"/>
            <w:vAlign w:val="center"/>
          </w:tcPr>
          <w:p>
            <w:pPr>
              <w:spacing w:line="240" w:lineRule="auto"/>
              <w:ind w:firstLine="0" w:firstLineChars="0"/>
              <w:jc w:val="center"/>
              <w:rPr>
                <w:bCs/>
                <w:sz w:val="21"/>
                <w:szCs w:val="21"/>
                <w:highlight w:val="none"/>
              </w:rPr>
            </w:pPr>
            <w:r>
              <w:rPr>
                <w:bCs/>
                <w:sz w:val="21"/>
                <w:szCs w:val="21"/>
                <w:highlight w:val="none"/>
              </w:rPr>
              <w:t>202</w:t>
            </w:r>
            <w:r>
              <w:rPr>
                <w:rFonts w:hint="eastAsia"/>
                <w:bCs/>
                <w:sz w:val="21"/>
                <w:szCs w:val="21"/>
                <w:highlight w:val="none"/>
              </w:rPr>
              <w:t>1</w:t>
            </w:r>
            <w:r>
              <w:rPr>
                <w:bCs/>
                <w:sz w:val="21"/>
                <w:szCs w:val="21"/>
                <w:highlight w:val="none"/>
              </w:rPr>
              <w:t>年</w:t>
            </w:r>
          </w:p>
        </w:tc>
        <w:tc>
          <w:tcPr>
            <w:tcW w:w="1241" w:type="dxa"/>
            <w:vAlign w:val="center"/>
          </w:tcPr>
          <w:p>
            <w:pPr>
              <w:spacing w:line="240" w:lineRule="auto"/>
              <w:ind w:firstLine="0" w:firstLineChars="0"/>
              <w:jc w:val="center"/>
              <w:rPr>
                <w:sz w:val="21"/>
                <w:szCs w:val="21"/>
                <w:highlight w:val="none"/>
              </w:rPr>
            </w:pPr>
            <w:r>
              <w:rPr>
                <w:rFonts w:hint="eastAsia"/>
                <w:sz w:val="21"/>
                <w:szCs w:val="21"/>
                <w:highlight w:val="none"/>
              </w:rPr>
              <w:t>173.54</w:t>
            </w:r>
          </w:p>
        </w:tc>
        <w:tc>
          <w:tcPr>
            <w:tcW w:w="1397" w:type="dxa"/>
            <w:vAlign w:val="center"/>
          </w:tcPr>
          <w:p>
            <w:pPr>
              <w:spacing w:line="240" w:lineRule="auto"/>
              <w:ind w:firstLine="0" w:firstLineChars="0"/>
              <w:jc w:val="center"/>
              <w:rPr>
                <w:sz w:val="21"/>
                <w:szCs w:val="21"/>
                <w:highlight w:val="none"/>
              </w:rPr>
            </w:pPr>
            <w:r>
              <w:rPr>
                <w:rFonts w:hint="eastAsia"/>
                <w:sz w:val="21"/>
                <w:szCs w:val="21"/>
                <w:highlight w:val="none"/>
              </w:rPr>
              <w:t>9.66</w:t>
            </w:r>
          </w:p>
        </w:tc>
        <w:tc>
          <w:tcPr>
            <w:tcW w:w="1446" w:type="dxa"/>
            <w:vAlign w:val="center"/>
          </w:tcPr>
          <w:p>
            <w:pPr>
              <w:spacing w:line="240" w:lineRule="auto"/>
              <w:ind w:firstLine="0" w:firstLineChars="0"/>
              <w:jc w:val="center"/>
              <w:rPr>
                <w:sz w:val="21"/>
                <w:szCs w:val="21"/>
                <w:highlight w:val="none"/>
              </w:rPr>
            </w:pPr>
            <w:r>
              <w:rPr>
                <w:rFonts w:hint="eastAsia"/>
                <w:sz w:val="21"/>
                <w:szCs w:val="21"/>
                <w:highlight w:val="none"/>
              </w:rPr>
              <w:t>729.61</w:t>
            </w:r>
          </w:p>
        </w:tc>
        <w:tc>
          <w:tcPr>
            <w:tcW w:w="1502" w:type="dxa"/>
            <w:vAlign w:val="center"/>
          </w:tcPr>
          <w:p>
            <w:pPr>
              <w:spacing w:line="240" w:lineRule="auto"/>
              <w:ind w:firstLine="0" w:firstLineChars="0"/>
              <w:jc w:val="center"/>
              <w:rPr>
                <w:sz w:val="21"/>
                <w:szCs w:val="21"/>
                <w:highlight w:val="none"/>
              </w:rPr>
            </w:pPr>
            <w:r>
              <w:rPr>
                <w:rFonts w:hint="eastAsia"/>
                <w:sz w:val="21"/>
                <w:szCs w:val="21"/>
                <w:highlight w:val="none"/>
              </w:rPr>
              <w:t>211.83</w:t>
            </w:r>
          </w:p>
        </w:tc>
        <w:tc>
          <w:tcPr>
            <w:tcW w:w="1552" w:type="dxa"/>
            <w:vAlign w:val="center"/>
          </w:tcPr>
          <w:p>
            <w:pPr>
              <w:spacing w:line="240" w:lineRule="auto"/>
              <w:ind w:firstLine="0" w:firstLineChars="0"/>
              <w:jc w:val="center"/>
              <w:rPr>
                <w:sz w:val="21"/>
                <w:szCs w:val="21"/>
                <w:highlight w:val="none"/>
              </w:rPr>
            </w:pPr>
            <w:r>
              <w:rPr>
                <w:rFonts w:hint="eastAsia"/>
                <w:sz w:val="21"/>
                <w:szCs w:val="21"/>
                <w:highlight w:val="none"/>
              </w:rPr>
              <w:t>196.78</w:t>
            </w:r>
          </w:p>
        </w:tc>
      </w:tr>
    </w:tbl>
    <w:p>
      <w:pPr>
        <w:ind w:left="-480" w:leftChars="-200" w:firstLine="0" w:firstLineChars="0"/>
        <w:jc w:val="left"/>
        <w:rPr>
          <w:color w:val="FF0000"/>
          <w:highlight w:val="none"/>
        </w:rPr>
      </w:pPr>
      <w:r>
        <w:rPr>
          <w:color w:val="008000"/>
          <w:highlight w:val="none"/>
        </w:rPr>
        <w:drawing>
          <wp:inline distT="0" distB="0" distL="0" distR="0">
            <wp:extent cx="5886450" cy="4029075"/>
            <wp:effectExtent l="0" t="0" r="19050" b="952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ind w:firstLine="0" w:firstLineChars="0"/>
        <w:jc w:val="center"/>
        <w:rPr>
          <w:b/>
          <w:highlight w:val="none"/>
        </w:rPr>
      </w:pPr>
      <w:r>
        <w:rPr>
          <w:b/>
          <w:highlight w:val="none"/>
        </w:rPr>
        <w:t>图3.</w:t>
      </w:r>
      <w:r>
        <w:rPr>
          <w:rFonts w:hint="eastAsia"/>
          <w:b/>
          <w:highlight w:val="none"/>
        </w:rPr>
        <w:t>3</w:t>
      </w:r>
      <w:r>
        <w:rPr>
          <w:b/>
          <w:highlight w:val="none"/>
        </w:rPr>
        <w:t>-</w:t>
      </w:r>
      <w:r>
        <w:rPr>
          <w:rFonts w:hint="eastAsia"/>
          <w:b/>
          <w:highlight w:val="none"/>
        </w:rPr>
        <w:t>14</w:t>
      </w:r>
      <w:r>
        <w:rPr>
          <w:b/>
          <w:highlight w:val="none"/>
        </w:rPr>
        <w:t xml:space="preserve"> 201</w:t>
      </w:r>
      <w:r>
        <w:rPr>
          <w:rFonts w:hint="eastAsia"/>
          <w:b/>
          <w:highlight w:val="none"/>
        </w:rPr>
        <w:t>7</w:t>
      </w:r>
      <w:r>
        <w:rPr>
          <w:b/>
          <w:highlight w:val="none"/>
        </w:rPr>
        <w:t>~202</w:t>
      </w:r>
      <w:r>
        <w:rPr>
          <w:rFonts w:hint="eastAsia"/>
          <w:b/>
          <w:highlight w:val="none"/>
        </w:rPr>
        <w:t>1</w:t>
      </w:r>
      <w:r>
        <w:rPr>
          <w:b/>
          <w:highlight w:val="none"/>
        </w:rPr>
        <w:t>年</w:t>
      </w:r>
      <w:r>
        <w:rPr>
          <w:rFonts w:hint="eastAsia"/>
          <w:b/>
          <w:highlight w:val="none"/>
        </w:rPr>
        <w:t>连平</w:t>
      </w:r>
      <w:r>
        <w:rPr>
          <w:b/>
          <w:highlight w:val="none"/>
        </w:rPr>
        <w:t>县用水效率变化趋势图</w:t>
      </w:r>
    </w:p>
    <w:p>
      <w:pPr>
        <w:ind w:left="-480" w:leftChars="-200" w:firstLine="0" w:firstLineChars="0"/>
        <w:jc w:val="center"/>
        <w:rPr>
          <w:b/>
          <w:highlight w:val="none"/>
        </w:rPr>
      </w:pPr>
      <w:r>
        <w:rPr>
          <w:highlight w:val="none"/>
        </w:rPr>
        <w:drawing>
          <wp:inline distT="0" distB="0" distL="0" distR="0">
            <wp:extent cx="5934075" cy="3476625"/>
            <wp:effectExtent l="0" t="0" r="9525" b="952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ind w:firstLine="0" w:firstLineChars="0"/>
        <w:jc w:val="center"/>
        <w:rPr>
          <w:b/>
          <w:highlight w:val="none"/>
        </w:rPr>
      </w:pPr>
      <w:r>
        <w:rPr>
          <w:b/>
          <w:highlight w:val="none"/>
        </w:rPr>
        <w:t>图3.</w:t>
      </w:r>
      <w:r>
        <w:rPr>
          <w:rFonts w:hint="eastAsia"/>
          <w:b/>
          <w:highlight w:val="none"/>
        </w:rPr>
        <w:t>3</w:t>
      </w:r>
      <w:r>
        <w:rPr>
          <w:b/>
          <w:highlight w:val="none"/>
        </w:rPr>
        <w:t>-</w:t>
      </w:r>
      <w:r>
        <w:rPr>
          <w:rFonts w:hint="eastAsia"/>
          <w:b/>
          <w:highlight w:val="none"/>
        </w:rPr>
        <w:t>15</w:t>
      </w:r>
      <w:r>
        <w:rPr>
          <w:b/>
          <w:highlight w:val="none"/>
        </w:rPr>
        <w:t xml:space="preserve"> 202</w:t>
      </w:r>
      <w:r>
        <w:rPr>
          <w:rFonts w:hint="eastAsia"/>
          <w:b/>
          <w:highlight w:val="none"/>
        </w:rPr>
        <w:t>1</w:t>
      </w:r>
      <w:r>
        <w:rPr>
          <w:b/>
          <w:highlight w:val="none"/>
        </w:rPr>
        <w:t>年</w:t>
      </w:r>
      <w:r>
        <w:rPr>
          <w:rFonts w:hint="eastAsia"/>
          <w:b/>
          <w:highlight w:val="none"/>
        </w:rPr>
        <w:t>连平</w:t>
      </w:r>
      <w:r>
        <w:rPr>
          <w:b/>
          <w:highlight w:val="none"/>
        </w:rPr>
        <w:t>县与河源市用水</w:t>
      </w:r>
      <w:r>
        <w:rPr>
          <w:rFonts w:hint="eastAsia"/>
          <w:b/>
          <w:highlight w:val="none"/>
        </w:rPr>
        <w:t>指标对比</w:t>
      </w:r>
      <w:r>
        <w:rPr>
          <w:b/>
          <w:highlight w:val="none"/>
        </w:rPr>
        <w:t>图</w:t>
      </w:r>
    </w:p>
    <w:p>
      <w:pPr>
        <w:pStyle w:val="90"/>
        <w:numPr>
          <w:ilvl w:val="3"/>
          <w:numId w:val="1"/>
        </w:numPr>
        <w:spacing w:before="0" w:beforeLines="0" w:after="0" w:afterLines="0"/>
        <w:ind w:left="0" w:firstLine="0"/>
        <w:rPr>
          <w:rFonts w:eastAsia="宋体"/>
          <w:highlight w:val="none"/>
        </w:rPr>
      </w:pPr>
      <w:r>
        <w:rPr>
          <w:rFonts w:eastAsia="宋体"/>
          <w:highlight w:val="none"/>
        </w:rPr>
        <w:t>水环境</w:t>
      </w:r>
    </w:p>
    <w:p>
      <w:pPr>
        <w:ind w:firstLine="482"/>
        <w:rPr>
          <w:b/>
          <w:highlight w:val="none"/>
        </w:rPr>
      </w:pPr>
      <w:r>
        <w:rPr>
          <w:b/>
          <w:highlight w:val="none"/>
        </w:rPr>
        <w:t xml:space="preserve">1. </w:t>
      </w:r>
      <w:r>
        <w:rPr>
          <w:rFonts w:hint="eastAsia"/>
          <w:b/>
          <w:highlight w:val="none"/>
        </w:rPr>
        <w:t>水环境质量</w:t>
      </w:r>
      <w:r>
        <w:rPr>
          <w:b/>
          <w:highlight w:val="none"/>
        </w:rPr>
        <w:t>状况</w:t>
      </w:r>
    </w:p>
    <w:p>
      <w:pPr>
        <w:ind w:firstLine="482"/>
        <w:rPr>
          <w:b/>
          <w:highlight w:val="none"/>
        </w:rPr>
      </w:pPr>
      <w:r>
        <w:rPr>
          <w:rFonts w:hint="eastAsia"/>
          <w:b/>
          <w:highlight w:val="none"/>
        </w:rPr>
        <w:t>（1）调查概况</w:t>
      </w:r>
    </w:p>
    <w:p>
      <w:pPr>
        <w:ind w:firstLine="480"/>
        <w:rPr>
          <w:highlight w:val="none"/>
        </w:rPr>
      </w:pPr>
      <w:r>
        <w:rPr>
          <w:rFonts w:hint="eastAsia"/>
          <w:highlight w:val="none"/>
        </w:rPr>
        <w:t>调查2016~2022年连平县水环境质量状况，包括2016~2022年5个县控以上水环境监测断面，分别为隆街大桥、合水桥、连中桥、黄潭寺和大席水，其中隆街大桥为省考断面，合水桥为生态县考核断面，连中桥、黄潭寺和大席水为县控断面；2016~2022年2个饮用水源地水环境监测点，分别为县级密溪河饮用水源地及县级鹤湖河饮用水源地；2022年22个镇水环境综合整治考核断面。调查断面（点位）详见图3.3-16。</w:t>
      </w:r>
    </w:p>
    <w:p>
      <w:pPr>
        <w:ind w:firstLine="0" w:firstLineChars="0"/>
        <w:jc w:val="center"/>
        <w:rPr>
          <w:b/>
          <w:highlight w:val="none"/>
        </w:rPr>
        <w:sectPr>
          <w:pgSz w:w="11907" w:h="16840"/>
          <w:pgMar w:top="1440" w:right="1803" w:bottom="1440" w:left="1803" w:header="851" w:footer="992" w:gutter="0"/>
          <w:cols w:space="0" w:num="1"/>
          <w:docGrid w:type="lines" w:linePitch="326" w:charSpace="0"/>
        </w:sectPr>
      </w:pPr>
    </w:p>
    <w:p>
      <w:pPr>
        <w:ind w:firstLine="0" w:firstLineChars="0"/>
        <w:jc w:val="center"/>
        <w:rPr>
          <w:b/>
          <w:highlight w:val="none"/>
        </w:rPr>
      </w:pPr>
      <w:r>
        <w:rPr>
          <w:rFonts w:hint="eastAsia"/>
          <w:b/>
          <w:highlight w:val="none"/>
        </w:rPr>
        <w:t>表3.3-5 连平县水环境监测点位（断面）基本情况表</w:t>
      </w:r>
    </w:p>
    <w:tbl>
      <w:tblPr>
        <w:tblStyle w:val="33"/>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1843"/>
        <w:gridCol w:w="1275"/>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名称</w:t>
            </w:r>
          </w:p>
        </w:tc>
        <w:tc>
          <w:tcPr>
            <w:tcW w:w="1843" w:type="dxa"/>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类型</w:t>
            </w:r>
          </w:p>
        </w:tc>
        <w:tc>
          <w:tcPr>
            <w:tcW w:w="1275" w:type="dxa"/>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位置</w:t>
            </w:r>
          </w:p>
        </w:tc>
        <w:tc>
          <w:tcPr>
            <w:tcW w:w="1106" w:type="dxa"/>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隆街大桥</w:t>
            </w:r>
          </w:p>
        </w:tc>
        <w:tc>
          <w:tcPr>
            <w:tcW w:w="1843"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省考</w:t>
            </w: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隆街镇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合水桥</w:t>
            </w:r>
          </w:p>
        </w:tc>
        <w:tc>
          <w:tcPr>
            <w:tcW w:w="1843"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生态县考核</w:t>
            </w: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连中桥</w:t>
            </w:r>
          </w:p>
        </w:tc>
        <w:tc>
          <w:tcPr>
            <w:tcW w:w="1843" w:type="dxa"/>
            <w:vMerge w:val="restart"/>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县控</w:t>
            </w: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黄潭寺</w:t>
            </w:r>
          </w:p>
        </w:tc>
        <w:tc>
          <w:tcPr>
            <w:tcW w:w="1843" w:type="dxa"/>
            <w:vMerge w:val="continue"/>
            <w:shd w:val="clear" w:color="auto" w:fill="auto"/>
            <w:noWrap/>
            <w:vAlign w:val="center"/>
          </w:tcPr>
          <w:p>
            <w:pPr>
              <w:spacing w:line="240" w:lineRule="auto"/>
              <w:ind w:firstLine="42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大席水</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田源镇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bCs/>
                <w:kern w:val="0"/>
                <w:sz w:val="21"/>
                <w:szCs w:val="21"/>
                <w:highlight w:val="none"/>
              </w:rPr>
              <w:t>连平县密溪河饮用水水源保护区</w:t>
            </w:r>
          </w:p>
        </w:tc>
        <w:tc>
          <w:tcPr>
            <w:tcW w:w="1843" w:type="dxa"/>
            <w:vMerge w:val="restart"/>
            <w:shd w:val="clear" w:color="auto" w:fill="auto"/>
            <w:noWrap/>
            <w:vAlign w:val="center"/>
          </w:tcPr>
          <w:p>
            <w:pPr>
              <w:spacing w:line="240" w:lineRule="auto"/>
              <w:ind w:firstLine="0" w:firstLineChars="0"/>
              <w:jc w:val="center"/>
              <w:rPr>
                <w:color w:val="000000"/>
                <w:kern w:val="0"/>
                <w:sz w:val="21"/>
                <w:szCs w:val="21"/>
                <w:highlight w:val="none"/>
              </w:rPr>
            </w:pPr>
            <w:r>
              <w:rPr>
                <w:color w:val="000000"/>
                <w:kern w:val="0"/>
                <w:sz w:val="21"/>
                <w:szCs w:val="21"/>
                <w:highlight w:val="none"/>
              </w:rPr>
              <w:t>县级饮用水源地</w:t>
            </w: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bCs/>
                <w:kern w:val="0"/>
                <w:sz w:val="21"/>
                <w:szCs w:val="21"/>
                <w:highlight w:val="none"/>
              </w:rPr>
              <w:t>连平县鹤湖河饮用水源保护区</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元善镇（江面村与溪山镇茶山村河界交界）</w:t>
            </w:r>
          </w:p>
        </w:tc>
        <w:tc>
          <w:tcPr>
            <w:tcW w:w="1843" w:type="dxa"/>
            <w:vMerge w:val="restart"/>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镇水环境综合整治考核</w:t>
            </w: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元善镇（留潭村与田源镇新河村河界交界）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溪山镇（东罗村与隆街镇三坑村河界交界）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bCs/>
                <w:kern w:val="0"/>
                <w:sz w:val="21"/>
                <w:szCs w:val="21"/>
                <w:highlight w:val="none"/>
              </w:rPr>
              <w:t>溪山镇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隆街镇（龙浦村小浪屋）</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bCs/>
                <w:kern w:val="0"/>
                <w:sz w:val="21"/>
                <w:szCs w:val="21"/>
                <w:highlight w:val="none"/>
              </w:rPr>
              <w:t>隆街镇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隆街镇（三坑村（与连平水合水处））</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bCs/>
                <w:kern w:val="0"/>
                <w:sz w:val="21"/>
                <w:szCs w:val="21"/>
                <w:highlight w:val="none"/>
              </w:rPr>
              <w:t>隆街镇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bCs/>
                <w:kern w:val="0"/>
                <w:sz w:val="21"/>
                <w:szCs w:val="21"/>
                <w:highlight w:val="none"/>
              </w:rPr>
            </w:pPr>
            <w:r>
              <w:rPr>
                <w:rFonts w:hint="eastAsia"/>
                <w:bCs/>
                <w:kern w:val="0"/>
                <w:sz w:val="21"/>
                <w:szCs w:val="21"/>
                <w:highlight w:val="none"/>
              </w:rPr>
              <w:t>田源镇</w:t>
            </w:r>
            <w:r>
              <w:rPr>
                <w:rFonts w:ascii="宋体" w:hAnsi="宋体"/>
                <w:bCs/>
                <w:kern w:val="0"/>
                <w:sz w:val="21"/>
                <w:szCs w:val="21"/>
                <w:highlight w:val="none"/>
              </w:rPr>
              <w:t>(新河村河头龙联水电站)</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bCs/>
                <w:kern w:val="0"/>
                <w:sz w:val="21"/>
                <w:szCs w:val="21"/>
                <w:highlight w:val="none"/>
              </w:rPr>
              <w:t>田源镇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忠信镇(柘陂村石塘水老桥)</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忠信镇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忠信镇(新下村合水桥老桥)</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忠信镇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三角镇(新村村鳌岭三个垇)</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三角镇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上坪镇(下坪村与内莞镇显村村河界交界)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上坪镇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绣缎镇(尚岭村与大湖镇盘石村河界交界)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绣缎镇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工业园管委会(工业园污水处理厂排污口下</w:t>
            </w:r>
            <w:r>
              <w:rPr>
                <w:bCs/>
                <w:kern w:val="0"/>
                <w:sz w:val="21"/>
                <w:szCs w:val="21"/>
                <w:highlight w:val="none"/>
              </w:rPr>
              <w:t>游200米)</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三角镇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高莞镇(二联村与忠信镇大坪村河界交界)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高莞镇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鸿伟矿业、泥竹塘铁矿(南坑溪连平段)</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油溪镇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油溪镇(溪南村与忠信镇老街社区河界交界)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油溪镇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内莞镇(大水村与油溪镇九潭村河界交界)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内莞镇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内莞镇(横水村与元善镇大埠村河界交界)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内莞镇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陂头镇(陂头水 夏田村慧福桥)</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陂头镇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陂头镇(贵东水 贵塘村葛仔引)</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陂头镇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大湖镇(活水村与三角镇塘背村河界交界)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大湖镇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大湖镇(大寨水(连平与东源交界))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大湖镇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11" w:type="dxa"/>
            <w:shd w:val="clear" w:color="auto" w:fill="auto"/>
            <w:noWrap/>
            <w:vAlign w:val="center"/>
          </w:tcPr>
          <w:p>
            <w:pPr>
              <w:widowControl/>
              <w:spacing w:line="240" w:lineRule="auto"/>
              <w:ind w:firstLine="0" w:firstLineChars="0"/>
              <w:jc w:val="center"/>
              <w:rPr>
                <w:rFonts w:ascii="宋体" w:hAnsi="宋体"/>
                <w:bCs/>
                <w:kern w:val="0"/>
                <w:sz w:val="21"/>
                <w:szCs w:val="21"/>
                <w:highlight w:val="none"/>
              </w:rPr>
            </w:pPr>
            <w:r>
              <w:rPr>
                <w:rFonts w:hint="eastAsia" w:ascii="宋体" w:hAnsi="宋体"/>
                <w:bCs/>
                <w:kern w:val="0"/>
                <w:sz w:val="21"/>
                <w:szCs w:val="21"/>
                <w:highlight w:val="none"/>
              </w:rPr>
              <w:t>大湖镇(小水河(连平五禾与东源交界))</w:t>
            </w:r>
          </w:p>
        </w:tc>
        <w:tc>
          <w:tcPr>
            <w:tcW w:w="1843" w:type="dxa"/>
            <w:vMerge w:val="continue"/>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75"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ascii="宋体" w:hAnsi="宋体"/>
                <w:bCs/>
                <w:kern w:val="0"/>
                <w:sz w:val="21"/>
                <w:szCs w:val="21"/>
                <w:highlight w:val="none"/>
              </w:rPr>
              <w:t>大湖镇</w:t>
            </w:r>
          </w:p>
        </w:tc>
        <w:tc>
          <w:tcPr>
            <w:tcW w:w="1106" w:type="dxa"/>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r>
    </w:tbl>
    <w:p>
      <w:pPr>
        <w:ind w:firstLine="0" w:firstLineChars="0"/>
        <w:rPr>
          <w:highlight w:val="none"/>
        </w:rPr>
      </w:pPr>
    </w:p>
    <w:p>
      <w:pPr>
        <w:ind w:firstLine="482"/>
        <w:jc w:val="left"/>
        <w:rPr>
          <w:b/>
          <w:color w:val="FF0000"/>
          <w:highlight w:val="none"/>
        </w:rPr>
        <w:sectPr>
          <w:pgSz w:w="11907" w:h="16840"/>
          <w:pgMar w:top="1440" w:right="1803" w:bottom="1440" w:left="1803" w:header="851" w:footer="992" w:gutter="0"/>
          <w:cols w:space="0" w:num="1"/>
          <w:docGrid w:type="lines" w:linePitch="326" w:charSpace="0"/>
        </w:sectPr>
      </w:pPr>
    </w:p>
    <w:p>
      <w:pPr>
        <w:ind w:firstLine="482"/>
        <w:jc w:val="left"/>
        <w:rPr>
          <w:b/>
          <w:highlight w:val="none"/>
        </w:rPr>
      </w:pPr>
      <w:r>
        <w:rPr>
          <w:rFonts w:hint="eastAsia"/>
          <w:b/>
          <w:highlight w:val="none"/>
        </w:rPr>
        <w:t>（2）调查结果</w:t>
      </w:r>
    </w:p>
    <w:p>
      <w:pPr>
        <w:ind w:firstLine="482"/>
        <w:rPr>
          <w:b/>
          <w:highlight w:val="none"/>
        </w:rPr>
      </w:pPr>
      <w:r>
        <w:rPr>
          <w:rFonts w:hint="eastAsia"/>
          <w:b/>
          <w:highlight w:val="none"/>
        </w:rPr>
        <w:t>①总体概况</w:t>
      </w:r>
    </w:p>
    <w:p>
      <w:pPr>
        <w:ind w:firstLine="480"/>
        <w:rPr>
          <w:highlight w:val="none"/>
        </w:rPr>
      </w:pPr>
      <w:r>
        <w:rPr>
          <w:rFonts w:hint="eastAsia"/>
          <w:highlight w:val="none"/>
        </w:rPr>
        <w:t>5个县控以上水环境监测断面和2个饮用水源地水环境监测点调查项目包括水温、pH、溶解氧、高锰酸盐指数、化学需氧量、五日生化需氧量、氨氮、总磷、总氮、铜、锌、氟化物、硒、砷、汞、镉、镍、六价铬、铅、氰化物、挥发酚、石油类、阴离子表面活性剂、硫化物、硫酸盐、氯化物、硝酸盐氮、溶解性铁、锰、悬浮物、电导率共31项；镇水环境综合整治考核断面调查项目包括pH、</w:t>
      </w:r>
      <w:r>
        <w:rPr>
          <w:rFonts w:hint="eastAsia"/>
          <w:highlight w:val="none"/>
        </w:rPr>
        <w:tab/>
      </w:r>
      <w:r>
        <w:rPr>
          <w:rFonts w:hint="eastAsia"/>
          <w:highlight w:val="none"/>
        </w:rPr>
        <w:t>悬浮物、</w:t>
      </w:r>
      <w:r>
        <w:rPr>
          <w:rFonts w:hint="eastAsia"/>
          <w:highlight w:val="none"/>
        </w:rPr>
        <w:tab/>
      </w:r>
      <w:r>
        <w:rPr>
          <w:rFonts w:hint="eastAsia"/>
          <w:highlight w:val="none"/>
        </w:rPr>
        <w:t>氨氮、</w:t>
      </w:r>
      <w:r>
        <w:rPr>
          <w:rFonts w:hint="eastAsia"/>
          <w:highlight w:val="none"/>
        </w:rPr>
        <w:tab/>
      </w:r>
      <w:r>
        <w:rPr>
          <w:rFonts w:hint="eastAsia"/>
          <w:highlight w:val="none"/>
        </w:rPr>
        <w:t>总磷</w:t>
      </w:r>
      <w:r>
        <w:rPr>
          <w:rFonts w:hint="eastAsia"/>
          <w:highlight w:val="none"/>
        </w:rPr>
        <w:tab/>
      </w:r>
      <w:r>
        <w:rPr>
          <w:rFonts w:hint="eastAsia"/>
          <w:highlight w:val="none"/>
        </w:rPr>
        <w:t>、总氮</w:t>
      </w:r>
      <w:r>
        <w:rPr>
          <w:rFonts w:hint="eastAsia"/>
          <w:highlight w:val="none"/>
        </w:rPr>
        <w:tab/>
      </w:r>
      <w:r>
        <w:rPr>
          <w:rFonts w:hint="eastAsia"/>
          <w:highlight w:val="none"/>
        </w:rPr>
        <w:t>、化学需氧量</w:t>
      </w:r>
      <w:r>
        <w:rPr>
          <w:rFonts w:hint="eastAsia"/>
          <w:highlight w:val="none"/>
        </w:rPr>
        <w:tab/>
      </w:r>
      <w:r>
        <w:rPr>
          <w:rFonts w:hint="eastAsia"/>
          <w:highlight w:val="none"/>
        </w:rPr>
        <w:t>、高锰酸盐指数</w:t>
      </w:r>
      <w:r>
        <w:rPr>
          <w:rFonts w:hint="eastAsia"/>
          <w:highlight w:val="none"/>
        </w:rPr>
        <w:tab/>
      </w:r>
      <w:r>
        <w:rPr>
          <w:rFonts w:hint="eastAsia"/>
          <w:highlight w:val="none"/>
        </w:rPr>
        <w:t>、铜</w:t>
      </w:r>
      <w:r>
        <w:rPr>
          <w:rFonts w:hint="eastAsia"/>
          <w:highlight w:val="none"/>
        </w:rPr>
        <w:tab/>
      </w:r>
      <w:r>
        <w:rPr>
          <w:rFonts w:hint="eastAsia"/>
          <w:highlight w:val="none"/>
        </w:rPr>
        <w:t>、铅、</w:t>
      </w:r>
      <w:r>
        <w:rPr>
          <w:rFonts w:hint="eastAsia"/>
          <w:highlight w:val="none"/>
        </w:rPr>
        <w:tab/>
      </w:r>
      <w:r>
        <w:rPr>
          <w:rFonts w:hint="eastAsia"/>
          <w:highlight w:val="none"/>
        </w:rPr>
        <w:t>锌、</w:t>
      </w:r>
      <w:r>
        <w:rPr>
          <w:rFonts w:hint="eastAsia"/>
          <w:highlight w:val="none"/>
        </w:rPr>
        <w:tab/>
      </w:r>
      <w:r>
        <w:rPr>
          <w:rFonts w:hint="eastAsia"/>
          <w:highlight w:val="none"/>
        </w:rPr>
        <w:t>砷、</w:t>
      </w:r>
      <w:r>
        <w:rPr>
          <w:rFonts w:hint="eastAsia"/>
          <w:highlight w:val="none"/>
        </w:rPr>
        <w:tab/>
      </w:r>
      <w:r>
        <w:rPr>
          <w:rFonts w:hint="eastAsia"/>
          <w:highlight w:val="none"/>
        </w:rPr>
        <w:t>镉</w:t>
      </w:r>
      <w:r>
        <w:rPr>
          <w:rFonts w:hint="eastAsia"/>
          <w:highlight w:val="none"/>
        </w:rPr>
        <w:tab/>
      </w:r>
      <w:r>
        <w:rPr>
          <w:rFonts w:hint="eastAsia"/>
          <w:highlight w:val="none"/>
        </w:rPr>
        <w:t>和镍。</w:t>
      </w:r>
    </w:p>
    <w:p>
      <w:pPr>
        <w:ind w:firstLine="480"/>
        <w:rPr>
          <w:highlight w:val="none"/>
        </w:rPr>
      </w:pPr>
      <w:r>
        <w:rPr>
          <w:rFonts w:hint="eastAsia"/>
          <w:highlight w:val="none"/>
        </w:rPr>
        <w:t>5个县控以上水环境监测断面和2个饮用水源地水环境监测点统计结果如表3.3-6所示。从中可以看出，7个监测断面年均水质类别均为Ⅱ类及以上，符合水质目标要求，2016~2022年连平县县控以上地表水水质达到或优于Ⅲ类水体的比例保持100%，县级以上集中式饮用水源地水质达标率保持100%。22个镇水环境综合整治考核断面水质状况如表3.3-7所示。从表中可以看出，22个镇水环境综合整治考核断面中有15个能符合水质目标要求，达标率为68.18%。</w:t>
      </w:r>
    </w:p>
    <w:p>
      <w:pPr>
        <w:ind w:firstLine="0" w:firstLineChars="0"/>
        <w:jc w:val="center"/>
        <w:rPr>
          <w:highlight w:val="none"/>
        </w:rPr>
      </w:pPr>
      <w:r>
        <w:rPr>
          <w:b/>
          <w:highlight w:val="none"/>
        </w:rPr>
        <w:t>表3.</w:t>
      </w:r>
      <w:r>
        <w:rPr>
          <w:rFonts w:hint="eastAsia"/>
          <w:b/>
          <w:highlight w:val="none"/>
        </w:rPr>
        <w:t>3</w:t>
      </w:r>
      <w:r>
        <w:rPr>
          <w:b/>
          <w:highlight w:val="none"/>
        </w:rPr>
        <w:t>-</w:t>
      </w:r>
      <w:r>
        <w:rPr>
          <w:rFonts w:hint="eastAsia"/>
          <w:b/>
          <w:highlight w:val="none"/>
        </w:rPr>
        <w:t>6</w:t>
      </w:r>
      <w:r>
        <w:rPr>
          <w:b/>
          <w:highlight w:val="none"/>
        </w:rPr>
        <w:t xml:space="preserve"> </w:t>
      </w:r>
      <w:r>
        <w:rPr>
          <w:rFonts w:hint="eastAsia"/>
          <w:b/>
          <w:highlight w:val="none"/>
        </w:rPr>
        <w:t>2016~2022年各</w:t>
      </w:r>
      <w:r>
        <w:rPr>
          <w:b/>
          <w:highlight w:val="none"/>
        </w:rPr>
        <w:t>断面水质</w:t>
      </w:r>
      <w:r>
        <w:rPr>
          <w:rFonts w:hint="eastAsia"/>
          <w:b/>
          <w:highlight w:val="none"/>
        </w:rPr>
        <w:t>状况</w:t>
      </w:r>
    </w:p>
    <w:tbl>
      <w:tblPr>
        <w:tblStyle w:val="33"/>
        <w:tblW w:w="593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96"/>
        <w:gridCol w:w="751"/>
        <w:gridCol w:w="947"/>
        <w:gridCol w:w="947"/>
        <w:gridCol w:w="947"/>
        <w:gridCol w:w="874"/>
        <w:gridCol w:w="878"/>
        <w:gridCol w:w="878"/>
        <w:gridCol w:w="1133"/>
        <w:gridCol w:w="1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9" w:type="pct"/>
            <w:vMerge w:val="restart"/>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断面</w:t>
            </w:r>
          </w:p>
          <w:p>
            <w:pPr>
              <w:widowControl/>
              <w:spacing w:line="240" w:lineRule="auto"/>
              <w:ind w:firstLine="0" w:firstLineChars="0"/>
              <w:jc w:val="center"/>
              <w:rPr>
                <w:b/>
                <w:bCs/>
                <w:kern w:val="0"/>
                <w:sz w:val="21"/>
                <w:szCs w:val="21"/>
                <w:highlight w:val="none"/>
              </w:rPr>
            </w:pPr>
            <w:r>
              <w:rPr>
                <w:b/>
                <w:bCs/>
                <w:kern w:val="0"/>
                <w:sz w:val="21"/>
                <w:szCs w:val="21"/>
                <w:highlight w:val="none"/>
              </w:rPr>
              <w:t>名称</w:t>
            </w:r>
          </w:p>
        </w:tc>
        <w:tc>
          <w:tcPr>
            <w:tcW w:w="372" w:type="pct"/>
            <w:vMerge w:val="restart"/>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目标</w:t>
            </w:r>
          </w:p>
          <w:p>
            <w:pPr>
              <w:widowControl/>
              <w:spacing w:line="240" w:lineRule="auto"/>
              <w:ind w:firstLine="0" w:firstLineChars="0"/>
              <w:jc w:val="center"/>
              <w:rPr>
                <w:b/>
                <w:bCs/>
                <w:kern w:val="0"/>
                <w:sz w:val="21"/>
                <w:szCs w:val="21"/>
                <w:highlight w:val="none"/>
              </w:rPr>
            </w:pPr>
            <w:r>
              <w:rPr>
                <w:b/>
                <w:bCs/>
                <w:kern w:val="0"/>
                <w:sz w:val="21"/>
                <w:szCs w:val="21"/>
                <w:highlight w:val="none"/>
              </w:rPr>
              <w:t>水质</w:t>
            </w:r>
          </w:p>
        </w:tc>
        <w:tc>
          <w:tcPr>
            <w:tcW w:w="3264" w:type="pct"/>
            <w:gridSpan w:val="7"/>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水质情况（水质类别）</w:t>
            </w:r>
          </w:p>
        </w:tc>
        <w:tc>
          <w:tcPr>
            <w:tcW w:w="524" w:type="pct"/>
            <w:vMerge w:val="restart"/>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河流名称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9" w:type="pct"/>
            <w:vMerge w:val="continue"/>
            <w:vAlign w:val="center"/>
          </w:tcPr>
          <w:p>
            <w:pPr>
              <w:widowControl/>
              <w:spacing w:line="240" w:lineRule="auto"/>
              <w:ind w:firstLine="0" w:firstLineChars="0"/>
              <w:jc w:val="center"/>
              <w:rPr>
                <w:b/>
                <w:bCs/>
                <w:kern w:val="0"/>
                <w:sz w:val="21"/>
                <w:szCs w:val="21"/>
                <w:highlight w:val="none"/>
              </w:rPr>
            </w:pPr>
          </w:p>
        </w:tc>
        <w:tc>
          <w:tcPr>
            <w:tcW w:w="372" w:type="pct"/>
            <w:vMerge w:val="continue"/>
            <w:vAlign w:val="center"/>
          </w:tcPr>
          <w:p>
            <w:pPr>
              <w:widowControl/>
              <w:spacing w:line="240" w:lineRule="auto"/>
              <w:ind w:firstLine="0" w:firstLineChars="0"/>
              <w:jc w:val="center"/>
              <w:rPr>
                <w:b/>
                <w:bCs/>
                <w:kern w:val="0"/>
                <w:sz w:val="21"/>
                <w:szCs w:val="21"/>
                <w:highlight w:val="none"/>
              </w:rPr>
            </w:pPr>
          </w:p>
        </w:tc>
        <w:tc>
          <w:tcPr>
            <w:tcW w:w="468" w:type="pct"/>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2016年</w:t>
            </w:r>
          </w:p>
        </w:tc>
        <w:tc>
          <w:tcPr>
            <w:tcW w:w="468" w:type="pct"/>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2017年</w:t>
            </w:r>
          </w:p>
        </w:tc>
        <w:tc>
          <w:tcPr>
            <w:tcW w:w="468" w:type="pct"/>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2018年</w:t>
            </w:r>
          </w:p>
        </w:tc>
        <w:tc>
          <w:tcPr>
            <w:tcW w:w="432" w:type="pct"/>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2019年</w:t>
            </w:r>
          </w:p>
        </w:tc>
        <w:tc>
          <w:tcPr>
            <w:tcW w:w="434" w:type="pct"/>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2020年</w:t>
            </w:r>
          </w:p>
        </w:tc>
        <w:tc>
          <w:tcPr>
            <w:tcW w:w="434" w:type="pct"/>
            <w:tcBorders>
              <w:righ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2021年</w:t>
            </w:r>
          </w:p>
        </w:tc>
        <w:tc>
          <w:tcPr>
            <w:tcW w:w="560" w:type="pct"/>
            <w:tcBorders>
              <w:lef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rFonts w:hint="eastAsia"/>
                <w:b/>
                <w:bCs/>
                <w:kern w:val="0"/>
                <w:sz w:val="21"/>
                <w:szCs w:val="21"/>
                <w:highlight w:val="none"/>
              </w:rPr>
              <w:t>2022年</w:t>
            </w:r>
          </w:p>
        </w:tc>
        <w:tc>
          <w:tcPr>
            <w:tcW w:w="524" w:type="pct"/>
            <w:vMerge w:val="continue"/>
            <w:vAlign w:val="center"/>
          </w:tcPr>
          <w:p>
            <w:pPr>
              <w:widowControl/>
              <w:spacing w:line="240" w:lineRule="auto"/>
              <w:ind w:firstLine="0" w:firstLineChars="0"/>
              <w:jc w:val="center"/>
              <w:rPr>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9" w:hRule="atLeast"/>
          <w:jc w:val="center"/>
        </w:trPr>
        <w:tc>
          <w:tcPr>
            <w:tcW w:w="839"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隆街大桥</w:t>
            </w:r>
          </w:p>
        </w:tc>
        <w:tc>
          <w:tcPr>
            <w:tcW w:w="37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tcBorders>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60" w:type="pct"/>
            <w:tcBorders>
              <w:lef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2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9" w:hRule="atLeast"/>
          <w:jc w:val="center"/>
        </w:trPr>
        <w:tc>
          <w:tcPr>
            <w:tcW w:w="839"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合水桥</w:t>
            </w:r>
          </w:p>
        </w:tc>
        <w:tc>
          <w:tcPr>
            <w:tcW w:w="37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tcBorders>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60" w:type="pct"/>
            <w:tcBorders>
              <w:lef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2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839"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连中桥</w:t>
            </w:r>
          </w:p>
        </w:tc>
        <w:tc>
          <w:tcPr>
            <w:tcW w:w="37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tcBorders>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60" w:type="pct"/>
            <w:tcBorders>
              <w:lef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24" w:type="pct"/>
            <w:shd w:val="clear" w:color="auto" w:fill="auto"/>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鹤湖水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839"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黄潭寺</w:t>
            </w:r>
          </w:p>
        </w:tc>
        <w:tc>
          <w:tcPr>
            <w:tcW w:w="37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tcBorders>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60" w:type="pct"/>
            <w:tcBorders>
              <w:lef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2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39"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大席水</w:t>
            </w:r>
          </w:p>
        </w:tc>
        <w:tc>
          <w:tcPr>
            <w:tcW w:w="37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tcBorders>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60" w:type="pct"/>
            <w:tcBorders>
              <w:lef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24" w:type="pct"/>
            <w:shd w:val="clear" w:color="auto" w:fill="auto"/>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大席河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39" w:type="pct"/>
            <w:shd w:val="clear" w:color="auto" w:fill="auto"/>
            <w:vAlign w:val="center"/>
          </w:tcPr>
          <w:p>
            <w:pPr>
              <w:widowControl/>
              <w:spacing w:line="240" w:lineRule="auto"/>
              <w:ind w:firstLine="0" w:firstLineChars="0"/>
              <w:jc w:val="center"/>
              <w:rPr>
                <w:kern w:val="0"/>
                <w:sz w:val="21"/>
                <w:szCs w:val="21"/>
                <w:highlight w:val="none"/>
              </w:rPr>
            </w:pPr>
            <w:r>
              <w:rPr>
                <w:bCs/>
                <w:kern w:val="0"/>
                <w:sz w:val="21"/>
                <w:szCs w:val="21"/>
                <w:highlight w:val="none"/>
              </w:rPr>
              <w:t>连平县密溪河饮用水水源保护区</w:t>
            </w:r>
          </w:p>
        </w:tc>
        <w:tc>
          <w:tcPr>
            <w:tcW w:w="37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tcBorders>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60" w:type="pct"/>
            <w:tcBorders>
              <w:lef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24" w:type="pct"/>
            <w:shd w:val="clear" w:color="auto" w:fill="auto"/>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密溪河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39" w:type="pct"/>
            <w:shd w:val="clear" w:color="auto" w:fill="auto"/>
            <w:vAlign w:val="center"/>
          </w:tcPr>
          <w:p>
            <w:pPr>
              <w:widowControl/>
              <w:spacing w:line="240" w:lineRule="auto"/>
              <w:ind w:firstLine="0" w:firstLineChars="0"/>
              <w:jc w:val="center"/>
              <w:rPr>
                <w:kern w:val="0"/>
                <w:sz w:val="21"/>
                <w:szCs w:val="21"/>
                <w:highlight w:val="none"/>
              </w:rPr>
            </w:pPr>
            <w:r>
              <w:rPr>
                <w:bCs/>
                <w:kern w:val="0"/>
                <w:sz w:val="21"/>
                <w:szCs w:val="21"/>
                <w:highlight w:val="none"/>
              </w:rPr>
              <w:t>连平县鹤湖河饮用水源保护区</w:t>
            </w:r>
          </w:p>
        </w:tc>
        <w:tc>
          <w:tcPr>
            <w:tcW w:w="37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Ⅰ</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68"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2"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434" w:type="pct"/>
            <w:tcBorders>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60" w:type="pct"/>
            <w:tcBorders>
              <w:lef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Ⅱ</w:t>
            </w:r>
          </w:p>
        </w:tc>
        <w:tc>
          <w:tcPr>
            <w:tcW w:w="524" w:type="pct"/>
            <w:shd w:val="clear" w:color="auto" w:fill="auto"/>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鹤湖水水库</w:t>
            </w:r>
          </w:p>
        </w:tc>
      </w:tr>
    </w:tbl>
    <w:p>
      <w:pPr>
        <w:spacing w:before="163" w:beforeLines="50"/>
        <w:ind w:firstLine="0" w:firstLineChars="0"/>
        <w:jc w:val="center"/>
        <w:rPr>
          <w:b/>
          <w:highlight w:val="none"/>
        </w:rPr>
      </w:pPr>
      <w:r>
        <w:rPr>
          <w:b/>
          <w:highlight w:val="none"/>
        </w:rPr>
        <w:t>表3.</w:t>
      </w:r>
      <w:r>
        <w:rPr>
          <w:rFonts w:hint="eastAsia"/>
          <w:b/>
          <w:highlight w:val="none"/>
        </w:rPr>
        <w:t>3</w:t>
      </w:r>
      <w:r>
        <w:rPr>
          <w:b/>
          <w:highlight w:val="none"/>
        </w:rPr>
        <w:t>-</w:t>
      </w:r>
      <w:r>
        <w:rPr>
          <w:rFonts w:hint="eastAsia"/>
          <w:b/>
          <w:highlight w:val="none"/>
        </w:rPr>
        <w:t>7</w:t>
      </w:r>
      <w:r>
        <w:rPr>
          <w:b/>
          <w:highlight w:val="none"/>
        </w:rPr>
        <w:t xml:space="preserve"> </w:t>
      </w:r>
      <w:r>
        <w:rPr>
          <w:rFonts w:hint="eastAsia"/>
          <w:b/>
          <w:highlight w:val="none"/>
        </w:rPr>
        <w:t>2022年22个镇水环境综合整治考核断面</w:t>
      </w:r>
      <w:r>
        <w:rPr>
          <w:b/>
          <w:highlight w:val="none"/>
        </w:rPr>
        <w:t>水质</w:t>
      </w:r>
      <w:r>
        <w:rPr>
          <w:rFonts w:hint="eastAsia"/>
          <w:b/>
          <w:highlight w:val="none"/>
        </w:rPr>
        <w:t>状况</w:t>
      </w:r>
    </w:p>
    <w:tbl>
      <w:tblPr>
        <w:tblStyle w:val="33"/>
        <w:tblW w:w="8360" w:type="dxa"/>
        <w:tblInd w:w="93" w:type="dxa"/>
        <w:tblLayout w:type="autofit"/>
        <w:tblCellMar>
          <w:top w:w="0" w:type="dxa"/>
          <w:left w:w="108" w:type="dxa"/>
          <w:bottom w:w="0" w:type="dxa"/>
          <w:right w:w="108" w:type="dxa"/>
        </w:tblCellMar>
      </w:tblPr>
      <w:tblGrid>
        <w:gridCol w:w="724"/>
        <w:gridCol w:w="5387"/>
        <w:gridCol w:w="1169"/>
        <w:gridCol w:w="1080"/>
      </w:tblGrid>
      <w:tr>
        <w:tblPrEx>
          <w:tblCellMar>
            <w:top w:w="0" w:type="dxa"/>
            <w:left w:w="108" w:type="dxa"/>
            <w:bottom w:w="0" w:type="dxa"/>
            <w:right w:w="108" w:type="dxa"/>
          </w:tblCellMar>
        </w:tblPrEx>
        <w:trPr>
          <w:trHeight w:val="312" w:hRule="exact"/>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序号</w:t>
            </w:r>
          </w:p>
        </w:tc>
        <w:tc>
          <w:tcPr>
            <w:tcW w:w="538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断面名称</w:t>
            </w:r>
          </w:p>
        </w:tc>
        <w:tc>
          <w:tcPr>
            <w:tcW w:w="116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水质目标</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水质类别</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元善镇（江面村与溪山镇茶山村河界交界）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Ⅲ类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元善镇（留潭村与田源镇新河村河界交界）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溪山镇（东罗村与隆街镇三坑村河界交界）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b/>
                <w:color w:val="000000"/>
                <w:kern w:val="0"/>
                <w:sz w:val="21"/>
                <w:szCs w:val="21"/>
                <w:highlight w:val="none"/>
              </w:rPr>
              <w:t>Ⅲ类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隆街镇（龙浦村小浪屋）</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隆街镇（三坑村（与连平水合水处））</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6</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田源镇(新河村河头龙联水电站)</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忠信镇(柘陂村石塘水老桥)</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8</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忠信镇(新下村合水桥老桥)</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b/>
                <w:color w:val="000000"/>
                <w:kern w:val="0"/>
                <w:sz w:val="21"/>
                <w:szCs w:val="21"/>
                <w:highlight w:val="none"/>
              </w:rPr>
              <w:t>Ⅲ类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9</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三角镇(新村村鳌岭三个垇)</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FF0000"/>
                <w:kern w:val="0"/>
                <w:sz w:val="21"/>
                <w:szCs w:val="21"/>
                <w:highlight w:val="none"/>
              </w:rPr>
            </w:pPr>
            <w:r>
              <w:rPr>
                <w:b/>
                <w:color w:val="000000"/>
                <w:kern w:val="0"/>
                <w:sz w:val="21"/>
                <w:szCs w:val="21"/>
                <w:highlight w:val="none"/>
              </w:rPr>
              <w:t>Ⅲ类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上坪镇(下坪村与内莞镇显村村河界交界)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11</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绣缎镇(尚岭村与大湖镇盘石村河界交界)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12</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工业园管委会(工业园污水处理厂排污口下游200米)</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b/>
                <w:color w:val="000000"/>
                <w:kern w:val="0"/>
                <w:sz w:val="21"/>
                <w:szCs w:val="21"/>
                <w:highlight w:val="none"/>
              </w:rPr>
              <w:t>Ⅳ类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13</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高莞镇(二联村与忠信镇大坪村河界交界)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14</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鸿伟矿业、泥竹塘铁矿(南坑溪连平段)</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15</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油溪镇(溪南村与忠信镇老街社区河界交界)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16</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内莞镇(大水村与油溪镇九潭村河界交界)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17</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内莞镇(横水村与元善镇大埠村河界交界)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18</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陂头镇(陂头水 夏田村慧福桥)</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19</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陂头镇(贵东水 贵塘村葛仔引)</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20</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大湖镇(活水村与三角镇塘背村河界交界)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21</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大湖镇(大寨水(连平与东源交界))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劣Ⅴ类</w:t>
            </w:r>
          </w:p>
        </w:tc>
      </w:tr>
      <w:tr>
        <w:tblPrEx>
          <w:tblCellMar>
            <w:top w:w="0" w:type="dxa"/>
            <w:left w:w="108" w:type="dxa"/>
            <w:bottom w:w="0" w:type="dxa"/>
            <w:right w:w="108" w:type="dxa"/>
          </w:tblCellMar>
        </w:tblPrEx>
        <w:trPr>
          <w:trHeight w:val="312" w:hRule="exac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22</w:t>
            </w:r>
          </w:p>
        </w:tc>
        <w:tc>
          <w:tcPr>
            <w:tcW w:w="538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大湖镇(小水河(连平五禾与东源交界))</w:t>
            </w:r>
          </w:p>
        </w:tc>
        <w:tc>
          <w:tcPr>
            <w:tcW w:w="11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Ⅳ类</w:t>
            </w:r>
          </w:p>
        </w:tc>
      </w:tr>
    </w:tbl>
    <w:p>
      <w:pPr>
        <w:spacing w:before="163" w:beforeLines="50"/>
        <w:ind w:firstLine="482"/>
        <w:rPr>
          <w:b/>
          <w:highlight w:val="none"/>
        </w:rPr>
      </w:pPr>
      <w:r>
        <w:rPr>
          <w:rFonts w:hint="eastAsia"/>
          <w:b/>
          <w:highlight w:val="none"/>
        </w:rPr>
        <w:t>②省考断面</w:t>
      </w:r>
    </w:p>
    <w:p>
      <w:pPr>
        <w:ind w:firstLine="480"/>
        <w:rPr>
          <w:highlight w:val="none"/>
        </w:rPr>
      </w:pPr>
      <w:r>
        <w:rPr>
          <w:rFonts w:hint="eastAsia"/>
          <w:highlight w:val="none"/>
        </w:rPr>
        <w:t>连平县省考断面有1个，为隆街大桥断面。选取溶解氧、高锰酸盐指数、化学需氧量、五日生化需氧量、氨氮、总磷、总氮等主要指标进行变化趋势分析，详见图3.3-17，从图中可以看出，2016~2022年期间，隆街大桥断面高锰酸盐指数、化学需氧量、五日生化需氧量、氨氮、总磷指标总体呈现平稳或下降趋势；溶解氧浓度总体呈现下降趋势，但均高于Ⅱ类水质标准，2018年溶解氧浓度最低，为6.72；总氮年均浓度呈现明显上升趋势，从2016年0.35mg/L上升至2022年1.00mg/L，浓度增长1.88倍。</w:t>
      </w:r>
    </w:p>
    <w:p>
      <w:pPr>
        <w:ind w:firstLine="480"/>
        <w:rPr>
          <w:highlight w:val="none"/>
        </w:rPr>
      </w:pPr>
      <w:r>
        <w:rPr>
          <w:rFonts w:hint="eastAsia"/>
          <w:highlight w:val="none"/>
        </w:rPr>
        <w:t>根据《河源市新丰江水库及其主要支流水环境（降氮控磷）综合整治行动方案（2021-2025年）》，新丰江水库流域水环境综合整治的总体目标是：一年见成效、三年大改观、五年达总氮控制目标。即通过实施综合整治，以2020年为基准年，2021年新丰江水库主要入库支流水质指标总体趋好（总磷浓度有所下降），参考指标总氮浓度有所下降，初步遏制新丰江水库总氮上升趋势，总氮年均值不高于0.49mg/L；2023年新丰江水库主要入库支流水质达标，水库水质达到国家考核要求，总氮年均值不高于0.4mg/L；2025年新丰江水库总氮入库污染通量削减一半以上，水库水质全面达标，总氮年均值不高于0.3mg/L。从2016~2022年隆街大桥断面水质变化情况来看，隆街大桥断面主要问题为总氮污染，与流域内畜禽养殖、农村面源、生活污染等有关。</w:t>
      </w:r>
    </w:p>
    <w:p>
      <w:pPr>
        <w:ind w:firstLine="0" w:firstLineChars="0"/>
        <w:rPr>
          <w:b/>
          <w:color w:val="FF0000"/>
          <w:highlight w:val="none"/>
        </w:rPr>
      </w:pPr>
      <w:r>
        <w:rPr>
          <w:highlight w:val="none"/>
        </w:rPr>
        <w:drawing>
          <wp:inline distT="0" distB="0" distL="0" distR="0">
            <wp:extent cx="5362575" cy="260985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ind w:firstLine="0" w:firstLineChars="0"/>
        <w:rPr>
          <w:b/>
          <w:color w:val="FF0000"/>
          <w:highlight w:val="none"/>
        </w:rPr>
      </w:pPr>
      <w:r>
        <w:rPr>
          <w:highlight w:val="none"/>
        </w:rPr>
        <w:drawing>
          <wp:inline distT="0" distB="0" distL="0" distR="0">
            <wp:extent cx="5514975" cy="2600325"/>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ind w:firstLine="0" w:firstLineChars="0"/>
        <w:rPr>
          <w:b/>
          <w:color w:val="FF0000"/>
          <w:highlight w:val="none"/>
        </w:rPr>
      </w:pPr>
      <w:r>
        <w:rPr>
          <w:highlight w:val="none"/>
        </w:rPr>
        <w:drawing>
          <wp:inline distT="0" distB="0" distL="0" distR="0">
            <wp:extent cx="5267325" cy="239077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ind w:firstLine="0" w:firstLineChars="0"/>
        <w:jc w:val="center"/>
        <w:rPr>
          <w:b/>
          <w:highlight w:val="none"/>
        </w:rPr>
      </w:pPr>
      <w:r>
        <w:rPr>
          <w:rFonts w:hint="eastAsia"/>
          <w:b/>
          <w:highlight w:val="none"/>
        </w:rPr>
        <w:t>图3.3-17隆街大桥断面水质变化趋势图</w:t>
      </w:r>
    </w:p>
    <w:p>
      <w:pPr>
        <w:ind w:firstLine="482"/>
        <w:rPr>
          <w:b/>
          <w:highlight w:val="none"/>
        </w:rPr>
      </w:pPr>
      <w:r>
        <w:rPr>
          <w:rFonts w:hint="eastAsia"/>
          <w:b/>
          <w:highlight w:val="none"/>
        </w:rPr>
        <w:t>③县控/生态县考核断面</w:t>
      </w:r>
    </w:p>
    <w:p>
      <w:pPr>
        <w:ind w:firstLine="480"/>
        <w:rPr>
          <w:highlight w:val="none"/>
        </w:rPr>
      </w:pPr>
      <w:r>
        <w:rPr>
          <w:highlight w:val="none"/>
        </w:rPr>
        <w:t>连平县</w:t>
      </w:r>
      <w:r>
        <w:rPr>
          <w:rFonts w:hint="eastAsia"/>
          <w:highlight w:val="none"/>
        </w:rPr>
        <w:t>县控/生态县考核</w:t>
      </w:r>
      <w:r>
        <w:rPr>
          <w:highlight w:val="none"/>
        </w:rPr>
        <w:t>断面包括合水桥</w:t>
      </w:r>
      <w:r>
        <w:rPr>
          <w:rFonts w:hint="eastAsia"/>
          <w:highlight w:val="none"/>
        </w:rPr>
        <w:t>、</w:t>
      </w:r>
      <w:r>
        <w:rPr>
          <w:highlight w:val="none"/>
        </w:rPr>
        <w:t>连中桥</w:t>
      </w:r>
      <w:r>
        <w:rPr>
          <w:rFonts w:hint="eastAsia"/>
          <w:highlight w:val="none"/>
        </w:rPr>
        <w:t>、</w:t>
      </w:r>
      <w:r>
        <w:rPr>
          <w:highlight w:val="none"/>
        </w:rPr>
        <w:t>黄潭寺和大席水</w:t>
      </w:r>
      <w:r>
        <w:rPr>
          <w:rFonts w:hint="eastAsia"/>
          <w:highlight w:val="none"/>
        </w:rPr>
        <w:t>，其中合水桥为生态县考核断面，其他为县控断面。选取溶解氧、高锰酸盐指数、化学需氧量、五日生化需氧量、氨氮、总磷、总氮等主要指标进行变化趋势分析，结果显示2016~2022年期间</w:t>
      </w:r>
      <w:r>
        <w:rPr>
          <w:highlight w:val="none"/>
        </w:rPr>
        <w:t>合水桥</w:t>
      </w:r>
      <w:r>
        <w:rPr>
          <w:rFonts w:hint="eastAsia"/>
          <w:highlight w:val="none"/>
        </w:rPr>
        <w:t>、</w:t>
      </w:r>
      <w:r>
        <w:rPr>
          <w:highlight w:val="none"/>
        </w:rPr>
        <w:t>连中桥</w:t>
      </w:r>
      <w:r>
        <w:rPr>
          <w:rFonts w:hint="eastAsia"/>
          <w:highlight w:val="none"/>
        </w:rPr>
        <w:t>、</w:t>
      </w:r>
      <w:r>
        <w:rPr>
          <w:highlight w:val="none"/>
        </w:rPr>
        <w:t>黄潭寺和大席水断面</w:t>
      </w:r>
      <w:r>
        <w:rPr>
          <w:rFonts w:hint="eastAsia"/>
          <w:highlight w:val="none"/>
        </w:rPr>
        <w:t>大部分</w:t>
      </w:r>
      <w:r>
        <w:rPr>
          <w:highlight w:val="none"/>
        </w:rPr>
        <w:t>主要指标均呈现</w:t>
      </w:r>
      <w:r>
        <w:rPr>
          <w:rFonts w:hint="eastAsia"/>
          <w:highlight w:val="none"/>
        </w:rPr>
        <w:t>平稳或下降趋势，且浓度低于Ⅱ类水质标准；</w:t>
      </w:r>
      <w:r>
        <w:rPr>
          <w:highlight w:val="none"/>
        </w:rPr>
        <w:t>合水桥</w:t>
      </w:r>
      <w:r>
        <w:rPr>
          <w:rFonts w:hint="eastAsia"/>
          <w:highlight w:val="none"/>
        </w:rPr>
        <w:t>、</w:t>
      </w:r>
      <w:r>
        <w:rPr>
          <w:highlight w:val="none"/>
        </w:rPr>
        <w:t>连中桥</w:t>
      </w:r>
      <w:r>
        <w:rPr>
          <w:rFonts w:hint="eastAsia"/>
          <w:highlight w:val="none"/>
        </w:rPr>
        <w:t>、</w:t>
      </w:r>
      <w:r>
        <w:rPr>
          <w:highlight w:val="none"/>
        </w:rPr>
        <w:t>黄潭寺断面总磷</w:t>
      </w:r>
      <w:r>
        <w:rPr>
          <w:rFonts w:hint="eastAsia"/>
          <w:highlight w:val="none"/>
        </w:rPr>
        <w:t>、</w:t>
      </w:r>
      <w:r>
        <w:rPr>
          <w:highlight w:val="none"/>
        </w:rPr>
        <w:t>总氮浓度均呈现上升趋势</w:t>
      </w:r>
      <w:r>
        <w:rPr>
          <w:rFonts w:hint="eastAsia"/>
          <w:highlight w:val="none"/>
        </w:rPr>
        <w:t>（详见图3.3-18和图3.3-19），</w:t>
      </w:r>
      <w:r>
        <w:rPr>
          <w:highlight w:val="none"/>
        </w:rPr>
        <w:t>其中</w:t>
      </w:r>
      <w:r>
        <w:rPr>
          <w:rFonts w:hint="eastAsia"/>
          <w:highlight w:val="none"/>
        </w:rPr>
        <w:t>，</w:t>
      </w:r>
      <w:r>
        <w:rPr>
          <w:highlight w:val="none"/>
        </w:rPr>
        <w:t>合水桥断面</w:t>
      </w:r>
      <w:r>
        <w:rPr>
          <w:rFonts w:hint="eastAsia"/>
          <w:highlight w:val="none"/>
        </w:rPr>
        <w:t>2021年总磷浓度最高，为0.09mg/L，2022年降至0.08mg/L，总体比2016年增长0.22倍；连中桥断面2021年总磷浓度均为0.07mg/L，2022年降至0.06mg/L，总体比2016年增长0.42倍；黄潭寺断面2018年和2022年总磷浓度分别为0.10mg/L和0.09mg/L，总体比2016年增长0.37倍。</w:t>
      </w:r>
    </w:p>
    <w:p>
      <w:pPr>
        <w:ind w:firstLine="480"/>
        <w:rPr>
          <w:highlight w:val="none"/>
        </w:rPr>
      </w:pPr>
      <w:r>
        <w:rPr>
          <w:rFonts w:hint="eastAsia"/>
          <w:highlight w:val="none"/>
        </w:rPr>
        <w:t>从总氮浓度变化来看，合水桥断面2022年浓度最高，总氮浓度达0.74mg/L，比2016年增长0.74倍；连中桥断面2021年浓度最高，达0.86 mg/L，2022年降至0.49 mg/L，总体比2016年增长0.56倍；黄潭寺断面2022年浓度最高，达0.85 mg/L，比2016年增长1.15倍；大席水断面2021年和2022年浓度分别达0.69mg/L，和0.68 mg/L，总体比2016年增长1.08倍。</w:t>
      </w:r>
    </w:p>
    <w:p>
      <w:pPr>
        <w:ind w:firstLine="480"/>
        <w:rPr>
          <w:highlight w:val="none"/>
        </w:rPr>
      </w:pPr>
      <w:r>
        <w:rPr>
          <w:rFonts w:hint="eastAsia"/>
          <w:highlight w:val="none"/>
        </w:rPr>
        <w:t>总体来讲，合水桥、连中桥、黄潭寺和大席水断面水质能保持优良，但总磷和总氮指标浓度呈现上升趋势，与流域内畜禽养殖、农村面源、生活污染等有关。</w:t>
      </w:r>
    </w:p>
    <w:p>
      <w:pPr>
        <w:ind w:firstLine="0" w:firstLineChars="0"/>
        <w:rPr>
          <w:highlight w:val="none"/>
        </w:rPr>
      </w:pPr>
      <w:r>
        <w:rPr>
          <w:color w:val="000099"/>
          <w:highlight w:val="none"/>
        </w:rPr>
        <w:drawing>
          <wp:inline distT="0" distB="0" distL="0" distR="0">
            <wp:extent cx="5267325" cy="34671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ind w:firstLine="0" w:firstLineChars="0"/>
        <w:jc w:val="center"/>
        <w:rPr>
          <w:b/>
          <w:highlight w:val="none"/>
        </w:rPr>
      </w:pPr>
      <w:r>
        <w:rPr>
          <w:rFonts w:hint="eastAsia"/>
          <w:b/>
          <w:highlight w:val="none"/>
        </w:rPr>
        <w:t>图3.3-18 总磷年均浓度变化情况分析图</w:t>
      </w:r>
    </w:p>
    <w:p>
      <w:pPr>
        <w:ind w:firstLine="0" w:firstLineChars="0"/>
        <w:jc w:val="center"/>
        <w:rPr>
          <w:b/>
          <w:highlight w:val="none"/>
        </w:rPr>
      </w:pPr>
      <w:r>
        <w:rPr>
          <w:highlight w:val="none"/>
        </w:rPr>
        <w:drawing>
          <wp:inline distT="0" distB="0" distL="0" distR="0">
            <wp:extent cx="5271135" cy="3467100"/>
            <wp:effectExtent l="0" t="0" r="5715"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ind w:firstLine="0" w:firstLineChars="0"/>
        <w:jc w:val="center"/>
        <w:rPr>
          <w:b/>
          <w:highlight w:val="none"/>
        </w:rPr>
      </w:pPr>
      <w:r>
        <w:rPr>
          <w:rFonts w:hint="eastAsia"/>
          <w:b/>
          <w:highlight w:val="none"/>
        </w:rPr>
        <w:t>图3.3-19 总氮年均浓度变化情况分析图</w:t>
      </w:r>
    </w:p>
    <w:p>
      <w:pPr>
        <w:ind w:firstLine="482"/>
        <w:rPr>
          <w:b/>
          <w:highlight w:val="none"/>
        </w:rPr>
      </w:pPr>
      <w:r>
        <w:rPr>
          <w:rFonts w:hint="eastAsia"/>
          <w:b/>
          <w:highlight w:val="none"/>
        </w:rPr>
        <w:t>④饮用水源地监测点</w:t>
      </w:r>
    </w:p>
    <w:p>
      <w:pPr>
        <w:ind w:firstLine="480"/>
        <w:rPr>
          <w:highlight w:val="none"/>
        </w:rPr>
      </w:pPr>
      <w:r>
        <w:rPr>
          <w:highlight w:val="none"/>
        </w:rPr>
        <w:t>连平县</w:t>
      </w:r>
      <w:r>
        <w:rPr>
          <w:rFonts w:hint="eastAsia"/>
          <w:highlight w:val="none"/>
        </w:rPr>
        <w:t>集中式</w:t>
      </w:r>
      <w:r>
        <w:rPr>
          <w:highlight w:val="none"/>
        </w:rPr>
        <w:t>饮用水源地监测断面包括</w:t>
      </w:r>
      <w:r>
        <w:rPr>
          <w:rFonts w:hint="eastAsia"/>
          <w:highlight w:val="none"/>
        </w:rPr>
        <w:t>鹤湖水水库及密溪河。选取溶解氧、高锰酸盐指数、化学需氧量、五日生化需氧量、氨氮、总磷、总氮等主要指标进行变化趋势分析，结果显示2016~2022年期间鹤湖水水库、密溪河监测点大部分</w:t>
      </w:r>
      <w:r>
        <w:rPr>
          <w:highlight w:val="none"/>
        </w:rPr>
        <w:t>主要指标均呈现</w:t>
      </w:r>
      <w:r>
        <w:rPr>
          <w:rFonts w:hint="eastAsia"/>
          <w:highlight w:val="none"/>
        </w:rPr>
        <w:t>平稳或下降趋势，且浓度低于Ⅱ类水质标准；鹤湖水水库、密溪河氮浓度呈现上升趋势（详见图3.3-20），其中2019年和2021年氨氮和总氮浓度相对较高，鹤湖水水库2021年氨氮和总氮浓度分别为0.129mg/L和0.36mg/L，2022年降至0.076 mg/L和0.29mg/L，总体比2016年增长0.34倍和0.56倍；密溪河2021年氨氮和总氮浓度分别为0.187mg/L和0.57mg/L，2022年降至0.076 mg/L和0.41mg/L，总氮总体比2016年增长0.24倍。总体来讲，连平县县级饮用水源地水质达标率能保持100%，但饮用水源地氮浓度呈现上升趋势，与流域内畜禽养殖、农村面源、生活污染等有关。</w:t>
      </w:r>
    </w:p>
    <w:p>
      <w:pPr>
        <w:ind w:firstLine="0" w:firstLineChars="0"/>
        <w:rPr>
          <w:highlight w:val="none"/>
        </w:rPr>
      </w:pPr>
      <w:r>
        <w:rPr>
          <w:highlight w:val="none"/>
        </w:rPr>
        <w:drawing>
          <wp:inline distT="0" distB="0" distL="0" distR="0">
            <wp:extent cx="5267325" cy="361950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ind w:firstLine="0" w:firstLineChars="0"/>
        <w:jc w:val="center"/>
        <w:rPr>
          <w:b/>
          <w:highlight w:val="none"/>
        </w:rPr>
      </w:pPr>
      <w:r>
        <w:rPr>
          <w:rFonts w:hint="eastAsia"/>
          <w:b/>
          <w:highlight w:val="none"/>
        </w:rPr>
        <w:t>图3.3-20 县级集中式饮用水源地氮浓度变化情况分析图</w:t>
      </w:r>
    </w:p>
    <w:p>
      <w:pPr>
        <w:ind w:firstLine="482"/>
        <w:rPr>
          <w:b/>
          <w:highlight w:val="none"/>
        </w:rPr>
      </w:pPr>
      <w:r>
        <w:rPr>
          <w:rFonts w:hint="eastAsia"/>
          <w:b/>
          <w:highlight w:val="none"/>
        </w:rPr>
        <w:t>⑤镇水环境综合整治考核断面</w:t>
      </w:r>
    </w:p>
    <w:p>
      <w:pPr>
        <w:ind w:firstLine="480"/>
        <w:rPr>
          <w:highlight w:val="none"/>
        </w:rPr>
      </w:pPr>
      <w:r>
        <w:rPr>
          <w:rFonts w:hint="eastAsia"/>
          <w:highlight w:val="none"/>
        </w:rPr>
        <w:t>2022年连平县22个镇水环境综合整治考核断面中15个断面水质类别达到Ⅱ类，4个断面水质类别为Ⅲ类，工业园管委会（工业园污水处理厂排污口下游200米）和小水河（连平五禾与东源交界）断面为Ⅳ类，大湖镇的大寨水（连平与东源交界）断面为劣Ⅴ类，22个镇水环境综合整治考核断面中7个断面超标，超标率为31.82%，污染因子主要为总磷、氨氮和化学需氧量。其中，大湖镇的大寨水（连平与东源交界）断面氨氮超标1.59倍，总磷超标3.70倍，化学需氧量超标1.56倍，高锰酸盐指数超标0.40倍；工业园管委会（工业园污水处理厂排污口下游200米）断面氨氮超标0.54倍，化学需氧量超标0.45倍；其他监测断面总磷超标，超标倍数为0.20~0.39。</w:t>
      </w:r>
    </w:p>
    <w:p>
      <w:pPr>
        <w:ind w:firstLine="0" w:firstLineChars="0"/>
        <w:jc w:val="center"/>
        <w:rPr>
          <w:b/>
          <w:highlight w:val="none"/>
        </w:rPr>
      </w:pPr>
      <w:r>
        <w:rPr>
          <w:b/>
          <w:highlight w:val="none"/>
        </w:rPr>
        <w:t>表3.</w:t>
      </w:r>
      <w:r>
        <w:rPr>
          <w:rFonts w:hint="eastAsia"/>
          <w:b/>
          <w:highlight w:val="none"/>
        </w:rPr>
        <w:t>3</w:t>
      </w:r>
      <w:r>
        <w:rPr>
          <w:b/>
          <w:highlight w:val="none"/>
        </w:rPr>
        <w:t>-</w:t>
      </w:r>
      <w:r>
        <w:rPr>
          <w:rFonts w:hint="eastAsia"/>
          <w:b/>
          <w:highlight w:val="none"/>
        </w:rPr>
        <w:t>8</w:t>
      </w:r>
      <w:r>
        <w:rPr>
          <w:b/>
          <w:highlight w:val="none"/>
        </w:rPr>
        <w:t xml:space="preserve"> </w:t>
      </w:r>
      <w:r>
        <w:rPr>
          <w:rFonts w:hint="eastAsia"/>
          <w:b/>
          <w:highlight w:val="none"/>
        </w:rPr>
        <w:t>2022年22个镇水环境综合整治考核断面超标</w:t>
      </w:r>
      <w:r>
        <w:rPr>
          <w:b/>
          <w:highlight w:val="none"/>
        </w:rPr>
        <w:t>情况分析表</w:t>
      </w:r>
    </w:p>
    <w:tbl>
      <w:tblPr>
        <w:tblStyle w:val="33"/>
        <w:tblW w:w="9427" w:type="dxa"/>
        <w:jc w:val="center"/>
        <w:tblLayout w:type="autofit"/>
        <w:tblCellMar>
          <w:top w:w="0" w:type="dxa"/>
          <w:left w:w="108" w:type="dxa"/>
          <w:bottom w:w="0" w:type="dxa"/>
          <w:right w:w="108" w:type="dxa"/>
        </w:tblCellMar>
      </w:tblPr>
      <w:tblGrid>
        <w:gridCol w:w="690"/>
        <w:gridCol w:w="4240"/>
        <w:gridCol w:w="1284"/>
        <w:gridCol w:w="1059"/>
        <w:gridCol w:w="2154"/>
      </w:tblGrid>
      <w:tr>
        <w:tblPrEx>
          <w:tblCellMar>
            <w:top w:w="0" w:type="dxa"/>
            <w:left w:w="108" w:type="dxa"/>
            <w:bottom w:w="0" w:type="dxa"/>
            <w:right w:w="108" w:type="dxa"/>
          </w:tblCellMar>
        </w:tblPrEx>
        <w:trPr>
          <w:trHeight w:val="352"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序号</w:t>
            </w:r>
          </w:p>
        </w:tc>
        <w:tc>
          <w:tcPr>
            <w:tcW w:w="424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断面名称</w:t>
            </w:r>
          </w:p>
        </w:tc>
        <w:tc>
          <w:tcPr>
            <w:tcW w:w="12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水质目标</w:t>
            </w:r>
          </w:p>
        </w:tc>
        <w:tc>
          <w:tcPr>
            <w:tcW w:w="105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水质</w:t>
            </w:r>
          </w:p>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类别</w:t>
            </w:r>
          </w:p>
        </w:tc>
        <w:tc>
          <w:tcPr>
            <w:tcW w:w="2154"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超标因子与</w:t>
            </w:r>
          </w:p>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超标倍数</w:t>
            </w:r>
          </w:p>
        </w:tc>
      </w:tr>
      <w:tr>
        <w:tblPrEx>
          <w:tblCellMar>
            <w:top w:w="0" w:type="dxa"/>
            <w:left w:w="108" w:type="dxa"/>
            <w:bottom w:w="0" w:type="dxa"/>
            <w:right w:w="108" w:type="dxa"/>
          </w:tblCellMar>
        </w:tblPrEx>
        <w:trPr>
          <w:trHeight w:val="352" w:hRule="atLeast"/>
          <w:jc w:val="center"/>
        </w:trPr>
        <w:tc>
          <w:tcPr>
            <w:tcW w:w="69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w:t>
            </w:r>
          </w:p>
        </w:tc>
        <w:tc>
          <w:tcPr>
            <w:tcW w:w="42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元善镇（江面村与溪山镇茶山村河界交界）</w:t>
            </w:r>
          </w:p>
        </w:tc>
        <w:tc>
          <w:tcPr>
            <w:tcW w:w="12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2154" w:type="dxa"/>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总磷</w:t>
            </w:r>
            <w:r>
              <w:rPr>
                <w:rFonts w:hint="eastAsia"/>
                <w:color w:val="000000"/>
                <w:kern w:val="0"/>
                <w:sz w:val="21"/>
                <w:szCs w:val="21"/>
                <w:highlight w:val="none"/>
              </w:rPr>
              <w:t>0.35</w:t>
            </w:r>
          </w:p>
        </w:tc>
      </w:tr>
      <w:tr>
        <w:tblPrEx>
          <w:tblCellMar>
            <w:top w:w="0" w:type="dxa"/>
            <w:left w:w="108" w:type="dxa"/>
            <w:bottom w:w="0" w:type="dxa"/>
            <w:right w:w="108" w:type="dxa"/>
          </w:tblCellMar>
        </w:tblPrEx>
        <w:trPr>
          <w:trHeight w:val="352" w:hRule="atLeast"/>
          <w:jc w:val="center"/>
        </w:trPr>
        <w:tc>
          <w:tcPr>
            <w:tcW w:w="69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2</w:t>
            </w:r>
          </w:p>
        </w:tc>
        <w:tc>
          <w:tcPr>
            <w:tcW w:w="42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溪山镇（东罗村与隆街镇三坑村河界交界）</w:t>
            </w:r>
          </w:p>
        </w:tc>
        <w:tc>
          <w:tcPr>
            <w:tcW w:w="12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2154" w:type="dxa"/>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总磷</w:t>
            </w:r>
            <w:r>
              <w:rPr>
                <w:rFonts w:hint="eastAsia"/>
                <w:color w:val="000000"/>
                <w:kern w:val="0"/>
                <w:sz w:val="21"/>
                <w:szCs w:val="21"/>
                <w:highlight w:val="none"/>
              </w:rPr>
              <w:t>0.38</w:t>
            </w:r>
          </w:p>
        </w:tc>
      </w:tr>
      <w:tr>
        <w:tblPrEx>
          <w:tblCellMar>
            <w:top w:w="0" w:type="dxa"/>
            <w:left w:w="108" w:type="dxa"/>
            <w:bottom w:w="0" w:type="dxa"/>
            <w:right w:w="108" w:type="dxa"/>
          </w:tblCellMar>
        </w:tblPrEx>
        <w:trPr>
          <w:trHeight w:val="352" w:hRule="atLeast"/>
          <w:jc w:val="center"/>
        </w:trPr>
        <w:tc>
          <w:tcPr>
            <w:tcW w:w="69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3</w:t>
            </w:r>
          </w:p>
        </w:tc>
        <w:tc>
          <w:tcPr>
            <w:tcW w:w="42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忠信镇(新下村合水桥老桥)</w:t>
            </w:r>
          </w:p>
        </w:tc>
        <w:tc>
          <w:tcPr>
            <w:tcW w:w="12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2154" w:type="dxa"/>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总磷</w:t>
            </w:r>
            <w:r>
              <w:rPr>
                <w:rFonts w:hint="eastAsia"/>
                <w:color w:val="000000"/>
                <w:kern w:val="0"/>
                <w:sz w:val="21"/>
                <w:szCs w:val="21"/>
                <w:highlight w:val="none"/>
              </w:rPr>
              <w:t>0.20</w:t>
            </w:r>
          </w:p>
        </w:tc>
      </w:tr>
      <w:tr>
        <w:tblPrEx>
          <w:tblCellMar>
            <w:top w:w="0" w:type="dxa"/>
            <w:left w:w="108" w:type="dxa"/>
            <w:bottom w:w="0" w:type="dxa"/>
            <w:right w:w="108" w:type="dxa"/>
          </w:tblCellMar>
        </w:tblPrEx>
        <w:trPr>
          <w:trHeight w:val="352" w:hRule="atLeast"/>
          <w:jc w:val="center"/>
        </w:trPr>
        <w:tc>
          <w:tcPr>
            <w:tcW w:w="69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4</w:t>
            </w:r>
          </w:p>
        </w:tc>
        <w:tc>
          <w:tcPr>
            <w:tcW w:w="42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三角镇(新村村鳌岭三个垇)</w:t>
            </w:r>
          </w:p>
        </w:tc>
        <w:tc>
          <w:tcPr>
            <w:tcW w:w="12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Ⅱ类</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FF0000"/>
                <w:kern w:val="0"/>
                <w:sz w:val="21"/>
                <w:szCs w:val="21"/>
                <w:highlight w:val="none"/>
              </w:rPr>
            </w:pPr>
            <w:r>
              <w:rPr>
                <w:color w:val="000000"/>
                <w:kern w:val="0"/>
                <w:sz w:val="21"/>
                <w:szCs w:val="21"/>
                <w:highlight w:val="none"/>
              </w:rPr>
              <w:t>Ⅲ类</w:t>
            </w:r>
          </w:p>
        </w:tc>
        <w:tc>
          <w:tcPr>
            <w:tcW w:w="2154" w:type="dxa"/>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总磷</w:t>
            </w:r>
            <w:r>
              <w:rPr>
                <w:rFonts w:hint="eastAsia"/>
                <w:color w:val="000000"/>
                <w:kern w:val="0"/>
                <w:sz w:val="21"/>
                <w:szCs w:val="21"/>
                <w:highlight w:val="none"/>
              </w:rPr>
              <w:t>0.20</w:t>
            </w:r>
          </w:p>
        </w:tc>
      </w:tr>
      <w:tr>
        <w:tblPrEx>
          <w:tblCellMar>
            <w:top w:w="0" w:type="dxa"/>
            <w:left w:w="108" w:type="dxa"/>
            <w:bottom w:w="0" w:type="dxa"/>
            <w:right w:w="108" w:type="dxa"/>
          </w:tblCellMar>
        </w:tblPrEx>
        <w:trPr>
          <w:trHeight w:val="775" w:hRule="atLeast"/>
          <w:jc w:val="center"/>
        </w:trPr>
        <w:tc>
          <w:tcPr>
            <w:tcW w:w="69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5</w:t>
            </w:r>
          </w:p>
        </w:tc>
        <w:tc>
          <w:tcPr>
            <w:tcW w:w="42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工业园管委会(工业园污水处理厂排污口下游200米)</w:t>
            </w:r>
          </w:p>
        </w:tc>
        <w:tc>
          <w:tcPr>
            <w:tcW w:w="12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Ⅳ类</w:t>
            </w:r>
          </w:p>
        </w:tc>
        <w:tc>
          <w:tcPr>
            <w:tcW w:w="2154" w:type="dxa"/>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氨氮</w:t>
            </w:r>
            <w:r>
              <w:rPr>
                <w:rFonts w:hint="eastAsia"/>
                <w:color w:val="000000"/>
                <w:kern w:val="0"/>
                <w:sz w:val="21"/>
                <w:szCs w:val="21"/>
                <w:highlight w:val="none"/>
              </w:rPr>
              <w:t>0.54，化学需氧量0.45</w:t>
            </w:r>
          </w:p>
        </w:tc>
      </w:tr>
      <w:tr>
        <w:tblPrEx>
          <w:tblCellMar>
            <w:top w:w="0" w:type="dxa"/>
            <w:left w:w="108" w:type="dxa"/>
            <w:bottom w:w="0" w:type="dxa"/>
            <w:right w:w="108" w:type="dxa"/>
          </w:tblCellMar>
        </w:tblPrEx>
        <w:trPr>
          <w:trHeight w:val="1122" w:hRule="atLeast"/>
          <w:jc w:val="center"/>
        </w:trPr>
        <w:tc>
          <w:tcPr>
            <w:tcW w:w="69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6</w:t>
            </w:r>
          </w:p>
        </w:tc>
        <w:tc>
          <w:tcPr>
            <w:tcW w:w="42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大湖镇(大寨水(连平与东源交界))</w:t>
            </w:r>
          </w:p>
        </w:tc>
        <w:tc>
          <w:tcPr>
            <w:tcW w:w="12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劣Ⅴ类</w:t>
            </w:r>
          </w:p>
        </w:tc>
        <w:tc>
          <w:tcPr>
            <w:tcW w:w="2154" w:type="dxa"/>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氨氮</w:t>
            </w:r>
            <w:r>
              <w:rPr>
                <w:rFonts w:hint="eastAsia"/>
                <w:color w:val="000000"/>
                <w:kern w:val="0"/>
                <w:sz w:val="21"/>
                <w:szCs w:val="21"/>
                <w:highlight w:val="none"/>
              </w:rPr>
              <w:t>1.59，总磷3.70，化学需氧量1.56，高锰酸盐指数0.40</w:t>
            </w:r>
          </w:p>
        </w:tc>
      </w:tr>
      <w:tr>
        <w:tblPrEx>
          <w:tblCellMar>
            <w:top w:w="0" w:type="dxa"/>
            <w:left w:w="108" w:type="dxa"/>
            <w:bottom w:w="0" w:type="dxa"/>
            <w:right w:w="108" w:type="dxa"/>
          </w:tblCellMar>
        </w:tblPrEx>
        <w:trPr>
          <w:trHeight w:val="466" w:hRule="atLeast"/>
          <w:jc w:val="center"/>
        </w:trPr>
        <w:tc>
          <w:tcPr>
            <w:tcW w:w="69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7</w:t>
            </w:r>
          </w:p>
        </w:tc>
        <w:tc>
          <w:tcPr>
            <w:tcW w:w="42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大湖镇(小水河(连平五禾与东源交界))</w:t>
            </w:r>
          </w:p>
        </w:tc>
        <w:tc>
          <w:tcPr>
            <w:tcW w:w="12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Ⅲ类</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Ⅳ类</w:t>
            </w:r>
          </w:p>
        </w:tc>
        <w:tc>
          <w:tcPr>
            <w:tcW w:w="2154" w:type="dxa"/>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总磷</w:t>
            </w:r>
            <w:r>
              <w:rPr>
                <w:rFonts w:hint="eastAsia"/>
                <w:color w:val="000000"/>
                <w:kern w:val="0"/>
                <w:sz w:val="21"/>
                <w:szCs w:val="21"/>
                <w:highlight w:val="none"/>
              </w:rPr>
              <w:t>0.39</w:t>
            </w:r>
          </w:p>
        </w:tc>
      </w:tr>
    </w:tbl>
    <w:p>
      <w:pPr>
        <w:ind w:firstLine="482"/>
        <w:rPr>
          <w:b/>
          <w:highlight w:val="none"/>
        </w:rPr>
      </w:pPr>
      <w:r>
        <w:rPr>
          <w:rFonts w:hint="eastAsia"/>
          <w:b/>
          <w:highlight w:val="none"/>
        </w:rPr>
        <w:t>（3）</w:t>
      </w:r>
      <w:r>
        <w:rPr>
          <w:b/>
          <w:highlight w:val="none"/>
        </w:rPr>
        <w:t>入河排污口</w:t>
      </w:r>
    </w:p>
    <w:p>
      <w:pPr>
        <w:ind w:firstLine="480"/>
        <w:rPr>
          <w:highlight w:val="none"/>
        </w:rPr>
      </w:pPr>
      <w:r>
        <w:rPr>
          <w:rFonts w:hint="eastAsia"/>
          <w:highlight w:val="none"/>
        </w:rPr>
        <w:t>根据党中央、国务院深入打好污染防治攻坚战的决策部署，以及广东省、河源市入河排污口排查整治专项行动工作方案，全面实施入河排污口排查。排查范围包括陂头河、贵东河、大湖河、连平河、大席河、忠信河、五禾水、新丰江等8条河流及其支流以及赤竹径水库水库。根据初步排查结果，入河（库）排污口共计985个，其中以忠信河、连平河、大席河、大湖河为主，入河排污口分别为355个、286个、186个和95个，占总入河排污口的36.04%、29.04%、18.88%和9.64%。</w:t>
      </w:r>
    </w:p>
    <w:p>
      <w:pPr>
        <w:ind w:left="-240" w:leftChars="-100" w:firstLine="0" w:firstLineChars="0"/>
        <w:rPr>
          <w:color w:val="FF0000"/>
          <w:highlight w:val="none"/>
        </w:rPr>
      </w:pPr>
      <w:r>
        <w:rPr>
          <w:highlight w:val="none"/>
        </w:rPr>
        <w:drawing>
          <wp:inline distT="0" distB="0" distL="0" distR="0">
            <wp:extent cx="5648325" cy="3257550"/>
            <wp:effectExtent l="0" t="0" r="9525" b="1905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ind w:firstLine="0" w:firstLineChars="0"/>
        <w:jc w:val="center"/>
        <w:rPr>
          <w:b/>
          <w:highlight w:val="none"/>
        </w:rPr>
      </w:pPr>
      <w:r>
        <w:rPr>
          <w:rFonts w:hint="eastAsia"/>
          <w:b/>
          <w:highlight w:val="none"/>
        </w:rPr>
        <w:t>图3.3-21 连平县入河排污口分布统计图</w:t>
      </w:r>
    </w:p>
    <w:p>
      <w:pPr>
        <w:ind w:firstLine="480"/>
        <w:rPr>
          <w:highlight w:val="none"/>
        </w:rPr>
      </w:pPr>
      <w:r>
        <w:rPr>
          <w:rFonts w:hint="eastAsia"/>
          <w:highlight w:val="none"/>
        </w:rPr>
        <w:t>从主要河流流域入河排污口分布来看，忠信河流域入河排污口主要分布在忠信河干流，其次为高陂水，入河排污口数量分别为283个和65个，占忠信河流域总数的79.82%和18.31%；连平河流域入河排污口主要分布在连平河干流，其次为密溪河和崧头河，入河排污口数量分别为115个、104个和58个，占连平河流域总数的40.21%、36.36%和20.28%；大席河流域入河排污口主要分布在大席河干流，其次为小水河，入河排污口数量分别为130个和54个，占忠信河流域总数的69.89%和29.03%；大湖河流域入河排污口主要分布在大湖河干流，其次为小溪尾水，入河排污口数量分别为69个和23个，占大湖河流域总数的72.63%和24.21%。</w:t>
      </w:r>
    </w:p>
    <w:p>
      <w:pPr>
        <w:ind w:left="-480" w:leftChars="-200" w:right="-480" w:rightChars="-200" w:firstLine="0" w:firstLineChars="0"/>
        <w:jc w:val="center"/>
        <w:rPr>
          <w:color w:val="FF0000"/>
          <w:highlight w:val="none"/>
        </w:rPr>
      </w:pPr>
      <w:r>
        <w:rPr>
          <w:highlight w:val="none"/>
        </w:rPr>
        <w:drawing>
          <wp:inline distT="0" distB="0" distL="0" distR="0">
            <wp:extent cx="2886075" cy="2743200"/>
            <wp:effectExtent l="0" t="0" r="9525" b="1905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highlight w:val="none"/>
        </w:rPr>
        <w:drawing>
          <wp:inline distT="0" distB="0" distL="0" distR="0">
            <wp:extent cx="2915920" cy="2743200"/>
            <wp:effectExtent l="0" t="0" r="17780" b="1905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ind w:left="-480" w:leftChars="-200" w:right="-480" w:rightChars="-200" w:firstLine="0" w:firstLineChars="0"/>
        <w:jc w:val="center"/>
        <w:rPr>
          <w:color w:val="FF0000"/>
          <w:highlight w:val="none"/>
        </w:rPr>
      </w:pPr>
      <w:r>
        <w:rPr>
          <w:highlight w:val="none"/>
        </w:rPr>
        <w:drawing>
          <wp:inline distT="0" distB="0" distL="0" distR="0">
            <wp:extent cx="2914650" cy="2743200"/>
            <wp:effectExtent l="0" t="0" r="19050" b="1905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highlight w:val="none"/>
        </w:rPr>
        <w:drawing>
          <wp:inline distT="0" distB="0" distL="0" distR="0">
            <wp:extent cx="2914650" cy="2743200"/>
            <wp:effectExtent l="0" t="0" r="19050" b="190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ind w:firstLine="0" w:firstLineChars="0"/>
        <w:jc w:val="center"/>
        <w:rPr>
          <w:b/>
          <w:highlight w:val="none"/>
        </w:rPr>
      </w:pPr>
      <w:r>
        <w:rPr>
          <w:rFonts w:hint="eastAsia"/>
          <w:b/>
          <w:highlight w:val="none"/>
        </w:rPr>
        <w:t>图3.3-22 主要河流流域入河排污口分布统计图</w:t>
      </w:r>
    </w:p>
    <w:p>
      <w:pPr>
        <w:ind w:firstLine="480"/>
        <w:rPr>
          <w:highlight w:val="none"/>
        </w:rPr>
      </w:pPr>
      <w:r>
        <w:rPr>
          <w:rFonts w:hint="eastAsia"/>
          <w:highlight w:val="none"/>
        </w:rPr>
        <w:t>根据调查结果，连平县共有11个入河排污口位于整合优化后的自然保护区内，25个入河排污口位于饮用水源保护区内。另外，连平河、大席河、忠信河、大湖河及其主要支流崧头水、高陂水、密溪河等环境功能区划目标为Ⅱ类以上水质的水域范围内存在数量较多的入河排污口，连平县入河排污口有待分类整治。</w:t>
      </w:r>
    </w:p>
    <w:p>
      <w:pPr>
        <w:ind w:firstLine="482"/>
        <w:rPr>
          <w:b/>
          <w:color w:val="FF0000"/>
          <w:highlight w:val="none"/>
        </w:rPr>
        <w:sectPr>
          <w:pgSz w:w="11907" w:h="16840"/>
          <w:pgMar w:top="1440" w:right="1803" w:bottom="1440" w:left="1803" w:header="851" w:footer="992" w:gutter="0"/>
          <w:cols w:space="0" w:num="1"/>
          <w:docGrid w:type="lines" w:linePitch="326" w:charSpace="0"/>
        </w:sectPr>
      </w:pPr>
    </w:p>
    <w:p>
      <w:pPr>
        <w:pStyle w:val="90"/>
        <w:numPr>
          <w:ilvl w:val="3"/>
          <w:numId w:val="1"/>
        </w:numPr>
        <w:spacing w:before="0" w:beforeLines="0" w:after="0" w:afterLines="0"/>
        <w:ind w:left="0" w:firstLine="0"/>
        <w:rPr>
          <w:rFonts w:eastAsia="宋体"/>
          <w:highlight w:val="none"/>
        </w:rPr>
      </w:pPr>
      <w:r>
        <w:rPr>
          <w:rFonts w:hint="eastAsia" w:eastAsia="宋体"/>
          <w:highlight w:val="none"/>
        </w:rPr>
        <w:t>水生态</w:t>
      </w:r>
    </w:p>
    <w:p>
      <w:pPr>
        <w:ind w:firstLine="482"/>
        <w:rPr>
          <w:b/>
          <w:highlight w:val="none"/>
        </w:rPr>
      </w:pPr>
      <w:r>
        <w:rPr>
          <w:rFonts w:hint="eastAsia"/>
          <w:b/>
          <w:highlight w:val="none"/>
        </w:rPr>
        <w:t>1. 岸线与滩涂湿地</w:t>
      </w:r>
    </w:p>
    <w:p>
      <w:pPr>
        <w:ind w:firstLine="480"/>
        <w:rPr>
          <w:highlight w:val="none"/>
        </w:rPr>
      </w:pPr>
      <w:r>
        <w:rPr>
          <w:rFonts w:hint="eastAsia"/>
          <w:highlight w:val="none"/>
        </w:rPr>
        <w:t>连平县境内河流分属东江、北江两大水系。东江水系河流有连平河、大席河、忠信河和大湖河，流域面积1965.5</w:t>
      </w:r>
      <w:r>
        <w:rPr>
          <w:rFonts w:hint="eastAsia"/>
          <w:highlight w:val="none"/>
          <w:lang w:val="en-US" w:eastAsia="zh-CN"/>
        </w:rPr>
        <w:t>平方千米</w:t>
      </w:r>
      <w:r>
        <w:rPr>
          <w:rFonts w:hint="eastAsia"/>
          <w:highlight w:val="none"/>
        </w:rPr>
        <w:t>，占全县土地总面积的83.11%。大小支流57条，其中集雨面积10</w:t>
      </w:r>
      <w:r>
        <w:rPr>
          <w:rFonts w:hint="eastAsia"/>
          <w:highlight w:val="none"/>
          <w:lang w:val="en-US" w:eastAsia="zh-CN"/>
        </w:rPr>
        <w:t>平方千米</w:t>
      </w:r>
      <w:r>
        <w:rPr>
          <w:rFonts w:hint="eastAsia"/>
          <w:highlight w:val="none"/>
        </w:rPr>
        <w:t>以上支流42条。北江水系主要河流有陂头河和贵东河，流域面积313.4</w:t>
      </w:r>
      <w:r>
        <w:rPr>
          <w:rFonts w:hint="eastAsia"/>
          <w:highlight w:val="none"/>
          <w:lang w:val="en-US" w:eastAsia="zh-CN"/>
        </w:rPr>
        <w:t>平方千米</w:t>
      </w:r>
      <w:r>
        <w:rPr>
          <w:rFonts w:hint="eastAsia"/>
          <w:highlight w:val="none"/>
        </w:rPr>
        <w:t>，占全县土地面积的13.25%。大小支流11条，其中集雨面积10</w:t>
      </w:r>
      <w:r>
        <w:rPr>
          <w:rFonts w:hint="eastAsia"/>
          <w:highlight w:val="none"/>
          <w:lang w:val="en-US" w:eastAsia="zh-CN"/>
        </w:rPr>
        <w:t>平方千米</w:t>
      </w:r>
      <w:r>
        <w:rPr>
          <w:rFonts w:hint="eastAsia"/>
          <w:highlight w:val="none"/>
        </w:rPr>
        <w:t>以上支流7条。连平县境内注册登记水库总计90宗，其中中型水库有1宗，为瓮潭水库，小（一）型水库15宗，总库容1.16亿立方米。瓮潭水库位于东江水系大湖镇大湖河上游，集雨面积为60</w:t>
      </w:r>
      <w:r>
        <w:rPr>
          <w:rFonts w:hint="eastAsia"/>
          <w:highlight w:val="none"/>
          <w:lang w:val="en-US" w:eastAsia="zh-CN"/>
        </w:rPr>
        <w:t>平方千米</w:t>
      </w:r>
      <w:r>
        <w:rPr>
          <w:rFonts w:hint="eastAsia"/>
          <w:highlight w:val="none"/>
        </w:rPr>
        <w:t>，最大库容为3200万</w:t>
      </w:r>
      <w:r>
        <w:rPr>
          <w:rFonts w:hint="eastAsia"/>
          <w:highlight w:val="none"/>
          <w:lang w:val="en-US" w:eastAsia="zh-CN"/>
        </w:rPr>
        <w:t>立方米</w:t>
      </w:r>
      <w:r>
        <w:rPr>
          <w:rFonts w:hint="eastAsia"/>
          <w:highlight w:val="none"/>
        </w:rPr>
        <w:t>。连平县已划定湿地公园共1个，为地方级湿地公园，面积134.04公顷。</w:t>
      </w:r>
    </w:p>
    <w:p>
      <w:pPr>
        <w:ind w:firstLine="480"/>
        <w:rPr>
          <w:highlight w:val="none"/>
        </w:rPr>
      </w:pPr>
      <w:r>
        <w:rPr>
          <w:rFonts w:hint="eastAsia"/>
          <w:highlight w:val="none"/>
        </w:rPr>
        <w:t>根据连平县第三次全国国土调查主要数据，连平县湿地面积75.24公顷，主要分布在油溪镇、元善镇、内莞镇、忠信镇和上坪镇，湿地面积分别为14.52公顷、14.51公顷、10.60公顷、8.71公顷和8.02公顷，分别占全县湿地面积的19.30%、19.28%、14.09%、11.58%和10.66%。</w:t>
      </w:r>
    </w:p>
    <w:p>
      <w:pPr>
        <w:ind w:firstLine="0" w:firstLineChars="0"/>
        <w:jc w:val="center"/>
        <w:rPr>
          <w:highlight w:val="none"/>
        </w:rPr>
      </w:pPr>
      <w:r>
        <w:rPr>
          <w:highlight w:val="none"/>
        </w:rPr>
        <w:drawing>
          <wp:inline distT="0" distB="0" distL="0" distR="0">
            <wp:extent cx="4572000" cy="2743200"/>
            <wp:effectExtent l="0" t="0" r="19050" b="1905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ind w:firstLine="0" w:firstLineChars="0"/>
        <w:jc w:val="center"/>
        <w:rPr>
          <w:b/>
          <w:highlight w:val="none"/>
        </w:rPr>
      </w:pPr>
      <w:r>
        <w:rPr>
          <w:rFonts w:hint="eastAsia"/>
          <w:b/>
          <w:highlight w:val="none"/>
        </w:rPr>
        <w:t>图3.3-25 连平县湿地面积统计图</w:t>
      </w:r>
    </w:p>
    <w:p>
      <w:pPr>
        <w:ind w:firstLine="482"/>
        <w:rPr>
          <w:b/>
          <w:highlight w:val="none"/>
        </w:rPr>
        <w:sectPr>
          <w:pgSz w:w="11907" w:h="16840"/>
          <w:pgMar w:top="1440" w:right="1803" w:bottom="1440" w:left="1803" w:header="851" w:footer="992" w:gutter="0"/>
          <w:cols w:space="0" w:num="1"/>
          <w:docGrid w:type="lines" w:linePitch="326" w:charSpace="0"/>
        </w:sectPr>
      </w:pPr>
    </w:p>
    <w:p>
      <w:pPr>
        <w:ind w:firstLine="480"/>
        <w:rPr>
          <w:highlight w:val="none"/>
        </w:rPr>
      </w:pPr>
      <w:r>
        <w:rPr>
          <w:rFonts w:hint="eastAsia"/>
          <w:highlight w:val="none"/>
        </w:rPr>
        <w:t>连平县所有河流湖泊均没有设置河道管理范围、河道蓝线，根据《广东省河源市连平县江河流域综合规划修编报告》（2020年7月），连平县规划河湖管理范围划界立桩，涉及连平河、大席河、贵东河、塘田水、忠信河、大湖河、陂头河、高陂水、密溪河、崧头河、五禾水、金花洞水、小水河等68条河流，河岸线合计733.21km。河湖管理和保护范围划定后，由县级以上人民政府按管理权限予以公告，选定界址，设置界桩。划界确权，明确河湖库的管理边界和管理责任。近年来，由于沿河两岸的开发和人口增长及历史等因素，河湖管理范围内乱占、乱采、乱堆、乱建等“四乱”问题难以根除，另外，由于上游水土流失，携带大量泥沙，造成部分地区出现不同程度的河床淤积、河床下切、河岸企陡等问题，大湖河、忠信河、高陂水、大席河、连平河、崧头河、陂头河、贵东河、船洞河等小流域综合治理工作有待推进。</w:t>
      </w:r>
    </w:p>
    <w:p>
      <w:pPr>
        <w:ind w:firstLine="482"/>
        <w:rPr>
          <w:b/>
          <w:highlight w:val="none"/>
        </w:rPr>
      </w:pPr>
      <w:r>
        <w:rPr>
          <w:rFonts w:hint="eastAsia"/>
          <w:b/>
          <w:highlight w:val="none"/>
        </w:rPr>
        <w:t>2. 生态流量</w:t>
      </w:r>
    </w:p>
    <w:p>
      <w:pPr>
        <w:ind w:firstLine="480"/>
        <w:rPr>
          <w:highlight w:val="none"/>
        </w:rPr>
      </w:pPr>
      <w:r>
        <w:rPr>
          <w:rFonts w:hint="eastAsia"/>
          <w:highlight w:val="none"/>
        </w:rPr>
        <w:t>连平县主干河流生态需水保障主要通过各流域主要水库联合优化调度实现，按照以“防洪、供水为主，兼顾发电等综合效益”的原则，充分发挥水库蓄丰补枯性能，实施各流域主干联合优化调度，控制水库出库流量来满足流域下游生产、生活用水需要的同时保障河道生态用水需求。连平县河涌整治处于起步阶段，截污系统尚不完善，部分河涌河床淤积，水动力不足，单纯依靠河涌自然汇水难以满足河涌景观、生态用水要求。</w:t>
      </w:r>
    </w:p>
    <w:p>
      <w:pPr>
        <w:ind w:firstLine="480"/>
        <w:rPr>
          <w:highlight w:val="none"/>
        </w:rPr>
      </w:pPr>
      <w:r>
        <w:rPr>
          <w:rFonts w:hint="eastAsia"/>
          <w:highlight w:val="none"/>
        </w:rPr>
        <w:t>小水电是连平县山区经济的支柱产业，开发利用水力资源对促进山区经济发展，加快山区脱贫致富和稳定水利管理队伍有着十分重要的意义。根据《连平县小水电生态流量“一站一策”整改方案》（2021年9月），连平县13个镇现有电站共243宗，其中油溪镇电站数量最多，为43宗，占全县的17.70%；其次为隆街镇、内莞镇、元善镇和陂头镇，分别为39宗、38宗、32宗和30宗，分别占全县的16.05%、15.64%、13.17%和12.35%。从生态流量保障设施建设情况来看，全县243宗电站中222宗列入整改类，其中68宗未建生态流量泄放设施，占整改类总数的30.63%；219宗未装设生态流量监测监控设施，占整改类总数的98.65%。沿河水电站多、蓄水量大，电站生态流量保障设施建设不足，导致部分河段水体流动性差，河道自净能力下降，水生态功能有所退化。</w:t>
      </w:r>
    </w:p>
    <w:p>
      <w:pPr>
        <w:ind w:left="-720" w:leftChars="-300" w:right="-480" w:rightChars="-200" w:firstLine="0" w:firstLineChars="0"/>
        <w:rPr>
          <w:highlight w:val="none"/>
        </w:rPr>
      </w:pPr>
      <w:r>
        <w:rPr>
          <w:highlight w:val="none"/>
        </w:rPr>
        <w:drawing>
          <wp:inline distT="0" distB="0" distL="0" distR="0">
            <wp:extent cx="6162675" cy="4067175"/>
            <wp:effectExtent l="0" t="0" r="9525" b="952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ind w:firstLine="0" w:firstLineChars="0"/>
        <w:jc w:val="center"/>
        <w:rPr>
          <w:b/>
          <w:highlight w:val="none"/>
        </w:rPr>
      </w:pPr>
      <w:r>
        <w:rPr>
          <w:rFonts w:hint="eastAsia"/>
          <w:b/>
          <w:highlight w:val="none"/>
        </w:rPr>
        <w:t>图3.3-27 连平县电站生态流量保障设施建设统计图</w:t>
      </w:r>
    </w:p>
    <w:p>
      <w:pPr>
        <w:pStyle w:val="90"/>
        <w:numPr>
          <w:ilvl w:val="3"/>
          <w:numId w:val="1"/>
        </w:numPr>
        <w:spacing w:before="0" w:beforeLines="0" w:after="0" w:afterLines="0"/>
        <w:ind w:left="0" w:firstLine="0"/>
        <w:rPr>
          <w:rFonts w:eastAsia="宋体"/>
          <w:highlight w:val="none"/>
        </w:rPr>
      </w:pPr>
      <w:r>
        <w:rPr>
          <w:rFonts w:hint="eastAsia" w:eastAsia="宋体"/>
          <w:highlight w:val="none"/>
        </w:rPr>
        <w:t>工作成效</w:t>
      </w:r>
    </w:p>
    <w:p>
      <w:pPr>
        <w:ind w:firstLine="480"/>
        <w:rPr>
          <w:highlight w:val="none"/>
        </w:rPr>
      </w:pPr>
      <w:r>
        <w:rPr>
          <w:rFonts w:hint="eastAsia"/>
          <w:highlight w:val="none"/>
        </w:rPr>
        <w:t>水资源开发利用与保护。严格落实用水总量控制管理、用水效率管理和水资源保护管理工作，完成市级水资源考核工作；推进节水型机关和节水型社会创建工作，完成《连平县公共机构节水型示范单位建设项目》设计和水务局机关节水设施改造并通过市局考核。</w:t>
      </w:r>
    </w:p>
    <w:p>
      <w:pPr>
        <w:ind w:firstLine="480"/>
        <w:rPr>
          <w:highlight w:val="none"/>
        </w:rPr>
      </w:pPr>
      <w:r>
        <w:rPr>
          <w:rFonts w:hint="eastAsia"/>
          <w:highlight w:val="none"/>
        </w:rPr>
        <w:t>生态流量保障。扎实、稳妥推进生态流量监管工作，实施小水电问题清理整改，在全省范围内先行先试，完成全县小水电站生态流量下泄设计调查和忠信河流域18宗水电站方案设计工作，按照“关停、退出一批，整改、保留一批”的思路，探索制定了《连平县小水电清理整改工作方案》，按轻重缓急分批进行整改。截至2021年底，已关停水电站3宗、退出1宗、收回开发权4宗；制定和实施《连平县小水电站生态流量监管工作方案》，已完成50余宗水电站生态流量监测设施安装工作。</w:t>
      </w:r>
    </w:p>
    <w:p>
      <w:pPr>
        <w:ind w:firstLine="480"/>
        <w:rPr>
          <w:highlight w:val="none"/>
        </w:rPr>
      </w:pPr>
      <w:r>
        <w:rPr>
          <w:rFonts w:hint="eastAsia"/>
          <w:highlight w:val="none"/>
        </w:rPr>
        <w:t>污染减排与生态扩容。“十三五”期间完成连平县县城污水处理厂一期工程提标扩容，处理能力从1万吨/日提升至1.5万吨/日。积极推进畜禽粪污资源化利用工作， 2022年末全县畜禽粪污综合利用率为81.56%，规模养殖场粪污处理设施装备配套率为98.7%，其中，大型规模养殖场粪污处理设施装备配套率达100%。印发《河源市连平县畜禽养殖业污染防治规划（2019-2024）》，落实禁养区内养殖场清理工作。大力开展农村生活污水治理，印发《河源市连平县农村生活污水治理专项规划（2021-2025年）》，截至2021年底，全县1134个自然村中完成了524个自然村生活污水治理，治理率为46.2%。开展山区中小河流治理工程，2015~2019年完成了大席河、忠信河、连平河、大湖河、五禾水、陂头河、贵东水等山区中小河流治理，治理河长达268公里；完成了大席河万里碧道建设8.5公里。</w:t>
      </w:r>
    </w:p>
    <w:p>
      <w:pPr>
        <w:ind w:firstLine="0" w:firstLineChars="0"/>
        <w:jc w:val="center"/>
        <w:rPr>
          <w:b/>
          <w:highlight w:val="none"/>
        </w:rPr>
      </w:pPr>
      <w:r>
        <w:rPr>
          <w:rFonts w:hint="eastAsia"/>
          <w:b/>
          <w:highlight w:val="none"/>
        </w:rPr>
        <w:t>表3.3-9 中小河流治理工程项目表</w:t>
      </w:r>
    </w:p>
    <w:tbl>
      <w:tblPr>
        <w:tblStyle w:val="33"/>
        <w:tblW w:w="8505" w:type="dxa"/>
        <w:jc w:val="center"/>
        <w:tblLayout w:type="autofit"/>
        <w:tblCellMar>
          <w:top w:w="0" w:type="dxa"/>
          <w:left w:w="108" w:type="dxa"/>
          <w:bottom w:w="0" w:type="dxa"/>
          <w:right w:w="108" w:type="dxa"/>
        </w:tblCellMar>
      </w:tblPr>
      <w:tblGrid>
        <w:gridCol w:w="923"/>
        <w:gridCol w:w="2980"/>
        <w:gridCol w:w="3400"/>
        <w:gridCol w:w="1202"/>
      </w:tblGrid>
      <w:tr>
        <w:tblPrEx>
          <w:tblCellMar>
            <w:top w:w="0" w:type="dxa"/>
            <w:left w:w="108" w:type="dxa"/>
            <w:bottom w:w="0" w:type="dxa"/>
            <w:right w:w="108" w:type="dxa"/>
          </w:tblCellMar>
        </w:tblPrEx>
        <w:trPr>
          <w:trHeight w:val="340" w:hRule="exact"/>
          <w:tblHeader/>
          <w:jc w:val="center"/>
        </w:trPr>
        <w:tc>
          <w:tcPr>
            <w:tcW w:w="92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年度</w:t>
            </w:r>
          </w:p>
        </w:tc>
        <w:tc>
          <w:tcPr>
            <w:tcW w:w="2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河流项目</w:t>
            </w:r>
          </w:p>
        </w:tc>
        <w:tc>
          <w:tcPr>
            <w:tcW w:w="3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治理河段</w:t>
            </w:r>
          </w:p>
        </w:tc>
        <w:tc>
          <w:tcPr>
            <w:tcW w:w="12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治理河长</w:t>
            </w:r>
            <w:r>
              <w:rPr>
                <w:b/>
                <w:bCs/>
                <w:kern w:val="0"/>
                <w:sz w:val="21"/>
                <w:szCs w:val="21"/>
                <w:highlight w:val="none"/>
              </w:rPr>
              <w:br w:type="textWrapping"/>
            </w:r>
            <w:r>
              <w:rPr>
                <w:b/>
                <w:bCs/>
                <w:kern w:val="0"/>
                <w:sz w:val="21"/>
                <w:szCs w:val="21"/>
                <w:highlight w:val="none"/>
              </w:rPr>
              <w:t>(km)</w:t>
            </w:r>
          </w:p>
        </w:tc>
      </w:tr>
      <w:tr>
        <w:tblPrEx>
          <w:tblCellMar>
            <w:top w:w="0" w:type="dxa"/>
            <w:left w:w="108" w:type="dxa"/>
            <w:bottom w:w="0" w:type="dxa"/>
            <w:right w:w="108" w:type="dxa"/>
          </w:tblCellMar>
        </w:tblPrEx>
        <w:trPr>
          <w:trHeight w:val="340" w:hRule="exact"/>
          <w:tblHeader/>
          <w:jc w:val="center"/>
        </w:trPr>
        <w:tc>
          <w:tcPr>
            <w:tcW w:w="9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34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12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r>
      <w:tr>
        <w:tblPrEx>
          <w:tblCellMar>
            <w:top w:w="0" w:type="dxa"/>
            <w:left w:w="108" w:type="dxa"/>
            <w:bottom w:w="0" w:type="dxa"/>
            <w:right w:w="108" w:type="dxa"/>
          </w:tblCellMar>
        </w:tblPrEx>
        <w:trPr>
          <w:trHeight w:val="340" w:hRule="exact"/>
          <w:jc w:val="center"/>
        </w:trPr>
        <w:tc>
          <w:tcPr>
            <w:tcW w:w="92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2015年</w:t>
            </w: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大席河干流治理工程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大席河（上坪镇段）治理工程</w:t>
            </w:r>
          </w:p>
        </w:tc>
        <w:tc>
          <w:tcPr>
            <w:tcW w:w="1202"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19.7</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大席河（内莞镇段）治理工程</w:t>
            </w:r>
          </w:p>
        </w:tc>
        <w:tc>
          <w:tcPr>
            <w:tcW w:w="1202"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忠信河治理工程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忠信河（油溪镇段）治理工程</w:t>
            </w:r>
          </w:p>
        </w:tc>
        <w:tc>
          <w:tcPr>
            <w:tcW w:w="1202"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30.6</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高陂水（高莞镇段）治理工程</w:t>
            </w:r>
          </w:p>
        </w:tc>
        <w:tc>
          <w:tcPr>
            <w:tcW w:w="1202"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高陂水（忠信镇段）治理工程</w:t>
            </w:r>
          </w:p>
        </w:tc>
        <w:tc>
          <w:tcPr>
            <w:tcW w:w="1202"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船洞水治理工程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10.4</w:t>
            </w:r>
          </w:p>
        </w:tc>
      </w:tr>
      <w:tr>
        <w:tblPrEx>
          <w:tblCellMar>
            <w:top w:w="0" w:type="dxa"/>
            <w:left w:w="108" w:type="dxa"/>
            <w:bottom w:w="0" w:type="dxa"/>
            <w:right w:w="108" w:type="dxa"/>
          </w:tblCellMar>
        </w:tblPrEx>
        <w:trPr>
          <w:trHeight w:val="340" w:hRule="exact"/>
          <w:jc w:val="center"/>
        </w:trPr>
        <w:tc>
          <w:tcPr>
            <w:tcW w:w="92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2016年</w:t>
            </w: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连平河干流治理工程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连平河（元善镇段）治理工程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17.8</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连平河（溪山镇段）治理工程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13.4</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连平河（隆街镇段）治理工程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9.1</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连平河支流治理工程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密溪河治理工程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7.6</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连平河支流治理工程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双头河治理工程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6.6</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大湖河治理工程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大湖河（大湖镇段）治理工程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6.8</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大湖河（三角镇段）治理工程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6.4</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忠信河治理工程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忠信河（忠信镇段）治理工程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5.4</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金花洞水治理工程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3.7</w:t>
            </w:r>
          </w:p>
        </w:tc>
      </w:tr>
      <w:tr>
        <w:tblPrEx>
          <w:tblCellMar>
            <w:top w:w="0" w:type="dxa"/>
            <w:left w:w="108" w:type="dxa"/>
            <w:bottom w:w="0" w:type="dxa"/>
            <w:right w:w="108" w:type="dxa"/>
          </w:tblCellMar>
        </w:tblPrEx>
        <w:trPr>
          <w:trHeight w:val="340" w:hRule="exact"/>
          <w:jc w:val="center"/>
        </w:trPr>
        <w:tc>
          <w:tcPr>
            <w:tcW w:w="92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2017年</w:t>
            </w:r>
          </w:p>
        </w:tc>
        <w:tc>
          <w:tcPr>
            <w:tcW w:w="2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五禾水治理工程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11.91</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陂头河治理工程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12.16</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连平河支流治理工程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东坑水治理工程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5.52</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鹤湖水治理工程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4.41</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连平县其他大席河一级支流治理工程</w:t>
            </w: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留洞河治理工程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4.68</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小水河治理工程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3.35</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蓝洲水治理工程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8.08</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连平河支流治理工程</w:t>
            </w: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岑告水治理工程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5.1</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岐山水治理工程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1.5</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小洞水治理工程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9.2</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大湖河治理工程</w:t>
            </w: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大席河（元善镇段）治理工程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2.2</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贵东水治理工程</w:t>
            </w:r>
          </w:p>
        </w:tc>
        <w:tc>
          <w:tcPr>
            <w:tcW w:w="34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16.5</w:t>
            </w:r>
          </w:p>
        </w:tc>
      </w:tr>
      <w:tr>
        <w:tblPrEx>
          <w:tblCellMar>
            <w:top w:w="0" w:type="dxa"/>
            <w:left w:w="108" w:type="dxa"/>
            <w:bottom w:w="0" w:type="dxa"/>
            <w:right w:w="108" w:type="dxa"/>
          </w:tblCellMar>
        </w:tblPrEx>
        <w:trPr>
          <w:trHeight w:val="340" w:hRule="exact"/>
          <w:jc w:val="center"/>
        </w:trPr>
        <w:tc>
          <w:tcPr>
            <w:tcW w:w="92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2018年</w:t>
            </w:r>
          </w:p>
        </w:tc>
        <w:tc>
          <w:tcPr>
            <w:tcW w:w="2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连平县其他大席河一级支流治理工程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西坪治理工程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5.2</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大湖河治理工程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清沟水治理工程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11.3</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忠信河治理工程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茶新水治理工程</w:t>
            </w:r>
          </w:p>
        </w:tc>
        <w:tc>
          <w:tcPr>
            <w:tcW w:w="120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4.8</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赤竹径水治理工程</w:t>
            </w:r>
          </w:p>
        </w:tc>
        <w:tc>
          <w:tcPr>
            <w:tcW w:w="120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2.8</w:t>
            </w:r>
          </w:p>
        </w:tc>
      </w:tr>
      <w:tr>
        <w:tblPrEx>
          <w:tblCellMar>
            <w:top w:w="0" w:type="dxa"/>
            <w:left w:w="108" w:type="dxa"/>
            <w:bottom w:w="0" w:type="dxa"/>
            <w:right w:w="108" w:type="dxa"/>
          </w:tblCellMar>
        </w:tblPrEx>
        <w:trPr>
          <w:trHeight w:val="340" w:hRule="exact"/>
          <w:jc w:val="center"/>
        </w:trPr>
        <w:tc>
          <w:tcPr>
            <w:tcW w:w="92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2019年</w:t>
            </w:r>
          </w:p>
        </w:tc>
        <w:tc>
          <w:tcPr>
            <w:tcW w:w="29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连平河支流治理工程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双头河支流治理工程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12.0</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忠信河治理工程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高陂水支流牛斗洞水治理工程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4.0</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b/>
                <w:bCs/>
                <w:kern w:val="0"/>
                <w:sz w:val="21"/>
                <w:szCs w:val="21"/>
                <w:highlight w:val="none"/>
              </w:rPr>
            </w:pP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高陂水支流黄竹坑治理工程</w:t>
            </w:r>
          </w:p>
        </w:tc>
        <w:tc>
          <w:tcPr>
            <w:tcW w:w="12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3.3</w:t>
            </w:r>
          </w:p>
        </w:tc>
      </w:tr>
      <w:tr>
        <w:tblPrEx>
          <w:tblCellMar>
            <w:top w:w="0" w:type="dxa"/>
            <w:left w:w="108" w:type="dxa"/>
            <w:bottom w:w="0" w:type="dxa"/>
            <w:right w:w="108" w:type="dxa"/>
          </w:tblCellMar>
        </w:tblPrEx>
        <w:trPr>
          <w:trHeight w:val="340" w:hRule="exact"/>
          <w:jc w:val="center"/>
        </w:trPr>
        <w:tc>
          <w:tcPr>
            <w:tcW w:w="92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color w:val="000000"/>
                <w:kern w:val="0"/>
                <w:sz w:val="21"/>
                <w:szCs w:val="21"/>
                <w:highlight w:val="none"/>
              </w:rPr>
            </w:pPr>
          </w:p>
        </w:tc>
        <w:tc>
          <w:tcPr>
            <w:tcW w:w="29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kern w:val="0"/>
                <w:sz w:val="21"/>
                <w:szCs w:val="21"/>
                <w:highlight w:val="none"/>
              </w:rPr>
            </w:pPr>
            <w:r>
              <w:rPr>
                <w:b/>
                <w:bCs/>
                <w:color w:val="000000"/>
                <w:kern w:val="0"/>
                <w:sz w:val="21"/>
                <w:szCs w:val="21"/>
                <w:highlight w:val="none"/>
              </w:rPr>
              <w:t>大湖河治理工程</w:t>
            </w:r>
          </w:p>
        </w:tc>
        <w:tc>
          <w:tcPr>
            <w:tcW w:w="3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小溪尾水治理工程</w:t>
            </w:r>
          </w:p>
        </w:tc>
        <w:tc>
          <w:tcPr>
            <w:tcW w:w="120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2.5</w:t>
            </w:r>
          </w:p>
        </w:tc>
      </w:tr>
    </w:tbl>
    <w:p>
      <w:pPr>
        <w:pStyle w:val="90"/>
        <w:numPr>
          <w:ilvl w:val="3"/>
          <w:numId w:val="1"/>
        </w:numPr>
        <w:spacing w:before="0" w:beforeLines="0" w:after="0" w:afterLines="0"/>
        <w:ind w:left="0" w:firstLine="0"/>
        <w:rPr>
          <w:rFonts w:eastAsia="宋体"/>
          <w:highlight w:val="none"/>
        </w:rPr>
      </w:pPr>
      <w:r>
        <w:rPr>
          <w:rFonts w:hint="eastAsia" w:eastAsia="宋体"/>
          <w:highlight w:val="none"/>
        </w:rPr>
        <w:t>问题诊断</w:t>
      </w:r>
    </w:p>
    <w:p>
      <w:pPr>
        <w:ind w:firstLine="480"/>
        <w:rPr>
          <w:highlight w:val="none"/>
        </w:rPr>
      </w:pPr>
      <w:r>
        <w:rPr>
          <w:rFonts w:hint="eastAsia"/>
          <w:highlight w:val="none"/>
        </w:rPr>
        <w:t>连平县水生态环境总体良好，主要存在的问题如下：</w:t>
      </w:r>
    </w:p>
    <w:p>
      <w:pPr>
        <w:ind w:firstLine="480"/>
        <w:rPr>
          <w:highlight w:val="none"/>
        </w:rPr>
      </w:pPr>
      <w:r>
        <w:rPr>
          <w:rFonts w:hint="eastAsia"/>
          <w:highlight w:val="none"/>
        </w:rPr>
        <w:t>①重点河库氮磷浓度呈现上升趋势。连平县县控以上地表水水质达到或优于Ⅲ类水体的比例保持100%，县级以上集中式饮用水源地水质达标率保持100%，但重点河库氮磷浓度呈现上升趋势。2016~2022年，连平河省考隆街大桥断面总氮浓度从0.35mg/L上升至1.00mg/L，浓度增长1.88倍。合水桥、连中桥、黄潭寺等县控/生态县考核断面总磷浓度增长0.22~0.42倍，总氮浓度增长0.56~1.15倍。县级鹤湖水水库饮用水源地氨氮和总氮浓度增长0.34倍和0.56倍，县级密溪河饮用水源地总氮增长0.24倍。氮磷浓度呈现上升趋势与流域内畜禽养殖、农村面源、生活污染等有关。连平位于新丰江水库上游，占新丰江水库集雨面积的40%，氮磷浓度上升对新丰江水库也产生较大的水质安全隐患。</w:t>
      </w:r>
    </w:p>
    <w:p>
      <w:pPr>
        <w:ind w:firstLine="480"/>
        <w:rPr>
          <w:highlight w:val="none"/>
        </w:rPr>
      </w:pPr>
      <w:r>
        <w:rPr>
          <w:rFonts w:hint="eastAsia"/>
          <w:highlight w:val="none"/>
        </w:rPr>
        <w:t>②</w:t>
      </w:r>
      <w:r>
        <w:rPr>
          <w:highlight w:val="none"/>
        </w:rPr>
        <w:t>镇级河流</w:t>
      </w:r>
      <w:r>
        <w:rPr>
          <w:rFonts w:hint="eastAsia"/>
          <w:highlight w:val="none"/>
        </w:rPr>
        <w:t>水环境质量未能稳定达标。2022年22个镇水环境综合整治考核断面中7个断面超标，超标率达31.82%，其中工业园管委会（工业园污水处理厂排污口下游200米）和小水河（连平五禾与东源交界）断面为Ⅳ类，大湖镇的大寨水（连平与东源交界）断面为劣Ⅴ类。污染因子主要为总磷、氨氮和化学需氧量，其中，大湖镇的大寨水（连平与东源交界）断面氨氮超标1.59倍，总磷超标3.70倍，化学需氧量超标1.56倍，高锰酸盐指数超标0.40倍；工业园管委会（工业园污水处理厂排污口下游200米）断面氨氮超标0.54倍，化学需氧量超标0.45倍；其他监测断面总磷超标，超标倍数为0.20~0.39。镇级河流主要污染源为畜牧养殖业产生的废弃物和废水、周围村庄的生活污水、部分企业的工业废水，农村生活垃圾和农业面源污染也对水体有一定影响。</w:t>
      </w:r>
    </w:p>
    <w:p>
      <w:pPr>
        <w:ind w:firstLine="480"/>
        <w:rPr>
          <w:color w:val="FF0000"/>
          <w:highlight w:val="none"/>
        </w:rPr>
      </w:pPr>
      <w:r>
        <w:rPr>
          <w:highlight w:val="none"/>
        </w:rPr>
        <w:t>河流生态健康安全面临威胁</w:t>
      </w:r>
      <w:r>
        <w:rPr>
          <w:rFonts w:hint="eastAsia"/>
          <w:highlight w:val="none"/>
        </w:rPr>
        <w:t>。现状河湖管理体制尚未完善，由于沿河两岸的开发和人口增长及历史等因素，河湖管理范围内乱占、乱采、乱堆、乱建等“四乱”问题难以根除，主要河流河滩地被占用情况比较严重，另外，由于上游水土流失，携带大量泥沙，造成部分地区出现不同程度的河床淤积、河床下切、河岸企陡等问题，大湖河、忠信河、高陂水、大席河、连平河、崧头河、陂头河、贵东河、船洞河等小流域综合治理工作有待推进。沿河水电站多、蓄水量大，电站生态流量保障设施建设不足，导致部分河段水体流动性差，河道自净能力下降，水生态功能有所退化。</w:t>
      </w:r>
    </w:p>
    <w:p>
      <w:pPr>
        <w:pStyle w:val="89"/>
        <w:numPr>
          <w:ilvl w:val="2"/>
          <w:numId w:val="1"/>
        </w:numPr>
        <w:ind w:left="0" w:firstLine="0"/>
        <w:rPr>
          <w:rFonts w:eastAsia="宋体"/>
          <w:highlight w:val="none"/>
        </w:rPr>
      </w:pPr>
      <w:bookmarkStart w:id="66" w:name="_Toc140764112"/>
      <w:r>
        <w:rPr>
          <w:rFonts w:eastAsia="宋体"/>
          <w:highlight w:val="none"/>
        </w:rPr>
        <w:t>森林</w:t>
      </w:r>
      <w:r>
        <w:rPr>
          <w:rFonts w:hint="eastAsia" w:eastAsia="宋体"/>
          <w:highlight w:val="none"/>
        </w:rPr>
        <w:t>生态环境</w:t>
      </w:r>
      <w:bookmarkEnd w:id="66"/>
    </w:p>
    <w:p>
      <w:pPr>
        <w:pStyle w:val="90"/>
        <w:numPr>
          <w:ilvl w:val="3"/>
          <w:numId w:val="1"/>
        </w:numPr>
        <w:spacing w:before="0" w:beforeLines="0" w:after="0" w:afterLines="0"/>
        <w:ind w:left="0" w:firstLine="0"/>
        <w:rPr>
          <w:rFonts w:eastAsia="宋体"/>
          <w:highlight w:val="none"/>
        </w:rPr>
      </w:pPr>
      <w:r>
        <w:rPr>
          <w:rFonts w:hint="eastAsia" w:eastAsia="宋体"/>
          <w:highlight w:val="none"/>
        </w:rPr>
        <w:t>总体</w:t>
      </w:r>
      <w:r>
        <w:rPr>
          <w:rFonts w:eastAsia="宋体"/>
          <w:highlight w:val="none"/>
        </w:rPr>
        <w:t>概况</w:t>
      </w:r>
    </w:p>
    <w:p>
      <w:pPr>
        <w:ind w:firstLine="480"/>
        <w:rPr>
          <w:highlight w:val="none"/>
        </w:rPr>
      </w:pPr>
      <w:r>
        <w:rPr>
          <w:highlight w:val="none"/>
        </w:rPr>
        <w:t>202</w:t>
      </w:r>
      <w:r>
        <w:rPr>
          <w:rFonts w:hint="eastAsia"/>
          <w:highlight w:val="none"/>
        </w:rPr>
        <w:t>2</w:t>
      </w:r>
      <w:r>
        <w:rPr>
          <w:highlight w:val="none"/>
        </w:rPr>
        <w:t>年</w:t>
      </w:r>
      <w:r>
        <w:rPr>
          <w:rFonts w:hint="eastAsia"/>
          <w:highlight w:val="none"/>
        </w:rPr>
        <w:t>连平</w:t>
      </w:r>
      <w:r>
        <w:rPr>
          <w:highlight w:val="none"/>
        </w:rPr>
        <w:t>县林业用地187469.86</w:t>
      </w:r>
      <w:r>
        <w:rPr>
          <w:rFonts w:hint="eastAsia"/>
          <w:highlight w:val="none"/>
        </w:rPr>
        <w:t>公顷（未与第三次全国国土调查数据对接融合）</w:t>
      </w:r>
      <w:r>
        <w:rPr>
          <w:highlight w:val="none"/>
        </w:rPr>
        <w:t>，占</w:t>
      </w:r>
      <w:r>
        <w:rPr>
          <w:rFonts w:hint="eastAsia"/>
          <w:highlight w:val="none"/>
        </w:rPr>
        <w:t>国土</w:t>
      </w:r>
      <w:r>
        <w:rPr>
          <w:highlight w:val="none"/>
        </w:rPr>
        <w:t>面积的</w:t>
      </w:r>
      <w:r>
        <w:rPr>
          <w:rFonts w:hint="eastAsia"/>
          <w:highlight w:val="none"/>
        </w:rPr>
        <w:t>82.40</w:t>
      </w:r>
      <w:r>
        <w:rPr>
          <w:highlight w:val="none"/>
        </w:rPr>
        <w:t>%；其中有林地面积161511.92</w:t>
      </w:r>
      <w:r>
        <w:rPr>
          <w:rFonts w:hint="eastAsia"/>
          <w:highlight w:val="none"/>
        </w:rPr>
        <w:t>公顷</w:t>
      </w:r>
      <w:r>
        <w:rPr>
          <w:highlight w:val="none"/>
        </w:rPr>
        <w:t>，占</w:t>
      </w:r>
      <w:r>
        <w:rPr>
          <w:rFonts w:hint="eastAsia"/>
          <w:highlight w:val="none"/>
        </w:rPr>
        <w:t>国土</w:t>
      </w:r>
      <w:r>
        <w:rPr>
          <w:highlight w:val="none"/>
        </w:rPr>
        <w:t>面积的</w:t>
      </w:r>
      <w:r>
        <w:rPr>
          <w:rFonts w:hint="eastAsia"/>
          <w:highlight w:val="none"/>
        </w:rPr>
        <w:t>70.99</w:t>
      </w:r>
      <w:r>
        <w:rPr>
          <w:highlight w:val="none"/>
        </w:rPr>
        <w:t>%；灌木林地面积10127.41</w:t>
      </w:r>
      <w:r>
        <w:rPr>
          <w:rFonts w:hint="eastAsia"/>
          <w:highlight w:val="none"/>
        </w:rPr>
        <w:t>公顷</w:t>
      </w:r>
      <w:r>
        <w:rPr>
          <w:highlight w:val="none"/>
        </w:rPr>
        <w:t>，占土地总面积的</w:t>
      </w:r>
      <w:r>
        <w:rPr>
          <w:rFonts w:hint="eastAsia"/>
          <w:highlight w:val="none"/>
        </w:rPr>
        <w:t>4.45</w:t>
      </w:r>
      <w:r>
        <w:rPr>
          <w:highlight w:val="none"/>
        </w:rPr>
        <w:t>%；未成林地面积为6441.04</w:t>
      </w:r>
      <w:r>
        <w:rPr>
          <w:rFonts w:hint="eastAsia"/>
          <w:highlight w:val="none"/>
        </w:rPr>
        <w:t>公顷</w:t>
      </w:r>
      <w:r>
        <w:rPr>
          <w:highlight w:val="none"/>
        </w:rPr>
        <w:t>，占国土面积的</w:t>
      </w:r>
      <w:r>
        <w:rPr>
          <w:rFonts w:hint="eastAsia"/>
          <w:highlight w:val="none"/>
        </w:rPr>
        <w:t>2.83</w:t>
      </w:r>
      <w:r>
        <w:rPr>
          <w:highlight w:val="none"/>
        </w:rPr>
        <w:t>%；疏林地面积为346.30公顷</w:t>
      </w:r>
      <w:r>
        <w:rPr>
          <w:rFonts w:hint="eastAsia"/>
          <w:highlight w:val="none"/>
        </w:rPr>
        <w:t>，</w:t>
      </w:r>
      <w:r>
        <w:rPr>
          <w:highlight w:val="none"/>
        </w:rPr>
        <w:t>占国土面积的</w:t>
      </w:r>
      <w:r>
        <w:rPr>
          <w:rFonts w:hint="eastAsia"/>
          <w:highlight w:val="none"/>
        </w:rPr>
        <w:t>0.15%；宜林地面积为</w:t>
      </w:r>
      <w:r>
        <w:rPr>
          <w:highlight w:val="none"/>
        </w:rPr>
        <w:t>741.29公顷</w:t>
      </w:r>
      <w:r>
        <w:rPr>
          <w:rFonts w:hint="eastAsia"/>
          <w:highlight w:val="none"/>
        </w:rPr>
        <w:t>，</w:t>
      </w:r>
      <w:r>
        <w:rPr>
          <w:highlight w:val="none"/>
        </w:rPr>
        <w:t>占国土面积的</w:t>
      </w:r>
      <w:r>
        <w:rPr>
          <w:rFonts w:hint="eastAsia"/>
          <w:highlight w:val="none"/>
        </w:rPr>
        <w:t>0.33%；无立木林地面积为</w:t>
      </w:r>
      <w:r>
        <w:rPr>
          <w:highlight w:val="none"/>
        </w:rPr>
        <w:t>8225.29公顷</w:t>
      </w:r>
      <w:r>
        <w:rPr>
          <w:rFonts w:hint="eastAsia"/>
          <w:highlight w:val="none"/>
        </w:rPr>
        <w:t>，占</w:t>
      </w:r>
      <w:r>
        <w:rPr>
          <w:highlight w:val="none"/>
        </w:rPr>
        <w:t>土地总面积的</w:t>
      </w:r>
      <w:r>
        <w:rPr>
          <w:rFonts w:hint="eastAsia"/>
          <w:highlight w:val="none"/>
        </w:rPr>
        <w:t>3.62</w:t>
      </w:r>
      <w:r>
        <w:rPr>
          <w:highlight w:val="none"/>
        </w:rPr>
        <w:t>%</w:t>
      </w:r>
      <w:r>
        <w:rPr>
          <w:rFonts w:hint="eastAsia"/>
          <w:highlight w:val="none"/>
        </w:rPr>
        <w:t>，其他</w:t>
      </w:r>
      <w:r>
        <w:rPr>
          <w:highlight w:val="none"/>
        </w:rPr>
        <w:t>林地面积</w:t>
      </w:r>
      <w:r>
        <w:rPr>
          <w:rFonts w:hint="eastAsia"/>
          <w:highlight w:val="none"/>
        </w:rPr>
        <w:t>76.60公顷，占</w:t>
      </w:r>
      <w:r>
        <w:rPr>
          <w:highlight w:val="none"/>
        </w:rPr>
        <w:t>土地总面积的</w:t>
      </w:r>
      <w:r>
        <w:rPr>
          <w:rFonts w:hint="eastAsia"/>
          <w:highlight w:val="none"/>
        </w:rPr>
        <w:t>0.03</w:t>
      </w:r>
      <w:r>
        <w:rPr>
          <w:highlight w:val="none"/>
        </w:rPr>
        <w:t>%。</w:t>
      </w:r>
    </w:p>
    <w:p>
      <w:pPr>
        <w:ind w:firstLine="0" w:firstLineChars="0"/>
        <w:rPr>
          <w:color w:val="FF0000"/>
          <w:highlight w:val="none"/>
        </w:rPr>
      </w:pPr>
      <w:r>
        <w:rPr>
          <w:color w:val="FF0000"/>
          <w:highlight w:val="none"/>
        </w:rPr>
        <w:drawing>
          <wp:inline distT="0" distB="0" distL="0" distR="0">
            <wp:extent cx="5263515" cy="35998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5">
                      <a:extLst>
                        <a:ext uri="{28A0092B-C50C-407E-A947-70E740481C1C}">
                          <a14:useLocalDpi xmlns:a14="http://schemas.microsoft.com/office/drawing/2010/main" val="0"/>
                        </a:ext>
                      </a:extLst>
                    </a:blip>
                    <a:srcRect l="4427" t="9428" r="4948" b="10438"/>
                    <a:stretch>
                      <a:fillRect/>
                    </a:stretch>
                  </pic:blipFill>
                  <pic:spPr>
                    <a:xfrm>
                      <a:off x="0" y="0"/>
                      <a:ext cx="5263878" cy="3600000"/>
                    </a:xfrm>
                    <a:prstGeom prst="rect">
                      <a:avLst/>
                    </a:prstGeom>
                    <a:noFill/>
                    <a:ln>
                      <a:noFill/>
                    </a:ln>
                  </pic:spPr>
                </pic:pic>
              </a:graphicData>
            </a:graphic>
          </wp:inline>
        </w:drawing>
      </w:r>
    </w:p>
    <w:p>
      <w:pPr>
        <w:ind w:firstLine="0" w:firstLineChars="0"/>
        <w:jc w:val="center"/>
        <w:rPr>
          <w:b/>
          <w:highlight w:val="none"/>
        </w:rPr>
      </w:pPr>
      <w:r>
        <w:rPr>
          <w:rFonts w:hint="eastAsia"/>
          <w:b/>
          <w:highlight w:val="none"/>
        </w:rPr>
        <w:t>图3.3-28 2022年连平县林地面积统计图</w:t>
      </w:r>
    </w:p>
    <w:p>
      <w:pPr>
        <w:ind w:firstLine="480"/>
        <w:rPr>
          <w:highlight w:val="none"/>
        </w:rPr>
      </w:pPr>
      <w:r>
        <w:rPr>
          <w:rFonts w:hint="eastAsia"/>
          <w:highlight w:val="none"/>
        </w:rPr>
        <w:t>森林资源质量明显提升。</w:t>
      </w:r>
      <w:r>
        <w:rPr>
          <w:highlight w:val="none"/>
        </w:rPr>
        <w:t>201</w:t>
      </w:r>
      <w:r>
        <w:rPr>
          <w:rFonts w:hint="eastAsia"/>
          <w:highlight w:val="none"/>
        </w:rPr>
        <w:t>8</w:t>
      </w:r>
      <w:r>
        <w:rPr>
          <w:highlight w:val="none"/>
        </w:rPr>
        <w:t>~202</w:t>
      </w:r>
      <w:r>
        <w:rPr>
          <w:rFonts w:hint="eastAsia"/>
          <w:highlight w:val="none"/>
        </w:rPr>
        <w:t>2</w:t>
      </w:r>
      <w:r>
        <w:rPr>
          <w:highlight w:val="none"/>
        </w:rPr>
        <w:t>年全县森林</w:t>
      </w:r>
      <w:r>
        <w:rPr>
          <w:rFonts w:hint="eastAsia"/>
          <w:highlight w:val="none"/>
        </w:rPr>
        <w:t>总面积</w:t>
      </w:r>
      <w:r>
        <w:rPr>
          <w:highlight w:val="none"/>
        </w:rPr>
        <w:t>从169404.91公顷</w:t>
      </w:r>
      <w:r>
        <w:rPr>
          <w:rFonts w:hint="eastAsia"/>
          <w:highlight w:val="none"/>
        </w:rPr>
        <w:t>增长至</w:t>
      </w:r>
      <w:r>
        <w:rPr>
          <w:highlight w:val="none"/>
        </w:rPr>
        <w:t>170263.41公顷</w:t>
      </w:r>
      <w:r>
        <w:rPr>
          <w:rFonts w:hint="eastAsia"/>
          <w:highlight w:val="none"/>
        </w:rPr>
        <w:t>，</w:t>
      </w:r>
      <w:r>
        <w:rPr>
          <w:highlight w:val="none"/>
        </w:rPr>
        <w:t>森林覆盖率</w:t>
      </w:r>
      <w:r>
        <w:rPr>
          <w:rFonts w:hint="eastAsia"/>
          <w:highlight w:val="none"/>
        </w:rPr>
        <w:t>从74.46%增长到74.83%；森林蓄积量逐步增长，乔木林地生产力由2018年59.62立方米/公顷增长到2022年69.46立方米/公顷。</w:t>
      </w:r>
    </w:p>
    <w:p>
      <w:pPr>
        <w:ind w:firstLine="0" w:firstLineChars="0"/>
        <w:jc w:val="center"/>
        <w:rPr>
          <w:b/>
          <w:highlight w:val="none"/>
        </w:rPr>
      </w:pPr>
      <w:r>
        <w:rPr>
          <w:highlight w:val="none"/>
        </w:rPr>
        <w:drawing>
          <wp:inline distT="0" distB="0" distL="0" distR="0">
            <wp:extent cx="5271135" cy="3460115"/>
            <wp:effectExtent l="0" t="0" r="24765" b="2603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ind w:firstLine="0" w:firstLineChars="0"/>
        <w:jc w:val="center"/>
        <w:rPr>
          <w:b/>
          <w:highlight w:val="none"/>
        </w:rPr>
      </w:pPr>
      <w:r>
        <w:rPr>
          <w:rFonts w:hint="eastAsia"/>
          <w:b/>
          <w:highlight w:val="none"/>
        </w:rPr>
        <w:t>图3.3-29 连平县森林总面积与森林覆盖率变化统计图</w:t>
      </w:r>
    </w:p>
    <w:p>
      <w:pPr>
        <w:ind w:left="-720" w:leftChars="-300" w:right="-720" w:rightChars="-300" w:firstLine="0" w:firstLineChars="0"/>
        <w:jc w:val="center"/>
        <w:rPr>
          <w:b/>
          <w:highlight w:val="none"/>
        </w:rPr>
      </w:pPr>
      <w:r>
        <w:rPr>
          <w:highlight w:val="none"/>
        </w:rPr>
        <w:drawing>
          <wp:inline distT="0" distB="0" distL="0" distR="0">
            <wp:extent cx="5972175" cy="3448050"/>
            <wp:effectExtent l="0" t="0" r="9525" b="1905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ind w:firstLine="0" w:firstLineChars="0"/>
        <w:jc w:val="center"/>
        <w:rPr>
          <w:b/>
          <w:highlight w:val="none"/>
        </w:rPr>
      </w:pPr>
      <w:r>
        <w:rPr>
          <w:rFonts w:hint="eastAsia"/>
          <w:b/>
          <w:highlight w:val="none"/>
        </w:rPr>
        <w:t>图3.3-30 连平县森林蓄积量与生产力变化统计图</w:t>
      </w:r>
    </w:p>
    <w:p>
      <w:pPr>
        <w:pStyle w:val="90"/>
        <w:numPr>
          <w:ilvl w:val="3"/>
          <w:numId w:val="1"/>
        </w:numPr>
        <w:spacing w:before="0" w:beforeLines="0" w:after="0" w:afterLines="0"/>
        <w:ind w:left="0" w:firstLine="0"/>
        <w:rPr>
          <w:rFonts w:eastAsia="宋体"/>
          <w:highlight w:val="none"/>
        </w:rPr>
      </w:pPr>
      <w:r>
        <w:rPr>
          <w:rFonts w:eastAsia="宋体"/>
          <w:highlight w:val="none"/>
        </w:rPr>
        <w:t>树种结构</w:t>
      </w:r>
    </w:p>
    <w:p>
      <w:pPr>
        <w:ind w:firstLine="480"/>
        <w:rPr>
          <w:szCs w:val="24"/>
          <w:highlight w:val="none"/>
        </w:rPr>
        <w:sectPr>
          <w:pgSz w:w="11907" w:h="16840"/>
          <w:pgMar w:top="1440" w:right="1803" w:bottom="1440" w:left="1803" w:header="851" w:footer="992" w:gutter="0"/>
          <w:cols w:space="0" w:num="1"/>
          <w:docGrid w:type="lines" w:linePitch="326" w:charSpace="0"/>
        </w:sectPr>
      </w:pPr>
      <w:r>
        <w:rPr>
          <w:color w:val="FF0000"/>
          <w:highlight w:val="none"/>
        </w:rPr>
        <w:tab/>
      </w:r>
      <w:r>
        <w:rPr>
          <w:color w:val="FF0000"/>
          <w:highlight w:val="none"/>
        </w:rPr>
        <w:tab/>
      </w:r>
      <w:r>
        <w:rPr>
          <w:color w:val="FF0000"/>
          <w:highlight w:val="none"/>
        </w:rPr>
        <w:tab/>
      </w:r>
      <w:r>
        <w:rPr>
          <w:color w:val="FF0000"/>
          <w:highlight w:val="none"/>
        </w:rPr>
        <w:tab/>
      </w:r>
      <w:r>
        <w:rPr>
          <w:rFonts w:hint="eastAsia"/>
          <w:szCs w:val="24"/>
          <w:highlight w:val="none"/>
        </w:rPr>
        <w:t>连平</w:t>
      </w:r>
      <w:r>
        <w:rPr>
          <w:szCs w:val="24"/>
          <w:highlight w:val="none"/>
        </w:rPr>
        <w:t>县森林蓄积量</w:t>
      </w:r>
      <w:r>
        <w:rPr>
          <w:rFonts w:hint="eastAsia"/>
          <w:szCs w:val="24"/>
          <w:highlight w:val="none"/>
        </w:rPr>
        <w:t>1098.99</w:t>
      </w:r>
      <w:r>
        <w:rPr>
          <w:szCs w:val="24"/>
          <w:highlight w:val="none"/>
        </w:rPr>
        <w:t>万立方米，优势树种包括</w:t>
      </w:r>
      <w:r>
        <w:rPr>
          <w:rFonts w:hint="eastAsia"/>
          <w:szCs w:val="24"/>
          <w:highlight w:val="none"/>
        </w:rPr>
        <w:t>杉木、马尾松、湿地松、桉树、其它软阔、其它硬阔、针叶混交林、针阔混交林和阔叶混交林，其中以其它软阔、针阔混交林和马尾松（广东松）为主，森林蓄积量分别为476.51万立方米、241.44万立方米、115.16万立方米，分别占森林总蓄积量的43.36%、21.97%和10.48%。</w:t>
      </w:r>
    </w:p>
    <w:p>
      <w:pPr>
        <w:ind w:left="-720" w:leftChars="-300" w:right="-720" w:rightChars="-300" w:firstLine="0" w:firstLineChars="0"/>
        <w:rPr>
          <w:color w:val="FF0000"/>
          <w:szCs w:val="24"/>
          <w:highlight w:val="none"/>
        </w:rPr>
      </w:pPr>
      <w:r>
        <w:rPr>
          <w:highlight w:val="none"/>
        </w:rPr>
        <w:drawing>
          <wp:inline distT="0" distB="0" distL="0" distR="0">
            <wp:extent cx="6115050" cy="2809875"/>
            <wp:effectExtent l="0" t="0" r="19050" b="952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ind w:firstLine="0" w:firstLineChars="0"/>
        <w:jc w:val="center"/>
        <w:rPr>
          <w:b/>
          <w:szCs w:val="24"/>
          <w:highlight w:val="none"/>
        </w:rPr>
      </w:pPr>
      <w:r>
        <w:rPr>
          <w:rFonts w:hint="eastAsia"/>
          <w:b/>
          <w:szCs w:val="24"/>
          <w:highlight w:val="none"/>
        </w:rPr>
        <w:t>图3.3-31 连平县树种结构统计图</w:t>
      </w:r>
    </w:p>
    <w:p>
      <w:pPr>
        <w:pStyle w:val="90"/>
        <w:numPr>
          <w:ilvl w:val="3"/>
          <w:numId w:val="1"/>
        </w:numPr>
        <w:spacing w:before="0" w:beforeLines="0" w:after="0" w:afterLines="0"/>
        <w:ind w:left="0" w:firstLine="0"/>
        <w:rPr>
          <w:rFonts w:eastAsia="宋体"/>
          <w:highlight w:val="none"/>
        </w:rPr>
      </w:pPr>
      <w:r>
        <w:rPr>
          <w:rFonts w:eastAsia="宋体"/>
          <w:highlight w:val="none"/>
        </w:rPr>
        <w:t>林龄结构</w:t>
      </w:r>
    </w:p>
    <w:p>
      <w:pPr>
        <w:ind w:firstLine="480"/>
        <w:rPr>
          <w:highlight w:val="none"/>
        </w:rPr>
      </w:pPr>
      <w:r>
        <w:rPr>
          <w:rFonts w:hint="eastAsia"/>
          <w:highlight w:val="none"/>
        </w:rPr>
        <w:t>2022年连平</w:t>
      </w:r>
      <w:r>
        <w:rPr>
          <w:highlight w:val="none"/>
        </w:rPr>
        <w:t>县乔木林森林蓄积量为</w:t>
      </w:r>
      <w:r>
        <w:rPr>
          <w:rFonts w:hint="eastAsia"/>
          <w:highlight w:val="none"/>
        </w:rPr>
        <w:t>1093.33万立方米，</w:t>
      </w:r>
      <w:r>
        <w:rPr>
          <w:highlight w:val="none"/>
        </w:rPr>
        <w:t>按林龄来分，幼龄林</w:t>
      </w:r>
      <w:r>
        <w:rPr>
          <w:rFonts w:hint="eastAsia"/>
          <w:highlight w:val="none"/>
        </w:rPr>
        <w:t>蓄积量</w:t>
      </w:r>
      <w:r>
        <w:rPr>
          <w:highlight w:val="none"/>
        </w:rPr>
        <w:t>为</w:t>
      </w:r>
      <w:r>
        <w:rPr>
          <w:rFonts w:hint="eastAsia"/>
          <w:highlight w:val="none"/>
        </w:rPr>
        <w:t>102.64万立方米</w:t>
      </w:r>
      <w:r>
        <w:rPr>
          <w:highlight w:val="none"/>
        </w:rPr>
        <w:t>，占</w:t>
      </w:r>
      <w:r>
        <w:rPr>
          <w:rFonts w:hint="eastAsia"/>
          <w:highlight w:val="none"/>
        </w:rPr>
        <w:t>乔木林</w:t>
      </w:r>
      <w:r>
        <w:rPr>
          <w:highlight w:val="none"/>
        </w:rPr>
        <w:t>总蓄积量的</w:t>
      </w:r>
      <w:r>
        <w:rPr>
          <w:rFonts w:hint="eastAsia"/>
          <w:highlight w:val="none"/>
        </w:rPr>
        <w:t>9.39%；中</w:t>
      </w:r>
      <w:r>
        <w:rPr>
          <w:highlight w:val="none"/>
        </w:rPr>
        <w:t>龄林</w:t>
      </w:r>
      <w:r>
        <w:rPr>
          <w:rFonts w:hint="eastAsia"/>
          <w:highlight w:val="none"/>
        </w:rPr>
        <w:t>蓄积量</w:t>
      </w:r>
      <w:r>
        <w:rPr>
          <w:highlight w:val="none"/>
        </w:rPr>
        <w:t>为</w:t>
      </w:r>
      <w:r>
        <w:rPr>
          <w:rFonts w:hint="eastAsia"/>
          <w:highlight w:val="none"/>
        </w:rPr>
        <w:t>302.65万立方米</w:t>
      </w:r>
      <w:r>
        <w:rPr>
          <w:highlight w:val="none"/>
        </w:rPr>
        <w:t>，占</w:t>
      </w:r>
      <w:r>
        <w:rPr>
          <w:rFonts w:hint="eastAsia"/>
          <w:highlight w:val="none"/>
        </w:rPr>
        <w:t>乔木林</w:t>
      </w:r>
      <w:r>
        <w:rPr>
          <w:highlight w:val="none"/>
        </w:rPr>
        <w:t>总蓄积量的</w:t>
      </w:r>
      <w:r>
        <w:rPr>
          <w:rFonts w:hint="eastAsia"/>
          <w:highlight w:val="none"/>
        </w:rPr>
        <w:t>27.68%；近熟林蓄积量</w:t>
      </w:r>
      <w:r>
        <w:rPr>
          <w:highlight w:val="none"/>
        </w:rPr>
        <w:t>为</w:t>
      </w:r>
      <w:r>
        <w:rPr>
          <w:rFonts w:hint="eastAsia"/>
          <w:highlight w:val="none"/>
        </w:rPr>
        <w:t>285.45万立方米</w:t>
      </w:r>
      <w:r>
        <w:rPr>
          <w:highlight w:val="none"/>
        </w:rPr>
        <w:t>，占</w:t>
      </w:r>
      <w:r>
        <w:rPr>
          <w:rFonts w:hint="eastAsia"/>
          <w:highlight w:val="none"/>
        </w:rPr>
        <w:t>乔木林</w:t>
      </w:r>
      <w:r>
        <w:rPr>
          <w:highlight w:val="none"/>
        </w:rPr>
        <w:t>总蓄积量的</w:t>
      </w:r>
      <w:r>
        <w:rPr>
          <w:rFonts w:hint="eastAsia"/>
          <w:highlight w:val="none"/>
        </w:rPr>
        <w:t>26.11%；成熟林蓄积量</w:t>
      </w:r>
      <w:r>
        <w:rPr>
          <w:highlight w:val="none"/>
        </w:rPr>
        <w:t>为</w:t>
      </w:r>
      <w:r>
        <w:rPr>
          <w:rFonts w:hint="eastAsia"/>
          <w:highlight w:val="none"/>
        </w:rPr>
        <w:t>322.34万立方米</w:t>
      </w:r>
      <w:r>
        <w:rPr>
          <w:highlight w:val="none"/>
        </w:rPr>
        <w:t>，占</w:t>
      </w:r>
      <w:r>
        <w:rPr>
          <w:rFonts w:hint="eastAsia"/>
          <w:highlight w:val="none"/>
        </w:rPr>
        <w:t>乔木林</w:t>
      </w:r>
      <w:r>
        <w:rPr>
          <w:highlight w:val="none"/>
        </w:rPr>
        <w:t>总蓄积量的</w:t>
      </w:r>
      <w:r>
        <w:rPr>
          <w:rFonts w:hint="eastAsia"/>
          <w:highlight w:val="none"/>
        </w:rPr>
        <w:t>29.48%；过熟林蓄积量</w:t>
      </w:r>
      <w:r>
        <w:rPr>
          <w:highlight w:val="none"/>
        </w:rPr>
        <w:t>为</w:t>
      </w:r>
      <w:r>
        <w:rPr>
          <w:rFonts w:hint="eastAsia"/>
          <w:highlight w:val="none"/>
        </w:rPr>
        <w:t>79.84万立方米</w:t>
      </w:r>
      <w:r>
        <w:rPr>
          <w:highlight w:val="none"/>
        </w:rPr>
        <w:t>，占</w:t>
      </w:r>
      <w:r>
        <w:rPr>
          <w:rFonts w:hint="eastAsia"/>
          <w:highlight w:val="none"/>
        </w:rPr>
        <w:t>乔木林</w:t>
      </w:r>
      <w:r>
        <w:rPr>
          <w:highlight w:val="none"/>
        </w:rPr>
        <w:t>总蓄积量的</w:t>
      </w:r>
      <w:r>
        <w:rPr>
          <w:rFonts w:hint="eastAsia"/>
          <w:highlight w:val="none"/>
        </w:rPr>
        <w:t>0.04%。总体来看，中幼龄林比例偏大，占乔木林蓄积量的37.07%，中幼林抚育工作尚待持续推进。从空间分布来看，中幼龄林主要分布在连平河、大席河和忠信河流域。</w:t>
      </w:r>
    </w:p>
    <w:p>
      <w:pPr>
        <w:ind w:left="-480" w:leftChars="-200" w:right="-480" w:rightChars="-200" w:firstLine="0" w:firstLineChars="0"/>
        <w:rPr>
          <w:color w:val="FF0000"/>
          <w:highlight w:val="none"/>
        </w:rPr>
      </w:pPr>
      <w:r>
        <w:rPr>
          <w:highlight w:val="none"/>
        </w:rPr>
        <w:drawing>
          <wp:inline distT="0" distB="0" distL="0" distR="0">
            <wp:extent cx="5895975" cy="2619375"/>
            <wp:effectExtent l="0" t="0" r="9525"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ind w:firstLine="0" w:firstLineChars="0"/>
        <w:jc w:val="center"/>
        <w:rPr>
          <w:b/>
          <w:bCs/>
          <w:highlight w:val="none"/>
        </w:rPr>
        <w:sectPr>
          <w:pgSz w:w="11907" w:h="16840"/>
          <w:pgMar w:top="1440" w:right="1803" w:bottom="1440" w:left="1803" w:header="851" w:footer="992" w:gutter="0"/>
          <w:cols w:space="0" w:num="1"/>
          <w:docGrid w:type="lines" w:linePitch="326" w:charSpace="0"/>
        </w:sectPr>
      </w:pPr>
      <w:r>
        <w:rPr>
          <w:b/>
          <w:bCs/>
          <w:highlight w:val="none"/>
        </w:rPr>
        <w:t>图3.</w:t>
      </w:r>
      <w:r>
        <w:rPr>
          <w:rFonts w:hint="eastAsia"/>
          <w:b/>
          <w:bCs/>
          <w:highlight w:val="none"/>
        </w:rPr>
        <w:t>3</w:t>
      </w:r>
      <w:r>
        <w:rPr>
          <w:b/>
          <w:bCs/>
          <w:highlight w:val="none"/>
        </w:rPr>
        <w:t>-</w:t>
      </w:r>
      <w:r>
        <w:rPr>
          <w:rFonts w:hint="eastAsia"/>
          <w:b/>
          <w:bCs/>
          <w:highlight w:val="none"/>
        </w:rPr>
        <w:t>32</w:t>
      </w:r>
      <w:r>
        <w:rPr>
          <w:b/>
          <w:bCs/>
          <w:highlight w:val="none"/>
        </w:rPr>
        <w:t xml:space="preserve"> </w:t>
      </w:r>
      <w:r>
        <w:rPr>
          <w:rFonts w:hint="eastAsia"/>
          <w:b/>
          <w:bCs/>
          <w:highlight w:val="none"/>
        </w:rPr>
        <w:t>连平</w:t>
      </w:r>
      <w:r>
        <w:rPr>
          <w:b/>
          <w:bCs/>
          <w:highlight w:val="none"/>
        </w:rPr>
        <w:t>县乔木林结构统计图</w:t>
      </w:r>
    </w:p>
    <w:p>
      <w:pPr>
        <w:pStyle w:val="90"/>
        <w:numPr>
          <w:ilvl w:val="3"/>
          <w:numId w:val="1"/>
        </w:numPr>
        <w:spacing w:before="0" w:beforeLines="0" w:after="0" w:afterLines="0"/>
        <w:ind w:left="0" w:firstLine="0"/>
        <w:rPr>
          <w:rFonts w:eastAsia="宋体"/>
          <w:highlight w:val="none"/>
        </w:rPr>
      </w:pPr>
      <w:r>
        <w:rPr>
          <w:rFonts w:eastAsia="宋体"/>
          <w:highlight w:val="none"/>
        </w:rPr>
        <w:t>公益林结构</w:t>
      </w:r>
    </w:p>
    <w:p>
      <w:pPr>
        <w:ind w:firstLine="480"/>
        <w:rPr>
          <w:szCs w:val="24"/>
          <w:highlight w:val="none"/>
        </w:rPr>
      </w:pPr>
      <w:r>
        <w:rPr>
          <w:rFonts w:hint="eastAsia"/>
          <w:szCs w:val="24"/>
          <w:highlight w:val="none"/>
        </w:rPr>
        <w:t>2022年连平县公益林地林种结构详见图3.3-34和表3.3-10。从中可以看出，连平</w:t>
      </w:r>
      <w:r>
        <w:rPr>
          <w:szCs w:val="24"/>
          <w:highlight w:val="none"/>
        </w:rPr>
        <w:t>县公益林地总面积为</w:t>
      </w:r>
      <w:r>
        <w:rPr>
          <w:rFonts w:hint="eastAsia"/>
          <w:szCs w:val="24"/>
          <w:highlight w:val="none"/>
        </w:rPr>
        <w:t>107312.99</w:t>
      </w:r>
      <w:r>
        <w:rPr>
          <w:szCs w:val="24"/>
          <w:highlight w:val="none"/>
        </w:rPr>
        <w:t>公顷</w:t>
      </w:r>
      <w:r>
        <w:rPr>
          <w:rFonts w:hint="eastAsia"/>
          <w:szCs w:val="24"/>
          <w:highlight w:val="none"/>
        </w:rPr>
        <w:t>，占国土面积的47.17%。公益林中主要为水源涵养林，面积为94947.09公顷，占公益林总面积的88.47%；其次为自然保护林，面积为11553.36公顷，占公益林总面积的10.77%。水土保持林、风景林、其他防护林以及环境保护林分别占公益林总面积的0.69%、0.033%、0.029%和0.003%。</w:t>
      </w:r>
    </w:p>
    <w:p>
      <w:pPr>
        <w:ind w:firstLine="480"/>
        <w:rPr>
          <w:szCs w:val="24"/>
          <w:highlight w:val="none"/>
        </w:rPr>
      </w:pPr>
      <w:r>
        <w:rPr>
          <w:szCs w:val="24"/>
          <w:highlight w:val="none"/>
        </w:rPr>
        <w:t>从公益林等级划分上统计，</w:t>
      </w:r>
      <w:r>
        <w:rPr>
          <w:rFonts w:hint="eastAsia"/>
          <w:szCs w:val="24"/>
          <w:highlight w:val="none"/>
        </w:rPr>
        <w:t>连平县</w:t>
      </w:r>
      <w:r>
        <w:rPr>
          <w:szCs w:val="24"/>
          <w:highlight w:val="none"/>
        </w:rPr>
        <w:t>国家级公益林面积为</w:t>
      </w:r>
      <w:r>
        <w:rPr>
          <w:rFonts w:hint="eastAsia"/>
          <w:szCs w:val="24"/>
          <w:highlight w:val="none"/>
        </w:rPr>
        <w:t>27346.86</w:t>
      </w:r>
      <w:r>
        <w:rPr>
          <w:szCs w:val="24"/>
          <w:highlight w:val="none"/>
        </w:rPr>
        <w:t>公顷，其中一级</w:t>
      </w:r>
      <w:r>
        <w:rPr>
          <w:rFonts w:hint="eastAsia"/>
          <w:szCs w:val="24"/>
          <w:highlight w:val="none"/>
        </w:rPr>
        <w:t>、</w:t>
      </w:r>
      <w:r>
        <w:rPr>
          <w:szCs w:val="24"/>
          <w:highlight w:val="none"/>
        </w:rPr>
        <w:t>二级公益林面积分别为</w:t>
      </w:r>
      <w:r>
        <w:rPr>
          <w:rFonts w:hint="eastAsia"/>
          <w:szCs w:val="24"/>
          <w:highlight w:val="none"/>
        </w:rPr>
        <w:t>7237.04</w:t>
      </w:r>
      <w:r>
        <w:rPr>
          <w:szCs w:val="24"/>
          <w:highlight w:val="none"/>
        </w:rPr>
        <w:t>公顷</w:t>
      </w:r>
      <w:r>
        <w:rPr>
          <w:rFonts w:hint="eastAsia"/>
          <w:szCs w:val="24"/>
          <w:highlight w:val="none"/>
        </w:rPr>
        <w:t>和20109.83</w:t>
      </w:r>
      <w:r>
        <w:rPr>
          <w:szCs w:val="24"/>
          <w:highlight w:val="none"/>
        </w:rPr>
        <w:t>公顷</w:t>
      </w:r>
      <w:r>
        <w:rPr>
          <w:rFonts w:hint="eastAsia"/>
          <w:szCs w:val="24"/>
          <w:highlight w:val="none"/>
        </w:rPr>
        <w:t>，</w:t>
      </w:r>
      <w:r>
        <w:rPr>
          <w:szCs w:val="24"/>
          <w:highlight w:val="none"/>
        </w:rPr>
        <w:t>分别占国家级公益林面积的</w:t>
      </w:r>
      <w:r>
        <w:rPr>
          <w:rFonts w:hint="eastAsia"/>
          <w:szCs w:val="24"/>
          <w:highlight w:val="none"/>
        </w:rPr>
        <w:t>26.46%和73.54%</w:t>
      </w:r>
      <w:r>
        <w:rPr>
          <w:szCs w:val="24"/>
          <w:highlight w:val="none"/>
        </w:rPr>
        <w:t>。省级公益林面积为</w:t>
      </w:r>
      <w:r>
        <w:rPr>
          <w:rFonts w:hint="eastAsia"/>
          <w:szCs w:val="24"/>
          <w:highlight w:val="none"/>
        </w:rPr>
        <w:t>79966.13</w:t>
      </w:r>
      <w:r>
        <w:rPr>
          <w:szCs w:val="24"/>
          <w:highlight w:val="none"/>
        </w:rPr>
        <w:t>公顷，其中一级</w:t>
      </w:r>
      <w:r>
        <w:rPr>
          <w:rFonts w:hint="eastAsia"/>
          <w:szCs w:val="24"/>
          <w:highlight w:val="none"/>
        </w:rPr>
        <w:t>、</w:t>
      </w:r>
      <w:r>
        <w:rPr>
          <w:szCs w:val="24"/>
          <w:highlight w:val="none"/>
        </w:rPr>
        <w:t>二级和三级公益林面积分别为</w:t>
      </w:r>
      <w:r>
        <w:rPr>
          <w:rFonts w:hint="eastAsia"/>
          <w:szCs w:val="24"/>
          <w:highlight w:val="none"/>
        </w:rPr>
        <w:t>4336.61</w:t>
      </w:r>
      <w:r>
        <w:rPr>
          <w:szCs w:val="24"/>
          <w:highlight w:val="none"/>
        </w:rPr>
        <w:t>公顷</w:t>
      </w:r>
      <w:r>
        <w:rPr>
          <w:rFonts w:hint="eastAsia"/>
          <w:szCs w:val="24"/>
          <w:highlight w:val="none"/>
        </w:rPr>
        <w:t>、74319.81</w:t>
      </w:r>
      <w:r>
        <w:rPr>
          <w:szCs w:val="24"/>
          <w:highlight w:val="none"/>
        </w:rPr>
        <w:t>公顷</w:t>
      </w:r>
      <w:r>
        <w:rPr>
          <w:rFonts w:hint="eastAsia"/>
          <w:szCs w:val="24"/>
          <w:highlight w:val="none"/>
        </w:rPr>
        <w:t>和1309.70</w:t>
      </w:r>
      <w:r>
        <w:rPr>
          <w:szCs w:val="24"/>
          <w:highlight w:val="none"/>
        </w:rPr>
        <w:t>公顷</w:t>
      </w:r>
      <w:r>
        <w:rPr>
          <w:rFonts w:hint="eastAsia"/>
          <w:szCs w:val="24"/>
          <w:highlight w:val="none"/>
        </w:rPr>
        <w:t>，</w:t>
      </w:r>
      <w:r>
        <w:rPr>
          <w:szCs w:val="24"/>
          <w:highlight w:val="none"/>
        </w:rPr>
        <w:t>分别占省级公益林面积的</w:t>
      </w:r>
      <w:r>
        <w:rPr>
          <w:rFonts w:hint="eastAsia"/>
          <w:szCs w:val="24"/>
          <w:highlight w:val="none"/>
        </w:rPr>
        <w:t>5.42%、92.94%和1.64%</w:t>
      </w:r>
      <w:r>
        <w:rPr>
          <w:szCs w:val="24"/>
          <w:highlight w:val="none"/>
        </w:rPr>
        <w:t>。</w:t>
      </w:r>
    </w:p>
    <w:p>
      <w:pPr>
        <w:ind w:firstLine="480"/>
        <w:rPr>
          <w:szCs w:val="24"/>
          <w:highlight w:val="none"/>
        </w:rPr>
      </w:pPr>
      <w:r>
        <w:rPr>
          <w:rFonts w:hint="eastAsia"/>
          <w:szCs w:val="24"/>
          <w:highlight w:val="none"/>
        </w:rPr>
        <w:t>连平县公益林分布详见图3.3-35。从图中可以看出，连平县公益林主要分布在陂头河、连平河、大席河、忠信河流域，西北面贵东河和东南面大湖河、五禾水流域则相对较少。</w:t>
      </w:r>
    </w:p>
    <w:p>
      <w:pPr>
        <w:ind w:firstLine="0" w:firstLineChars="0"/>
        <w:rPr>
          <w:color w:val="FF0000"/>
          <w:szCs w:val="24"/>
          <w:highlight w:val="none"/>
        </w:rPr>
      </w:pPr>
      <w:r>
        <w:rPr>
          <w:highlight w:val="none"/>
        </w:rPr>
        <w:drawing>
          <wp:inline distT="0" distB="0" distL="0" distR="0">
            <wp:extent cx="5267325" cy="3371850"/>
            <wp:effectExtent l="0" t="0" r="9525" b="1905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ind w:firstLine="0" w:firstLineChars="0"/>
        <w:jc w:val="center"/>
        <w:rPr>
          <w:b/>
          <w:szCs w:val="24"/>
          <w:highlight w:val="none"/>
        </w:rPr>
      </w:pPr>
      <w:r>
        <w:rPr>
          <w:rFonts w:hint="eastAsia"/>
          <w:b/>
          <w:szCs w:val="24"/>
          <w:highlight w:val="none"/>
        </w:rPr>
        <w:t>图3.3-34 2022年连平县公益林面积统计图</w:t>
      </w:r>
    </w:p>
    <w:p>
      <w:pPr>
        <w:ind w:firstLine="0" w:firstLineChars="0"/>
        <w:jc w:val="center"/>
        <w:rPr>
          <w:b/>
          <w:szCs w:val="24"/>
          <w:highlight w:val="none"/>
        </w:rPr>
        <w:sectPr>
          <w:pgSz w:w="11907" w:h="16840"/>
          <w:pgMar w:top="1440" w:right="1803" w:bottom="1440" w:left="1803" w:header="851" w:footer="992" w:gutter="0"/>
          <w:cols w:space="0" w:num="1"/>
          <w:docGrid w:type="lines" w:linePitch="326" w:charSpace="0"/>
        </w:sectPr>
      </w:pPr>
    </w:p>
    <w:p>
      <w:pPr>
        <w:ind w:firstLine="0" w:firstLineChars="0"/>
        <w:jc w:val="center"/>
        <w:rPr>
          <w:b/>
          <w:szCs w:val="24"/>
          <w:highlight w:val="none"/>
        </w:rPr>
      </w:pPr>
      <w:r>
        <w:rPr>
          <w:b/>
          <w:szCs w:val="24"/>
          <w:highlight w:val="none"/>
        </w:rPr>
        <w:t>表3.</w:t>
      </w:r>
      <w:r>
        <w:rPr>
          <w:rFonts w:hint="eastAsia"/>
          <w:b/>
          <w:szCs w:val="24"/>
          <w:highlight w:val="none"/>
        </w:rPr>
        <w:t>3</w:t>
      </w:r>
      <w:r>
        <w:rPr>
          <w:b/>
          <w:szCs w:val="24"/>
          <w:highlight w:val="none"/>
        </w:rPr>
        <w:t>-</w:t>
      </w:r>
      <w:r>
        <w:rPr>
          <w:rFonts w:hint="eastAsia"/>
          <w:b/>
          <w:szCs w:val="24"/>
          <w:highlight w:val="none"/>
        </w:rPr>
        <w:t>10</w:t>
      </w:r>
      <w:r>
        <w:rPr>
          <w:b/>
          <w:szCs w:val="24"/>
          <w:highlight w:val="none"/>
        </w:rPr>
        <w:t xml:space="preserve"> </w:t>
      </w:r>
      <w:r>
        <w:rPr>
          <w:rFonts w:hint="eastAsia"/>
          <w:b/>
          <w:szCs w:val="24"/>
          <w:highlight w:val="none"/>
        </w:rPr>
        <w:t>连平</w:t>
      </w:r>
      <w:r>
        <w:rPr>
          <w:b/>
          <w:szCs w:val="24"/>
          <w:highlight w:val="none"/>
        </w:rPr>
        <w:t>县公益林地林种结构统计表</w:t>
      </w:r>
    </w:p>
    <w:tbl>
      <w:tblPr>
        <w:tblStyle w:val="33"/>
        <w:tblW w:w="9337" w:type="dxa"/>
        <w:jc w:val="center"/>
        <w:tblLayout w:type="autofit"/>
        <w:tblCellMar>
          <w:top w:w="0" w:type="dxa"/>
          <w:left w:w="108" w:type="dxa"/>
          <w:bottom w:w="0" w:type="dxa"/>
          <w:right w:w="108" w:type="dxa"/>
        </w:tblCellMar>
      </w:tblPr>
      <w:tblGrid>
        <w:gridCol w:w="893"/>
        <w:gridCol w:w="1192"/>
        <w:gridCol w:w="1232"/>
        <w:gridCol w:w="1055"/>
        <w:gridCol w:w="945"/>
        <w:gridCol w:w="1055"/>
        <w:gridCol w:w="1004"/>
        <w:gridCol w:w="969"/>
        <w:gridCol w:w="992"/>
      </w:tblGrid>
      <w:tr>
        <w:tblPrEx>
          <w:tblCellMar>
            <w:top w:w="0" w:type="dxa"/>
            <w:left w:w="108" w:type="dxa"/>
            <w:bottom w:w="0" w:type="dxa"/>
            <w:right w:w="108" w:type="dxa"/>
          </w:tblCellMar>
        </w:tblPrEx>
        <w:trPr>
          <w:trHeight w:val="246"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事权</w:t>
            </w:r>
          </w:p>
        </w:tc>
        <w:tc>
          <w:tcPr>
            <w:tcW w:w="11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公益林保护等级</w:t>
            </w:r>
          </w:p>
        </w:tc>
        <w:tc>
          <w:tcPr>
            <w:tcW w:w="123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面积合计</w:t>
            </w:r>
          </w:p>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（公顷）</w:t>
            </w:r>
          </w:p>
        </w:tc>
        <w:tc>
          <w:tcPr>
            <w:tcW w:w="305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特种用途林面积（公顷）</w:t>
            </w:r>
          </w:p>
        </w:tc>
        <w:tc>
          <w:tcPr>
            <w:tcW w:w="2965"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防护林面积（公顷）</w:t>
            </w:r>
          </w:p>
        </w:tc>
      </w:tr>
      <w:tr>
        <w:tblPrEx>
          <w:tblCellMar>
            <w:top w:w="0" w:type="dxa"/>
            <w:left w:w="108" w:type="dxa"/>
            <w:bottom w:w="0" w:type="dxa"/>
            <w:right w:w="108" w:type="dxa"/>
          </w:tblCellMar>
        </w:tblPrEx>
        <w:trPr>
          <w:trHeight w:val="32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05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环境保护林</w:t>
            </w:r>
          </w:p>
        </w:tc>
        <w:tc>
          <w:tcPr>
            <w:tcW w:w="94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风景林</w:t>
            </w:r>
          </w:p>
        </w:tc>
        <w:tc>
          <w:tcPr>
            <w:tcW w:w="105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自然保护林</w:t>
            </w:r>
          </w:p>
        </w:tc>
        <w:tc>
          <w:tcPr>
            <w:tcW w:w="10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水源涵养林</w:t>
            </w:r>
          </w:p>
        </w:tc>
        <w:tc>
          <w:tcPr>
            <w:tcW w:w="96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水土保持林</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其它防护林</w:t>
            </w:r>
          </w:p>
        </w:tc>
      </w:tr>
      <w:tr>
        <w:tblPrEx>
          <w:tblCellMar>
            <w:top w:w="0" w:type="dxa"/>
            <w:left w:w="108" w:type="dxa"/>
            <w:bottom w:w="0" w:type="dxa"/>
            <w:right w:w="108" w:type="dxa"/>
          </w:tblCellMar>
        </w:tblPrEx>
        <w:trPr>
          <w:trHeight w:val="32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05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94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05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0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96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r>
      <w:tr>
        <w:tblPrEx>
          <w:tblCellMar>
            <w:top w:w="0" w:type="dxa"/>
            <w:left w:w="108" w:type="dxa"/>
            <w:bottom w:w="0" w:type="dxa"/>
            <w:right w:w="108" w:type="dxa"/>
          </w:tblCellMar>
        </w:tblPrEx>
        <w:trPr>
          <w:trHeight w:val="246"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国家级</w:t>
            </w:r>
          </w:p>
        </w:tc>
        <w:tc>
          <w:tcPr>
            <w:tcW w:w="119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一级</w:t>
            </w:r>
          </w:p>
        </w:tc>
        <w:tc>
          <w:tcPr>
            <w:tcW w:w="123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7237.04</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94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05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6825.76</w:t>
            </w:r>
          </w:p>
        </w:tc>
        <w:tc>
          <w:tcPr>
            <w:tcW w:w="100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411.28</w:t>
            </w:r>
          </w:p>
        </w:tc>
        <w:tc>
          <w:tcPr>
            <w:tcW w:w="96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r>
      <w:tr>
        <w:tblPrEx>
          <w:tblCellMar>
            <w:top w:w="0" w:type="dxa"/>
            <w:left w:w="108" w:type="dxa"/>
            <w:bottom w:w="0" w:type="dxa"/>
            <w:right w:w="108" w:type="dxa"/>
          </w:tblCellMar>
        </w:tblPrEx>
        <w:trPr>
          <w:trHeight w:val="24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1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二级</w:t>
            </w:r>
          </w:p>
        </w:tc>
        <w:tc>
          <w:tcPr>
            <w:tcW w:w="123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20109.83</w:t>
            </w: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9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2180.02</w:t>
            </w:r>
          </w:p>
        </w:tc>
        <w:tc>
          <w:tcPr>
            <w:tcW w:w="10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17406.45</w:t>
            </w:r>
          </w:p>
        </w:tc>
        <w:tc>
          <w:tcPr>
            <w:tcW w:w="9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523.36</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r>
      <w:tr>
        <w:tblPrEx>
          <w:tblCellMar>
            <w:top w:w="0" w:type="dxa"/>
            <w:left w:w="108" w:type="dxa"/>
            <w:bottom w:w="0" w:type="dxa"/>
            <w:right w:w="108" w:type="dxa"/>
          </w:tblCellMar>
        </w:tblPrEx>
        <w:trPr>
          <w:trHeight w:val="246" w:hRule="atLeast"/>
          <w:jc w:val="center"/>
        </w:trPr>
        <w:tc>
          <w:tcPr>
            <w:tcW w:w="89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省级</w:t>
            </w:r>
          </w:p>
        </w:tc>
        <w:tc>
          <w:tcPr>
            <w:tcW w:w="11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一级</w:t>
            </w:r>
          </w:p>
        </w:tc>
        <w:tc>
          <w:tcPr>
            <w:tcW w:w="123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4336.61</w:t>
            </w: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3.41</w:t>
            </w:r>
          </w:p>
        </w:tc>
        <w:tc>
          <w:tcPr>
            <w:tcW w:w="9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35.86</w:t>
            </w: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228.67</w:t>
            </w:r>
          </w:p>
        </w:tc>
        <w:tc>
          <w:tcPr>
            <w:tcW w:w="10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4068.66</w:t>
            </w:r>
          </w:p>
        </w:tc>
        <w:tc>
          <w:tcPr>
            <w:tcW w:w="9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r>
      <w:tr>
        <w:tblPrEx>
          <w:tblCellMar>
            <w:top w:w="0" w:type="dxa"/>
            <w:left w:w="108" w:type="dxa"/>
            <w:bottom w:w="0" w:type="dxa"/>
            <w:right w:w="108" w:type="dxa"/>
          </w:tblCellMar>
        </w:tblPrEx>
        <w:trPr>
          <w:trHeight w:val="246"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1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二级</w:t>
            </w:r>
          </w:p>
        </w:tc>
        <w:tc>
          <w:tcPr>
            <w:tcW w:w="123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74319.81</w:t>
            </w: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9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2318.91</w:t>
            </w:r>
          </w:p>
        </w:tc>
        <w:tc>
          <w:tcPr>
            <w:tcW w:w="10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71806.55</w:t>
            </w:r>
          </w:p>
        </w:tc>
        <w:tc>
          <w:tcPr>
            <w:tcW w:w="9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163.68</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30.68</w:t>
            </w:r>
          </w:p>
        </w:tc>
      </w:tr>
      <w:tr>
        <w:tblPrEx>
          <w:tblCellMar>
            <w:top w:w="0" w:type="dxa"/>
            <w:left w:w="108" w:type="dxa"/>
            <w:bottom w:w="0" w:type="dxa"/>
            <w:right w:w="108" w:type="dxa"/>
          </w:tblCellMar>
        </w:tblPrEx>
        <w:trPr>
          <w:trHeight w:val="246"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11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三级</w:t>
            </w:r>
          </w:p>
        </w:tc>
        <w:tc>
          <w:tcPr>
            <w:tcW w:w="123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1309.70</w:t>
            </w: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9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0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100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1254.15</w:t>
            </w:r>
          </w:p>
        </w:tc>
        <w:tc>
          <w:tcPr>
            <w:tcW w:w="96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55.56</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r>
    </w:tbl>
    <w:p>
      <w:pPr>
        <w:ind w:firstLine="480"/>
        <w:rPr>
          <w:szCs w:val="24"/>
          <w:highlight w:val="none"/>
        </w:rPr>
      </w:pPr>
      <w:r>
        <w:rPr>
          <w:rFonts w:hint="eastAsia"/>
          <w:szCs w:val="24"/>
          <w:highlight w:val="none"/>
        </w:rPr>
        <w:t>2018~2022年连平县公益林面积及一、二类公益林面积比例如图3.3-36所示。从中可以看出，近年来连平县生态功能逐年增强，生态公益林面积由105551.85公顷提高到107312.99公顷，生态公益林中一、二类林面积比例由98.49%提高到98.78%。</w:t>
      </w:r>
    </w:p>
    <w:p>
      <w:pPr>
        <w:ind w:firstLine="0" w:firstLineChars="0"/>
        <w:rPr>
          <w:szCs w:val="24"/>
          <w:highlight w:val="none"/>
        </w:rPr>
      </w:pPr>
      <w:r>
        <w:rPr>
          <w:highlight w:val="none"/>
        </w:rPr>
        <w:drawing>
          <wp:inline distT="0" distB="0" distL="0" distR="0">
            <wp:extent cx="5267325" cy="3724275"/>
            <wp:effectExtent l="0" t="0" r="9525"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ind w:firstLine="0" w:firstLineChars="0"/>
        <w:jc w:val="center"/>
        <w:rPr>
          <w:szCs w:val="24"/>
          <w:highlight w:val="none"/>
        </w:rPr>
      </w:pPr>
      <w:r>
        <w:rPr>
          <w:rFonts w:hint="eastAsia"/>
          <w:b/>
          <w:szCs w:val="24"/>
          <w:highlight w:val="none"/>
        </w:rPr>
        <w:t>图3.3-36 2022年连平县公益林面积统计图</w:t>
      </w:r>
    </w:p>
    <w:p>
      <w:pPr>
        <w:ind w:firstLine="480"/>
        <w:rPr>
          <w:szCs w:val="24"/>
          <w:highlight w:val="none"/>
        </w:rPr>
        <w:sectPr>
          <w:pgSz w:w="11907" w:h="16840"/>
          <w:pgMar w:top="1440" w:right="1803" w:bottom="1440" w:left="1803" w:header="851" w:footer="992" w:gutter="0"/>
          <w:cols w:space="0" w:num="1"/>
          <w:docGrid w:type="lines" w:linePitch="326" w:charSpace="0"/>
        </w:sectPr>
      </w:pPr>
    </w:p>
    <w:p>
      <w:pPr>
        <w:pStyle w:val="90"/>
        <w:numPr>
          <w:ilvl w:val="3"/>
          <w:numId w:val="1"/>
        </w:numPr>
        <w:spacing w:before="0" w:beforeLines="0" w:after="0" w:afterLines="0"/>
        <w:ind w:left="0" w:firstLine="0"/>
        <w:rPr>
          <w:rFonts w:eastAsia="宋体"/>
          <w:highlight w:val="none"/>
        </w:rPr>
      </w:pPr>
      <w:r>
        <w:rPr>
          <w:rFonts w:hint="eastAsia" w:eastAsia="宋体"/>
          <w:highlight w:val="none"/>
        </w:rPr>
        <w:t>森林自然度</w:t>
      </w:r>
    </w:p>
    <w:p>
      <w:pPr>
        <w:ind w:firstLine="480"/>
        <w:rPr>
          <w:szCs w:val="24"/>
          <w:highlight w:val="none"/>
        </w:rPr>
      </w:pPr>
      <w:r>
        <w:rPr>
          <w:szCs w:val="24"/>
          <w:highlight w:val="none"/>
        </w:rPr>
        <w:t>森林自然度反映现实森林类型与地带性原始顶极森林类型的差异程度,是反映森林质量和生态状况的一项重要指标。根据森林自然度的含义，将森林自然度划分成Ⅰ~Ⅴ个等级，具体划分标准如下。</w:t>
      </w:r>
    </w:p>
    <w:p>
      <w:pPr>
        <w:ind w:firstLine="0" w:firstLineChars="0"/>
        <w:jc w:val="center"/>
        <w:rPr>
          <w:b/>
          <w:szCs w:val="24"/>
          <w:highlight w:val="none"/>
        </w:rPr>
      </w:pPr>
      <w:r>
        <w:rPr>
          <w:b/>
          <w:szCs w:val="24"/>
          <w:highlight w:val="none"/>
        </w:rPr>
        <w:t>表3.</w:t>
      </w:r>
      <w:r>
        <w:rPr>
          <w:rFonts w:hint="eastAsia"/>
          <w:b/>
          <w:szCs w:val="24"/>
          <w:highlight w:val="none"/>
        </w:rPr>
        <w:t>3</w:t>
      </w:r>
      <w:r>
        <w:rPr>
          <w:b/>
          <w:szCs w:val="24"/>
          <w:highlight w:val="none"/>
        </w:rPr>
        <w:t>-</w:t>
      </w:r>
      <w:r>
        <w:rPr>
          <w:rFonts w:hint="eastAsia"/>
          <w:b/>
          <w:szCs w:val="24"/>
          <w:highlight w:val="none"/>
        </w:rPr>
        <w:t>11</w:t>
      </w:r>
      <w:r>
        <w:rPr>
          <w:b/>
          <w:szCs w:val="24"/>
          <w:highlight w:val="none"/>
        </w:rPr>
        <w:t xml:space="preserve"> 森林自然度划分标准</w:t>
      </w:r>
    </w:p>
    <w:tbl>
      <w:tblPr>
        <w:tblStyle w:val="181"/>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7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0" w:type="dxa"/>
            <w:vAlign w:val="center"/>
          </w:tcPr>
          <w:p>
            <w:pPr>
              <w:spacing w:line="240" w:lineRule="auto"/>
              <w:ind w:firstLine="0" w:firstLineChars="0"/>
              <w:jc w:val="center"/>
              <w:rPr>
                <w:b/>
                <w:sz w:val="21"/>
                <w:szCs w:val="21"/>
                <w:highlight w:val="none"/>
              </w:rPr>
            </w:pPr>
            <w:r>
              <w:rPr>
                <w:b/>
                <w:sz w:val="21"/>
                <w:szCs w:val="21"/>
                <w:highlight w:val="none"/>
              </w:rPr>
              <w:t>自然度</w:t>
            </w:r>
          </w:p>
        </w:tc>
        <w:tc>
          <w:tcPr>
            <w:tcW w:w="7853" w:type="dxa"/>
            <w:vAlign w:val="center"/>
          </w:tcPr>
          <w:p>
            <w:pPr>
              <w:spacing w:line="240" w:lineRule="auto"/>
              <w:ind w:firstLine="0" w:firstLineChars="0"/>
              <w:jc w:val="center"/>
              <w:rPr>
                <w:b/>
                <w:sz w:val="21"/>
                <w:szCs w:val="21"/>
                <w:highlight w:val="none"/>
              </w:rPr>
            </w:pPr>
            <w:r>
              <w:rPr>
                <w:b/>
                <w:sz w:val="21"/>
                <w:szCs w:val="21"/>
                <w:highlight w:val="none"/>
              </w:rPr>
              <w:t>划分标准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70" w:type="dxa"/>
            <w:vAlign w:val="center"/>
          </w:tcPr>
          <w:p>
            <w:pPr>
              <w:spacing w:line="240" w:lineRule="auto"/>
              <w:ind w:firstLine="0" w:firstLineChars="0"/>
              <w:jc w:val="center"/>
              <w:rPr>
                <w:sz w:val="21"/>
                <w:szCs w:val="21"/>
                <w:highlight w:val="none"/>
              </w:rPr>
            </w:pPr>
            <w:r>
              <w:rPr>
                <w:sz w:val="21"/>
                <w:szCs w:val="21"/>
                <w:highlight w:val="none"/>
              </w:rPr>
              <w:t>Ⅰ</w:t>
            </w:r>
          </w:p>
        </w:tc>
        <w:tc>
          <w:tcPr>
            <w:tcW w:w="7853" w:type="dxa"/>
            <w:vAlign w:val="center"/>
          </w:tcPr>
          <w:p>
            <w:pPr>
              <w:spacing w:line="240" w:lineRule="auto"/>
              <w:ind w:firstLine="0" w:firstLineChars="0"/>
              <w:jc w:val="center"/>
              <w:rPr>
                <w:sz w:val="21"/>
                <w:szCs w:val="21"/>
                <w:highlight w:val="none"/>
              </w:rPr>
            </w:pPr>
            <w:r>
              <w:rPr>
                <w:sz w:val="21"/>
                <w:szCs w:val="21"/>
                <w:highlight w:val="none"/>
              </w:rPr>
              <w:t>原始或受人为影响很小而处于基本原始状态的森林类型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70" w:type="dxa"/>
            <w:vAlign w:val="center"/>
          </w:tcPr>
          <w:p>
            <w:pPr>
              <w:spacing w:line="240" w:lineRule="auto"/>
              <w:ind w:firstLine="0" w:firstLineChars="0"/>
              <w:jc w:val="center"/>
              <w:rPr>
                <w:sz w:val="21"/>
                <w:szCs w:val="21"/>
                <w:highlight w:val="none"/>
              </w:rPr>
            </w:pPr>
            <w:r>
              <w:rPr>
                <w:sz w:val="21"/>
                <w:szCs w:val="21"/>
                <w:highlight w:val="none"/>
              </w:rPr>
              <w:t>Ⅱ</w:t>
            </w:r>
          </w:p>
        </w:tc>
        <w:tc>
          <w:tcPr>
            <w:tcW w:w="7853" w:type="dxa"/>
            <w:vAlign w:val="center"/>
          </w:tcPr>
          <w:p>
            <w:pPr>
              <w:spacing w:line="240" w:lineRule="auto"/>
              <w:ind w:firstLine="0" w:firstLineChars="0"/>
              <w:jc w:val="center"/>
              <w:rPr>
                <w:sz w:val="21"/>
                <w:szCs w:val="21"/>
                <w:highlight w:val="none"/>
              </w:rPr>
            </w:pPr>
            <w:r>
              <w:rPr>
                <w:sz w:val="21"/>
                <w:szCs w:val="21"/>
                <w:highlight w:val="none"/>
              </w:rPr>
              <w:t>有明显人为干扰的天然森林类型或处于演替后期的次生森林类型，以地带性顶极适应值较高的树种为主，顶极树种明显可见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70" w:type="dxa"/>
            <w:vAlign w:val="center"/>
          </w:tcPr>
          <w:p>
            <w:pPr>
              <w:spacing w:line="240" w:lineRule="auto"/>
              <w:ind w:firstLine="0" w:firstLineChars="0"/>
              <w:jc w:val="center"/>
              <w:rPr>
                <w:sz w:val="21"/>
                <w:szCs w:val="21"/>
                <w:highlight w:val="none"/>
              </w:rPr>
            </w:pPr>
            <w:r>
              <w:rPr>
                <w:sz w:val="21"/>
                <w:szCs w:val="21"/>
                <w:highlight w:val="none"/>
              </w:rPr>
              <w:t>Ⅲ</w:t>
            </w:r>
          </w:p>
        </w:tc>
        <w:tc>
          <w:tcPr>
            <w:tcW w:w="7853" w:type="dxa"/>
            <w:vAlign w:val="center"/>
          </w:tcPr>
          <w:p>
            <w:pPr>
              <w:spacing w:line="240" w:lineRule="auto"/>
              <w:ind w:firstLine="0" w:firstLineChars="0"/>
              <w:jc w:val="center"/>
              <w:rPr>
                <w:sz w:val="21"/>
                <w:szCs w:val="21"/>
                <w:highlight w:val="none"/>
              </w:rPr>
            </w:pPr>
            <w:r>
              <w:rPr>
                <w:sz w:val="21"/>
                <w:szCs w:val="21"/>
                <w:highlight w:val="none"/>
              </w:rPr>
              <w:t>人为干扰很大的次生森林类型，处于次生演替的后期阶段，除先锋树种外，也可见顶极树种出现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0" w:type="dxa"/>
            <w:vAlign w:val="center"/>
          </w:tcPr>
          <w:p>
            <w:pPr>
              <w:spacing w:line="240" w:lineRule="auto"/>
              <w:ind w:firstLine="0" w:firstLineChars="0"/>
              <w:jc w:val="center"/>
              <w:rPr>
                <w:sz w:val="21"/>
                <w:szCs w:val="21"/>
                <w:highlight w:val="none"/>
              </w:rPr>
            </w:pPr>
            <w:r>
              <w:rPr>
                <w:sz w:val="21"/>
                <w:szCs w:val="21"/>
                <w:highlight w:val="none"/>
              </w:rPr>
              <w:t>Ⅳ</w:t>
            </w:r>
          </w:p>
        </w:tc>
        <w:tc>
          <w:tcPr>
            <w:tcW w:w="7853" w:type="dxa"/>
            <w:vAlign w:val="center"/>
          </w:tcPr>
          <w:p>
            <w:pPr>
              <w:spacing w:line="240" w:lineRule="auto"/>
              <w:ind w:firstLine="0" w:firstLineChars="0"/>
              <w:jc w:val="center"/>
              <w:rPr>
                <w:sz w:val="21"/>
                <w:szCs w:val="21"/>
                <w:highlight w:val="none"/>
              </w:rPr>
            </w:pPr>
            <w:r>
              <w:rPr>
                <w:sz w:val="21"/>
                <w:szCs w:val="21"/>
                <w:highlight w:val="none"/>
              </w:rPr>
              <w:t>人为干扰很大，演替逆行，处于极为残次的次生林阶段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70" w:type="dxa"/>
            <w:vAlign w:val="center"/>
          </w:tcPr>
          <w:p>
            <w:pPr>
              <w:spacing w:line="240" w:lineRule="auto"/>
              <w:ind w:firstLine="0" w:firstLineChars="0"/>
              <w:jc w:val="center"/>
              <w:rPr>
                <w:sz w:val="21"/>
                <w:szCs w:val="21"/>
                <w:highlight w:val="none"/>
              </w:rPr>
            </w:pPr>
            <w:r>
              <w:rPr>
                <w:sz w:val="21"/>
                <w:szCs w:val="21"/>
                <w:highlight w:val="none"/>
              </w:rPr>
              <w:t>Ⅴ</w:t>
            </w:r>
          </w:p>
        </w:tc>
        <w:tc>
          <w:tcPr>
            <w:tcW w:w="7853" w:type="dxa"/>
            <w:vAlign w:val="center"/>
          </w:tcPr>
          <w:p>
            <w:pPr>
              <w:spacing w:line="240" w:lineRule="auto"/>
              <w:ind w:firstLine="0" w:firstLineChars="0"/>
              <w:jc w:val="center"/>
              <w:rPr>
                <w:sz w:val="21"/>
                <w:szCs w:val="21"/>
                <w:highlight w:val="none"/>
              </w:rPr>
            </w:pPr>
            <w:r>
              <w:rPr>
                <w:sz w:val="21"/>
                <w:szCs w:val="21"/>
                <w:highlight w:val="none"/>
              </w:rPr>
              <w:t>人为干扰强度极大且持续，地带性森林类型几乎破坏殆尽，处于难以恢复的逆行演替后期，包括各种人工森林类型</w:t>
            </w:r>
          </w:p>
        </w:tc>
      </w:tr>
    </w:tbl>
    <w:p>
      <w:pPr>
        <w:ind w:firstLine="0" w:firstLineChars="0"/>
        <w:jc w:val="center"/>
        <w:rPr>
          <w:b/>
          <w:highlight w:val="none"/>
        </w:rPr>
      </w:pPr>
      <w:r>
        <w:rPr>
          <w:rFonts w:hint="eastAsia"/>
          <w:b/>
          <w:highlight w:val="none"/>
        </w:rPr>
        <w:t>表3.3-12 连平县森林自然度比例统计表</w:t>
      </w:r>
    </w:p>
    <w:tbl>
      <w:tblPr>
        <w:tblStyle w:val="33"/>
        <w:tblW w:w="8180" w:type="dxa"/>
        <w:tblInd w:w="93" w:type="dxa"/>
        <w:tblLayout w:type="autofit"/>
        <w:tblCellMar>
          <w:top w:w="0" w:type="dxa"/>
          <w:left w:w="108" w:type="dxa"/>
          <w:bottom w:w="0" w:type="dxa"/>
          <w:right w:w="108" w:type="dxa"/>
        </w:tblCellMar>
      </w:tblPr>
      <w:tblGrid>
        <w:gridCol w:w="1700"/>
        <w:gridCol w:w="1020"/>
        <w:gridCol w:w="900"/>
        <w:gridCol w:w="1140"/>
        <w:gridCol w:w="1140"/>
        <w:gridCol w:w="1140"/>
        <w:gridCol w:w="1140"/>
      </w:tblGrid>
      <w:tr>
        <w:tblPrEx>
          <w:tblCellMar>
            <w:top w:w="0" w:type="dxa"/>
            <w:left w:w="108" w:type="dxa"/>
            <w:bottom w:w="0" w:type="dxa"/>
            <w:right w:w="108" w:type="dxa"/>
          </w:tblCellMar>
        </w:tblPrEx>
        <w:trPr>
          <w:trHeight w:val="361" w:hRule="exact"/>
        </w:trPr>
        <w:tc>
          <w:tcPr>
            <w:tcW w:w="17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统计单位</w:t>
            </w:r>
          </w:p>
        </w:tc>
        <w:tc>
          <w:tcPr>
            <w:tcW w:w="6480" w:type="dxa"/>
            <w:gridSpan w:val="6"/>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森林自然度比例（%）</w:t>
            </w:r>
          </w:p>
        </w:tc>
      </w:tr>
      <w:tr>
        <w:tblPrEx>
          <w:tblCellMar>
            <w:top w:w="0" w:type="dxa"/>
            <w:left w:w="108" w:type="dxa"/>
            <w:bottom w:w="0" w:type="dxa"/>
            <w:right w:w="108" w:type="dxa"/>
          </w:tblCellMar>
        </w:tblPrEx>
        <w:trPr>
          <w:trHeight w:val="361" w:hRule="exact"/>
        </w:trPr>
        <w:tc>
          <w:tcPr>
            <w:tcW w:w="17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color w:val="000000"/>
                <w:kern w:val="0"/>
                <w:sz w:val="21"/>
                <w:szCs w:val="21"/>
                <w:highlight w:val="none"/>
              </w:rPr>
            </w:pP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合计</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Ⅰ</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Ⅱ</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Ⅲ</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Ⅳ</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color w:val="000000"/>
                <w:kern w:val="0"/>
                <w:sz w:val="21"/>
                <w:szCs w:val="21"/>
                <w:highlight w:val="none"/>
              </w:rPr>
            </w:pPr>
            <w:r>
              <w:rPr>
                <w:b/>
                <w:color w:val="000000"/>
                <w:kern w:val="0"/>
                <w:sz w:val="21"/>
                <w:szCs w:val="21"/>
                <w:highlight w:val="none"/>
              </w:rPr>
              <w:t>Ⅴ</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陂头</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27.07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29.33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3.31</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40.29</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大湖</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19.91</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6.3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1.74</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72.05</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高莞</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12.56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16.7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5.87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64.87</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黄牛石林场</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85.76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5.46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2.49</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5.68</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莲塘茶场</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林科所</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38.06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32.58</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29.35</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隆街</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47.56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6.83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0.44</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44.88</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内莞</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36.12</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18.66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14.21</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31</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三角</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0.31</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1.75</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96.91</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上坪</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0.67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44.06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14.49</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4.47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36.31</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田源</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4.46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49.53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2.23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0.17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43.61</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溪山</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38.46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1.94</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58.53</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绣缎</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0.26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5.26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0.93</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93.55</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油溪</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0.26</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44.19</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16.32</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5.09</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34.13</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元善</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38.5</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18.12</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22.67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20.7</w:t>
            </w:r>
          </w:p>
        </w:tc>
      </w:tr>
      <w:tr>
        <w:tblPrEx>
          <w:tblCellMar>
            <w:top w:w="0" w:type="dxa"/>
            <w:left w:w="108" w:type="dxa"/>
            <w:bottom w:w="0" w:type="dxa"/>
            <w:right w:w="108" w:type="dxa"/>
          </w:tblCellMar>
        </w:tblPrEx>
        <w:trPr>
          <w:trHeight w:val="361" w:hRule="exact"/>
        </w:trPr>
        <w:tc>
          <w:tcPr>
            <w:tcW w:w="170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忠信</w:t>
            </w:r>
          </w:p>
        </w:tc>
        <w:tc>
          <w:tcPr>
            <w:tcW w:w="102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100</w:t>
            </w:r>
          </w:p>
        </w:tc>
        <w:tc>
          <w:tcPr>
            <w:tcW w:w="9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0</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9.62</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17.47</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2.79</w:t>
            </w:r>
          </w:p>
        </w:tc>
        <w:tc>
          <w:tcPr>
            <w:tcW w:w="11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70.13</w:t>
            </w:r>
          </w:p>
        </w:tc>
      </w:tr>
    </w:tbl>
    <w:p>
      <w:pPr>
        <w:ind w:firstLine="480"/>
        <w:rPr>
          <w:highlight w:val="none"/>
        </w:rPr>
        <w:sectPr>
          <w:pgSz w:w="11907" w:h="16840"/>
          <w:pgMar w:top="1440" w:right="1803" w:bottom="1440" w:left="1803" w:header="851" w:footer="992" w:gutter="0"/>
          <w:cols w:space="0" w:num="1"/>
          <w:docGrid w:type="lines" w:linePitch="326" w:charSpace="0"/>
        </w:sectPr>
      </w:pPr>
      <w:r>
        <w:rPr>
          <w:rFonts w:hint="eastAsia"/>
          <w:highlight w:val="none"/>
        </w:rPr>
        <w:t>根据连平县资源调查数据统计，连平县Ⅰ~Ⅴ级自然度林地面积分别为717.98公顷、69810.42公顷、28034.36公顷、13248.21公顷和75651.99公顷，分别占全县林地面积的0.38%、37.24%、14.95%、7.07%和40.36%。由此可见，连平县处于原始状态的森林类型占比很低，仅为0.38%，森林受人为干扰比例大，Ⅴ级自然度占比达40.36%。从空间分布上看，受人为干扰程度最大的为东南部忠信河、大湖河、五禾水流域，涉及三角镇、绣缎镇、大湖镇、忠信镇、高莞镇、莲塘茶场，Ⅴ级自然度占比分别达96.91%、93.55%、72.05%、70.13%、64.87%和100%。</w:t>
      </w:r>
    </w:p>
    <w:p>
      <w:pPr>
        <w:pStyle w:val="90"/>
        <w:numPr>
          <w:ilvl w:val="3"/>
          <w:numId w:val="1"/>
        </w:numPr>
        <w:spacing w:before="0" w:beforeLines="0" w:after="0" w:afterLines="0"/>
        <w:ind w:left="0" w:firstLine="0"/>
        <w:rPr>
          <w:rFonts w:eastAsia="宋体"/>
          <w:highlight w:val="none"/>
        </w:rPr>
      </w:pPr>
      <w:r>
        <w:rPr>
          <w:rFonts w:hint="eastAsia" w:eastAsia="宋体"/>
          <w:highlight w:val="none"/>
        </w:rPr>
        <w:t>功能分区</w:t>
      </w:r>
    </w:p>
    <w:p>
      <w:pPr>
        <w:ind w:firstLine="480"/>
        <w:rPr>
          <w:szCs w:val="24"/>
          <w:highlight w:val="none"/>
        </w:rPr>
      </w:pPr>
      <w:r>
        <w:rPr>
          <w:szCs w:val="24"/>
          <w:highlight w:val="none"/>
        </w:rPr>
        <w:t>根据</w:t>
      </w:r>
      <w:r>
        <w:rPr>
          <w:rFonts w:hint="eastAsia"/>
          <w:szCs w:val="24"/>
          <w:highlight w:val="none"/>
        </w:rPr>
        <w:t>《河源市连平县林地保护利用规划（2021-2035年）》（2021.1），结合连平县的自然地理条件、生态区位重要性、林业生产条件、资源分布情况等，将连平县林地利用区划为：西部水土保持与森林生态景观区、中部低山丘陵风景林与森林城市经营区、西南部丘陵特色经济林与水源涵养林经营区、东南部盆地水土保持林与大径级用材林经营区。</w:t>
      </w:r>
    </w:p>
    <w:p>
      <w:pPr>
        <w:ind w:firstLine="0" w:firstLineChars="0"/>
        <w:jc w:val="center"/>
        <w:rPr>
          <w:b/>
          <w:szCs w:val="24"/>
          <w:highlight w:val="none"/>
        </w:rPr>
      </w:pPr>
      <w:r>
        <w:rPr>
          <w:rFonts w:hint="eastAsia"/>
          <w:b/>
          <w:szCs w:val="24"/>
          <w:highlight w:val="none"/>
        </w:rPr>
        <w:t>表3.3-1</w:t>
      </w:r>
      <w:r>
        <w:rPr>
          <w:b/>
          <w:szCs w:val="24"/>
          <w:highlight w:val="none"/>
        </w:rPr>
        <w:t xml:space="preserve">1 </w:t>
      </w:r>
      <w:r>
        <w:rPr>
          <w:rFonts w:hint="eastAsia"/>
          <w:b/>
          <w:szCs w:val="24"/>
          <w:highlight w:val="none"/>
        </w:rPr>
        <w:t>连平县林地利用分区一览表</w:t>
      </w:r>
    </w:p>
    <w:tbl>
      <w:tblPr>
        <w:tblStyle w:val="33"/>
        <w:tblW w:w="87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4227"/>
        <w:gridCol w:w="3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 w:hRule="atLeast"/>
          <w:tblHeader/>
          <w:jc w:val="center"/>
        </w:trPr>
        <w:tc>
          <w:tcPr>
            <w:tcW w:w="710" w:type="dxa"/>
            <w:vAlign w:val="center"/>
          </w:tcPr>
          <w:p>
            <w:pPr>
              <w:spacing w:line="240" w:lineRule="auto"/>
              <w:ind w:firstLine="0" w:firstLineChars="0"/>
              <w:jc w:val="center"/>
              <w:rPr>
                <w:b/>
                <w:sz w:val="21"/>
                <w:szCs w:val="21"/>
                <w:highlight w:val="none"/>
              </w:rPr>
            </w:pPr>
            <w:r>
              <w:rPr>
                <w:b/>
                <w:sz w:val="21"/>
                <w:szCs w:val="21"/>
                <w:highlight w:val="none"/>
              </w:rPr>
              <w:t>序号</w:t>
            </w:r>
          </w:p>
        </w:tc>
        <w:tc>
          <w:tcPr>
            <w:tcW w:w="4227" w:type="dxa"/>
            <w:vAlign w:val="center"/>
          </w:tcPr>
          <w:p>
            <w:pPr>
              <w:spacing w:line="240" w:lineRule="auto"/>
              <w:ind w:firstLine="0" w:firstLineChars="0"/>
              <w:jc w:val="center"/>
              <w:rPr>
                <w:b/>
                <w:sz w:val="21"/>
                <w:szCs w:val="21"/>
                <w:highlight w:val="none"/>
              </w:rPr>
            </w:pPr>
            <w:r>
              <w:rPr>
                <w:b/>
                <w:sz w:val="21"/>
                <w:szCs w:val="21"/>
                <w:highlight w:val="none"/>
              </w:rPr>
              <w:t>功能分区</w:t>
            </w:r>
          </w:p>
        </w:tc>
        <w:tc>
          <w:tcPr>
            <w:tcW w:w="3807" w:type="dxa"/>
            <w:vAlign w:val="center"/>
          </w:tcPr>
          <w:p>
            <w:pPr>
              <w:spacing w:line="240" w:lineRule="auto"/>
              <w:ind w:firstLine="0" w:firstLineChars="0"/>
              <w:jc w:val="center"/>
              <w:rPr>
                <w:b/>
                <w:sz w:val="21"/>
                <w:szCs w:val="21"/>
                <w:highlight w:val="none"/>
              </w:rPr>
            </w:pPr>
            <w:r>
              <w:rPr>
                <w:b/>
                <w:sz w:val="21"/>
                <w:szCs w:val="21"/>
                <w:highlight w:val="none"/>
              </w:rPr>
              <w:t>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710" w:type="dxa"/>
            <w:vAlign w:val="center"/>
          </w:tcPr>
          <w:p>
            <w:pPr>
              <w:spacing w:line="240" w:lineRule="auto"/>
              <w:ind w:firstLine="0" w:firstLineChars="0"/>
              <w:jc w:val="center"/>
              <w:rPr>
                <w:sz w:val="21"/>
                <w:szCs w:val="21"/>
                <w:highlight w:val="none"/>
              </w:rPr>
            </w:pPr>
            <w:r>
              <w:rPr>
                <w:sz w:val="21"/>
                <w:szCs w:val="21"/>
                <w:highlight w:val="none"/>
              </w:rPr>
              <w:t>1</w:t>
            </w:r>
          </w:p>
        </w:tc>
        <w:tc>
          <w:tcPr>
            <w:tcW w:w="4227" w:type="dxa"/>
            <w:vAlign w:val="center"/>
          </w:tcPr>
          <w:p>
            <w:pPr>
              <w:spacing w:line="240" w:lineRule="auto"/>
              <w:ind w:firstLine="0" w:firstLineChars="0"/>
              <w:jc w:val="center"/>
              <w:rPr>
                <w:sz w:val="21"/>
                <w:szCs w:val="21"/>
                <w:highlight w:val="none"/>
              </w:rPr>
            </w:pPr>
            <w:r>
              <w:rPr>
                <w:rFonts w:hint="eastAsia"/>
                <w:sz w:val="21"/>
                <w:szCs w:val="21"/>
                <w:highlight w:val="none"/>
              </w:rPr>
              <w:t>西部水土保持与森林生态景观区</w:t>
            </w:r>
          </w:p>
        </w:tc>
        <w:tc>
          <w:tcPr>
            <w:tcW w:w="3807" w:type="dxa"/>
            <w:vAlign w:val="center"/>
          </w:tcPr>
          <w:p>
            <w:pPr>
              <w:spacing w:line="240" w:lineRule="auto"/>
              <w:ind w:firstLine="0" w:firstLineChars="0"/>
              <w:jc w:val="center"/>
              <w:rPr>
                <w:sz w:val="21"/>
                <w:szCs w:val="21"/>
                <w:highlight w:val="none"/>
              </w:rPr>
            </w:pPr>
            <w:r>
              <w:rPr>
                <w:rFonts w:hint="eastAsia"/>
                <w:sz w:val="21"/>
                <w:szCs w:val="21"/>
                <w:highlight w:val="none"/>
              </w:rPr>
              <w:t>陂头、上坪、内莞和黄牛石自然保护区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710" w:type="dxa"/>
            <w:vAlign w:val="center"/>
          </w:tcPr>
          <w:p>
            <w:pPr>
              <w:spacing w:line="240" w:lineRule="auto"/>
              <w:ind w:firstLine="0" w:firstLineChars="0"/>
              <w:jc w:val="center"/>
              <w:rPr>
                <w:sz w:val="21"/>
                <w:szCs w:val="21"/>
                <w:highlight w:val="none"/>
              </w:rPr>
            </w:pPr>
            <w:r>
              <w:rPr>
                <w:sz w:val="21"/>
                <w:szCs w:val="21"/>
                <w:highlight w:val="none"/>
              </w:rPr>
              <w:t>2</w:t>
            </w:r>
          </w:p>
        </w:tc>
        <w:tc>
          <w:tcPr>
            <w:tcW w:w="4227" w:type="dxa"/>
            <w:vAlign w:val="center"/>
          </w:tcPr>
          <w:p>
            <w:pPr>
              <w:spacing w:line="240" w:lineRule="auto"/>
              <w:ind w:firstLine="0" w:firstLineChars="0"/>
              <w:jc w:val="center"/>
              <w:rPr>
                <w:sz w:val="21"/>
                <w:szCs w:val="21"/>
                <w:highlight w:val="none"/>
              </w:rPr>
            </w:pPr>
            <w:r>
              <w:rPr>
                <w:rFonts w:hint="eastAsia"/>
                <w:sz w:val="21"/>
                <w:szCs w:val="21"/>
                <w:highlight w:val="none"/>
              </w:rPr>
              <w:t>中部低山丘陵风景林与森林城市经营区</w:t>
            </w:r>
          </w:p>
        </w:tc>
        <w:tc>
          <w:tcPr>
            <w:tcW w:w="3807" w:type="dxa"/>
            <w:vAlign w:val="center"/>
          </w:tcPr>
          <w:p>
            <w:pPr>
              <w:spacing w:line="240" w:lineRule="auto"/>
              <w:ind w:firstLine="0" w:firstLineChars="0"/>
              <w:jc w:val="center"/>
              <w:rPr>
                <w:sz w:val="21"/>
                <w:szCs w:val="21"/>
                <w:highlight w:val="none"/>
              </w:rPr>
            </w:pPr>
            <w:r>
              <w:rPr>
                <w:rFonts w:hint="eastAsia"/>
                <w:sz w:val="21"/>
                <w:szCs w:val="21"/>
                <w:highlight w:val="none"/>
              </w:rPr>
              <w:t>元善镇和林科所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710" w:type="dxa"/>
            <w:vAlign w:val="center"/>
          </w:tcPr>
          <w:p>
            <w:pPr>
              <w:spacing w:line="240" w:lineRule="auto"/>
              <w:ind w:firstLine="0" w:firstLineChars="0"/>
              <w:jc w:val="center"/>
              <w:rPr>
                <w:sz w:val="21"/>
                <w:szCs w:val="21"/>
                <w:highlight w:val="none"/>
              </w:rPr>
            </w:pPr>
            <w:r>
              <w:rPr>
                <w:sz w:val="21"/>
                <w:szCs w:val="21"/>
                <w:highlight w:val="none"/>
              </w:rPr>
              <w:t>3</w:t>
            </w:r>
          </w:p>
        </w:tc>
        <w:tc>
          <w:tcPr>
            <w:tcW w:w="4227" w:type="dxa"/>
            <w:vAlign w:val="center"/>
          </w:tcPr>
          <w:p>
            <w:pPr>
              <w:spacing w:line="240" w:lineRule="auto"/>
              <w:ind w:firstLine="0" w:firstLineChars="0"/>
              <w:jc w:val="center"/>
              <w:rPr>
                <w:sz w:val="21"/>
                <w:szCs w:val="21"/>
                <w:highlight w:val="none"/>
              </w:rPr>
            </w:pPr>
            <w:r>
              <w:rPr>
                <w:rFonts w:hint="eastAsia"/>
                <w:sz w:val="21"/>
                <w:szCs w:val="21"/>
                <w:highlight w:val="none"/>
              </w:rPr>
              <w:t>西南部丘陵特色经济林与水源涵养林经营区</w:t>
            </w:r>
          </w:p>
        </w:tc>
        <w:tc>
          <w:tcPr>
            <w:tcW w:w="3807" w:type="dxa"/>
            <w:vAlign w:val="center"/>
          </w:tcPr>
          <w:p>
            <w:pPr>
              <w:spacing w:line="240" w:lineRule="auto"/>
              <w:ind w:firstLine="0" w:firstLineChars="0"/>
              <w:jc w:val="center"/>
              <w:rPr>
                <w:sz w:val="21"/>
                <w:szCs w:val="21"/>
                <w:highlight w:val="none"/>
              </w:rPr>
            </w:pPr>
            <w:r>
              <w:rPr>
                <w:rFonts w:hint="eastAsia"/>
                <w:sz w:val="21"/>
                <w:szCs w:val="21"/>
                <w:highlight w:val="none"/>
              </w:rPr>
              <w:t>隆街、溪山、田源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710" w:type="dxa"/>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4227" w:type="dxa"/>
            <w:vAlign w:val="center"/>
          </w:tcPr>
          <w:p>
            <w:pPr>
              <w:spacing w:line="240" w:lineRule="auto"/>
              <w:ind w:firstLine="0" w:firstLineChars="0"/>
              <w:jc w:val="center"/>
              <w:rPr>
                <w:sz w:val="21"/>
                <w:szCs w:val="21"/>
                <w:highlight w:val="none"/>
              </w:rPr>
            </w:pPr>
            <w:r>
              <w:rPr>
                <w:rFonts w:hint="eastAsia"/>
                <w:sz w:val="21"/>
                <w:szCs w:val="21"/>
                <w:highlight w:val="none"/>
              </w:rPr>
              <w:t>东南部盆地水土保持林与大径级用材林经营区</w:t>
            </w:r>
          </w:p>
        </w:tc>
        <w:tc>
          <w:tcPr>
            <w:tcW w:w="3807" w:type="dxa"/>
            <w:vAlign w:val="center"/>
          </w:tcPr>
          <w:p>
            <w:pPr>
              <w:spacing w:line="240" w:lineRule="auto"/>
              <w:ind w:firstLine="0" w:firstLineChars="0"/>
              <w:jc w:val="center"/>
              <w:rPr>
                <w:sz w:val="21"/>
                <w:szCs w:val="21"/>
                <w:highlight w:val="none"/>
              </w:rPr>
            </w:pPr>
            <w:r>
              <w:rPr>
                <w:rFonts w:hint="eastAsia"/>
                <w:sz w:val="21"/>
                <w:szCs w:val="21"/>
                <w:highlight w:val="none"/>
              </w:rPr>
              <w:t>忠信、大湖、绣缎、油溪、高莞、</w:t>
            </w:r>
          </w:p>
          <w:p>
            <w:pPr>
              <w:spacing w:line="240" w:lineRule="auto"/>
              <w:ind w:firstLine="0" w:firstLineChars="0"/>
              <w:jc w:val="center"/>
              <w:rPr>
                <w:sz w:val="21"/>
                <w:szCs w:val="21"/>
                <w:highlight w:val="none"/>
              </w:rPr>
            </w:pPr>
            <w:r>
              <w:rPr>
                <w:rFonts w:hint="eastAsia"/>
                <w:sz w:val="21"/>
                <w:szCs w:val="21"/>
                <w:highlight w:val="none"/>
              </w:rPr>
              <w:t>三角和莲塘茶场</w:t>
            </w:r>
          </w:p>
        </w:tc>
      </w:tr>
    </w:tbl>
    <w:p>
      <w:pPr>
        <w:ind w:firstLine="482"/>
        <w:rPr>
          <w:b/>
          <w:szCs w:val="24"/>
          <w:highlight w:val="none"/>
        </w:rPr>
      </w:pPr>
      <w:r>
        <w:rPr>
          <w:rFonts w:hint="eastAsia"/>
          <w:b/>
          <w:szCs w:val="24"/>
          <w:highlight w:val="none"/>
        </w:rPr>
        <w:t>1. 西部水土保持与森林生态景观区</w:t>
      </w:r>
    </w:p>
    <w:p>
      <w:pPr>
        <w:ind w:firstLine="480"/>
        <w:rPr>
          <w:szCs w:val="24"/>
          <w:highlight w:val="none"/>
        </w:rPr>
      </w:pPr>
      <w:r>
        <w:rPr>
          <w:rFonts w:hint="eastAsia"/>
          <w:szCs w:val="24"/>
          <w:highlight w:val="none"/>
        </w:rPr>
        <w:t>该区包括陂头、上坪、内莞和黄牛石自然保护区。林地利用方向以保护自然和人工营造的阔叶混交林为重点，大力建设水源涵养林和水土保持林，保护水源、保持水土；因地制宜、保持自然生态系统的稳定与安全，维护生态平衡和生物多样性，保护森林生态环境。本区集中了全县最为核心的自然保护地资源。黄牛石省级自然保护区坚持自然修复、严格保育的方针，保护森林生态系统多样性，使生物物种丰富化，食物链复杂化，森林层次结构和森林风景质量得到改善，水源涵养和水土保持功能得到加强，打造北部绿色生态屏障。其余乡镇石灰岩地区森林以保护和局部改造为主，提高森林覆盖率，提升森林质量，建立稳定、优质的森林生态系统；充分利用石灰岩地质和森林资源发展生态旅游，提升山区森林旅游品质。其它山地丘陵森林加快林分更新和改造步伐，提高针阔和阔叶混交林比例。严禁与主体功能不相符的各项建设，严禁任何有悖于保护目的的各项林地利用活动；除法律法规另有规定外，禁止建设用地调整边界；区内各类建设项目确需占用林地的，要组织论证评估，尽量缩小使用林地规模。</w:t>
      </w:r>
    </w:p>
    <w:p>
      <w:pPr>
        <w:ind w:firstLine="482"/>
        <w:rPr>
          <w:b/>
          <w:szCs w:val="24"/>
          <w:highlight w:val="none"/>
        </w:rPr>
      </w:pPr>
      <w:r>
        <w:rPr>
          <w:rFonts w:hint="eastAsia"/>
          <w:b/>
          <w:szCs w:val="24"/>
          <w:highlight w:val="none"/>
        </w:rPr>
        <w:t>2. 中部低山丘陵风景林与森林城市经营区</w:t>
      </w:r>
    </w:p>
    <w:p>
      <w:pPr>
        <w:ind w:firstLine="480"/>
        <w:rPr>
          <w:szCs w:val="24"/>
          <w:highlight w:val="none"/>
        </w:rPr>
      </w:pPr>
      <w:r>
        <w:rPr>
          <w:rFonts w:hint="eastAsia"/>
          <w:szCs w:val="24"/>
          <w:highlight w:val="none"/>
        </w:rPr>
        <w:t>该区包括元善镇和林科所。林地利用方向为：大力发展城市林业，建设城市森林，改善和提升城市生态环境质量和品味，加强对新丰江水库、鹤湖水库集雨范围林地保护，强化水土流失地区水土保持林的恢复和发展，封育保护南亚热带季风常绿阔叶林植被；利用优良的气候条件和较为丰富的林地资源，增加乡土景观树种的比例，形成多树种、多层次、多色彩的季相变化明显的生态风景林，改善城市森林面貌，使城乡规划与生态环境相协调，实现森林经营规划在生态、经济和社会三个效益层面的有机统一。</w:t>
      </w:r>
    </w:p>
    <w:p>
      <w:pPr>
        <w:ind w:firstLine="482"/>
        <w:rPr>
          <w:b/>
          <w:szCs w:val="24"/>
          <w:highlight w:val="none"/>
        </w:rPr>
      </w:pPr>
      <w:r>
        <w:rPr>
          <w:rFonts w:hint="eastAsia"/>
          <w:b/>
          <w:szCs w:val="24"/>
          <w:highlight w:val="none"/>
        </w:rPr>
        <w:t>3. 西南部丘陵特色经济林与水源涵养林经营区</w:t>
      </w:r>
    </w:p>
    <w:p>
      <w:pPr>
        <w:ind w:firstLine="480"/>
        <w:rPr>
          <w:szCs w:val="24"/>
          <w:highlight w:val="none"/>
        </w:rPr>
      </w:pPr>
      <w:r>
        <w:rPr>
          <w:rFonts w:hint="eastAsia"/>
          <w:szCs w:val="24"/>
          <w:highlight w:val="none"/>
        </w:rPr>
        <w:t>该区包括隆街、溪山、田源镇。林地利用方向为：发展丘陵地区特色林业产业，提升柑桔、三华李、青梅等林产品的品质，打造连平最大的水果产原地。推进林下经济发展，形成林上林下两个经济层，最优化利用森林空间。充分发挥该地带的经济林资源优势，发展生态旅游，打造森林生态与特色林业观光结合的新兴旅游产品，实现丘陵区林业特色产业“三个效益”最大化。加大沿溪、沿江等水源涵养林保护与建设和水土流失治理，全面提高森林涵养水源能力，增加灾害抵御能力。挖掘林地生产潜力，培育集约经营的商品林和珍贵大径级阔叶混交林，大幅提高森林质量，建立优质高效的森林生态系统。全面实施马尾松、杉木等人工纯林提质和退化林修复工程，增加复层针阔混交林比重，强化水土流失地区水土保持林的恢复和发展，封育保护南亚热带季风常绿阔叶林植被；利用优良的气候条件和较为丰富的林地资源，适度发展优质经济林（果树）。公益林保护等级Ⅰ级的林地必须进行严格保育；经济林种植线以上的其他林地，采用林分改造措施营造阔叶混交林，进一步改善林相和森林结构，提升森林景观质量，使该功能区成为既能出产高品质林产品，又能发挥重要生态效能的示范区。</w:t>
      </w:r>
    </w:p>
    <w:p>
      <w:pPr>
        <w:ind w:firstLine="482"/>
        <w:rPr>
          <w:b/>
          <w:szCs w:val="24"/>
          <w:highlight w:val="none"/>
        </w:rPr>
      </w:pPr>
      <w:r>
        <w:rPr>
          <w:rFonts w:hint="eastAsia"/>
          <w:b/>
          <w:szCs w:val="24"/>
          <w:highlight w:val="none"/>
        </w:rPr>
        <w:t>4. 东南部盆地水土保持林与大径级用材林经营区</w:t>
      </w:r>
    </w:p>
    <w:p>
      <w:pPr>
        <w:ind w:firstLine="480"/>
        <w:rPr>
          <w:szCs w:val="24"/>
          <w:highlight w:val="none"/>
        </w:rPr>
        <w:sectPr>
          <w:pgSz w:w="11907" w:h="16840"/>
          <w:pgMar w:top="1440" w:right="1803" w:bottom="1440" w:left="1803" w:header="851" w:footer="992" w:gutter="0"/>
          <w:cols w:space="0" w:num="1"/>
          <w:docGrid w:type="lines" w:linePitch="326" w:charSpace="0"/>
        </w:sectPr>
      </w:pPr>
      <w:r>
        <w:rPr>
          <w:rFonts w:hint="eastAsia"/>
          <w:szCs w:val="24"/>
          <w:highlight w:val="none"/>
        </w:rPr>
        <w:t>该区包括忠信、大湖、绣缎、油溪、高莞、三角和莲塘茶场。该区森林覆盖率和乔木林公顷蓄积量均低于全县平均水平，退化次生林面积13278.82公顷，占乔木林面积的 34.86%，通过科学营林对退化次生林林分结构进行优化，拓展林地养分空间，增强生态系统的水土保持功能，强化森林对病虫害和干旱、霜冻等灾害的抵抗力，提升木材品质和林木储备能力，促使该区域往大径材培育方向发展。着力推进经济林集约化经营进程，科学管理和规划经济林的生产，充分利用盆地地形带来的雨水和积温优势，重点提升经济林林产品质量。</w:t>
      </w:r>
    </w:p>
    <w:p>
      <w:pPr>
        <w:pStyle w:val="90"/>
        <w:numPr>
          <w:ilvl w:val="3"/>
          <w:numId w:val="1"/>
        </w:numPr>
        <w:spacing w:before="0" w:beforeLines="0" w:after="0" w:afterLines="0"/>
        <w:ind w:left="0" w:firstLine="0"/>
        <w:rPr>
          <w:rFonts w:eastAsia="宋体"/>
          <w:highlight w:val="none"/>
        </w:rPr>
      </w:pPr>
      <w:r>
        <w:rPr>
          <w:rFonts w:eastAsia="宋体"/>
          <w:highlight w:val="none"/>
        </w:rPr>
        <w:t>工作成效</w:t>
      </w:r>
    </w:p>
    <w:p>
      <w:pPr>
        <w:ind w:firstLine="480"/>
        <w:rPr>
          <w:highlight w:val="none"/>
        </w:rPr>
      </w:pPr>
      <w:r>
        <w:rPr>
          <w:rFonts w:hint="eastAsia"/>
          <w:highlight w:val="none"/>
        </w:rPr>
        <w:t>“十三五”期间，连平县以森林资源管理、造林绿化等为重点，开展“绿化连平”大行动，提高生态林业质量。认真落实严管措施，强化林地征占用管理，完善征占用林地审核，坚持“保护合法、打击非法”查处滥伐盗伐林木，乱征乱占林地，捕猎野生动物、采挖野生植物等违法行为，有效保护了森林资源。完成了森林资源管理“一张图”年度更新工作，将各年度林地审批、林木采伐、违规案件、病虫害、火烧迹地、造林面积、抚育面积、生态公益林落界、天然林落界、督查图斑、地质灾害等森林资源变化情况，通过“广东省森林资源档案在线更新系统”进行“一张图”更新，及时掌握连平县森林资源情况的变化情况。稳步推进碳汇造林、森林抚育等重点工程，生态建设取得明显成效。据统计，“十三五”期间连平县造林抚育面积达53.87万亩，其中碳汇林/高质量水源林造林4.93万亩，碳汇林/高质量水源林抚育23.46万亩，中央森林抚育25.48万亩。</w:t>
      </w:r>
    </w:p>
    <w:p>
      <w:pPr>
        <w:pStyle w:val="90"/>
        <w:numPr>
          <w:ilvl w:val="3"/>
          <w:numId w:val="1"/>
        </w:numPr>
        <w:spacing w:before="0" w:beforeLines="0" w:after="0" w:afterLines="0"/>
        <w:ind w:left="0" w:firstLine="0"/>
        <w:rPr>
          <w:rFonts w:eastAsia="宋体"/>
          <w:highlight w:val="none"/>
        </w:rPr>
      </w:pPr>
      <w:r>
        <w:rPr>
          <w:rFonts w:eastAsia="宋体"/>
          <w:highlight w:val="none"/>
        </w:rPr>
        <w:t>问题诊断</w:t>
      </w:r>
    </w:p>
    <w:p>
      <w:pPr>
        <w:ind w:firstLine="482"/>
        <w:rPr>
          <w:szCs w:val="24"/>
          <w:highlight w:val="none"/>
        </w:rPr>
      </w:pPr>
      <w:r>
        <w:rPr>
          <w:rFonts w:hint="eastAsia"/>
          <w:b/>
          <w:szCs w:val="24"/>
          <w:highlight w:val="none"/>
        </w:rPr>
        <w:t>森林质量总体不高。</w:t>
      </w:r>
      <w:r>
        <w:rPr>
          <w:rFonts w:hint="eastAsia"/>
          <w:szCs w:val="24"/>
          <w:highlight w:val="none"/>
        </w:rPr>
        <w:t>幼龄林、中龄林所占比例偏大，占乔木林蓄积量的37.07%，公益林的林龄与生态效益有密切的关系，中幼龄林所占比例过大，影响公益林生态效益的发挥。纯林多、混交林少，公益林林分组成中纯林比重大，其中以其他软阔、马尾松、杉木、桉树、湿地松为主，合占公益林蓄积量的65.34%。树种结构较单一，以其它软阔、针阔混交林和马尾松（广东松）为主，合占森林总蓄积量的75.81%。人为干扰大，全县处于原始状态的森林类型占比很低，仅为0.38%，Ⅴ级自然度占比达40.36%，尤其是东南部忠信河、大湖河、五禾水流域，包括三角镇、绣缎镇、大湖镇、忠信镇、高莞镇、莲塘茶场等，Ⅴ级自然度面积比例64.87%~100%。</w:t>
      </w:r>
    </w:p>
    <w:p>
      <w:pPr>
        <w:ind w:firstLine="482"/>
        <w:rPr>
          <w:szCs w:val="24"/>
          <w:highlight w:val="none"/>
        </w:rPr>
      </w:pPr>
      <w:r>
        <w:rPr>
          <w:rFonts w:hint="eastAsia"/>
          <w:b/>
          <w:szCs w:val="24"/>
          <w:highlight w:val="none"/>
        </w:rPr>
        <w:t>松材线虫病等林业有害生物威胁大。</w:t>
      </w:r>
      <w:r>
        <w:rPr>
          <w:rFonts w:hint="eastAsia"/>
          <w:szCs w:val="24"/>
          <w:highlight w:val="none"/>
        </w:rPr>
        <w:t>连平县松林面积达54多万亩，根据2022年松材线虫病普查结果，全县松材线虫病发生疫情面积达13.07万亩，枯死松树18375株（含普查前已除治1487株），尤其是105国道、粤赣高速、大广</w:t>
      </w:r>
      <w:r>
        <w:rPr>
          <w:rFonts w:hint="eastAsia"/>
          <w:szCs w:val="24"/>
          <w:highlight w:val="none"/>
          <w:lang w:eastAsia="zh-CN"/>
        </w:rPr>
        <w:t>高速</w:t>
      </w:r>
      <w:r>
        <w:rPr>
          <w:rFonts w:hint="eastAsia"/>
          <w:szCs w:val="24"/>
          <w:highlight w:val="none"/>
        </w:rPr>
        <w:t>、昆汕</w:t>
      </w:r>
      <w:r>
        <w:rPr>
          <w:rFonts w:hint="eastAsia"/>
          <w:szCs w:val="24"/>
          <w:highlight w:val="none"/>
          <w:lang w:eastAsia="zh-CN"/>
        </w:rPr>
        <w:t>高速</w:t>
      </w:r>
      <w:r>
        <w:rPr>
          <w:rFonts w:hint="eastAsia"/>
          <w:szCs w:val="24"/>
          <w:highlight w:val="none"/>
        </w:rPr>
        <w:t>、武深高速、341线省道沿线两旁松林及县城、镇周边均分布着松材线虫病枯死树，疫区相互传播蔓延，严重威胁连平森林资源安全，松材线虫病防控压力重。另外，全县林地内红火蚁发生面积达1019亩，群众对红火蚁的危害认识不足，存在除治不及时、用药不得法、除治不彻底现象。</w:t>
      </w:r>
    </w:p>
    <w:p>
      <w:pPr>
        <w:ind w:firstLine="482"/>
        <w:rPr>
          <w:szCs w:val="24"/>
          <w:highlight w:val="none"/>
        </w:rPr>
        <w:sectPr>
          <w:pgSz w:w="11907" w:h="16840"/>
          <w:pgMar w:top="1440" w:right="1803" w:bottom="1440" w:left="1803" w:header="851" w:footer="992" w:gutter="0"/>
          <w:cols w:space="0" w:num="1"/>
          <w:docGrid w:type="lines" w:linePitch="326" w:charSpace="0"/>
        </w:sectPr>
      </w:pPr>
      <w:r>
        <w:rPr>
          <w:rFonts w:hint="eastAsia"/>
          <w:b/>
          <w:szCs w:val="24"/>
          <w:highlight w:val="none"/>
        </w:rPr>
        <w:t>土壤侵蚀、石漠化等土地退化问题仍较突出。</w:t>
      </w:r>
      <w:r>
        <w:rPr>
          <w:rFonts w:hint="eastAsia"/>
          <w:szCs w:val="24"/>
          <w:highlight w:val="none"/>
        </w:rPr>
        <w:t>森林生态系统土壤侵蚀、石漠化等土地退化问题仍较突出，2022年连平森林生态系统土壤侵蚀面积达2622.28公顷，占林业用地面积的1.40%。其中以九连山林场、上坪镇、隆街镇和溪山镇为主，分别占总侵蚀面积的28.45%、17.81%、17.18%和14.25%；从侵蚀强度来看，以轻微侵蚀为主，占总侵蚀面积的97.32%；中级、强度、剧烈侵蚀分别占总侵蚀面积的0.93%、1.41%和0.35%。石漠化面积达760.71公顷，其中以溪山镇、陂头镇为主，分别占石漠化总面积的48.61%和33.13%；从石漠化强度来看，以轻度和中度石漠化为主，面积分别达331.16公顷和322.59公顷，分别占石漠化总面积的43.53%和42.41%。土壤侵蚀、石漠化等土地退化问题分布范围广，生态敏感性等级脆弱。</w:t>
      </w:r>
    </w:p>
    <w:p>
      <w:pPr>
        <w:ind w:left="-720" w:leftChars="-300" w:right="-720" w:rightChars="-300" w:firstLine="0" w:firstLineChars="0"/>
        <w:rPr>
          <w:b/>
          <w:szCs w:val="24"/>
          <w:highlight w:val="none"/>
        </w:rPr>
      </w:pPr>
      <w:r>
        <w:rPr>
          <w:color w:val="5E5E5E"/>
          <w:highlight w:val="none"/>
        </w:rPr>
        <w:drawing>
          <wp:inline distT="0" distB="0" distL="0" distR="0">
            <wp:extent cx="6091555" cy="3858895"/>
            <wp:effectExtent l="0" t="0" r="4445" b="825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ind w:left="-720" w:leftChars="-300" w:right="-720" w:rightChars="-300" w:firstLine="0" w:firstLineChars="0"/>
        <w:jc w:val="center"/>
        <w:rPr>
          <w:b/>
          <w:szCs w:val="24"/>
          <w:highlight w:val="none"/>
        </w:rPr>
      </w:pPr>
      <w:r>
        <w:rPr>
          <w:rFonts w:hint="eastAsia"/>
          <w:b/>
          <w:szCs w:val="24"/>
          <w:highlight w:val="none"/>
        </w:rPr>
        <w:t>图3.3-39 连平县石漠化面积统计图</w:t>
      </w:r>
    </w:p>
    <w:p>
      <w:pPr>
        <w:ind w:left="-720" w:leftChars="-300" w:right="-720" w:rightChars="-300" w:firstLine="0" w:firstLineChars="0"/>
        <w:jc w:val="center"/>
        <w:rPr>
          <w:b/>
          <w:szCs w:val="24"/>
          <w:highlight w:val="none"/>
        </w:rPr>
      </w:pPr>
      <w:r>
        <w:rPr>
          <w:highlight w:val="none"/>
        </w:rPr>
        <w:drawing>
          <wp:inline distT="0" distB="0" distL="0" distR="0">
            <wp:extent cx="5961380" cy="4025265"/>
            <wp:effectExtent l="0" t="0" r="127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ind w:left="-720" w:leftChars="-300" w:right="-720" w:rightChars="-300" w:firstLine="0" w:firstLineChars="0"/>
        <w:jc w:val="center"/>
        <w:rPr>
          <w:b/>
          <w:szCs w:val="24"/>
          <w:highlight w:val="none"/>
        </w:rPr>
      </w:pPr>
      <w:r>
        <w:rPr>
          <w:rFonts w:hint="eastAsia"/>
          <w:b/>
          <w:szCs w:val="24"/>
          <w:highlight w:val="none"/>
        </w:rPr>
        <w:t>图3.3-40 林地土壤侵蚀面积统计图</w:t>
      </w:r>
    </w:p>
    <w:p>
      <w:pPr>
        <w:ind w:left="-720" w:leftChars="-300" w:right="-720" w:rightChars="-300" w:firstLine="482"/>
        <w:jc w:val="center"/>
        <w:rPr>
          <w:b/>
          <w:color w:val="FF0000"/>
          <w:szCs w:val="24"/>
          <w:highlight w:val="none"/>
        </w:rPr>
        <w:sectPr>
          <w:pgSz w:w="11907" w:h="16840"/>
          <w:pgMar w:top="1440" w:right="1803" w:bottom="1440" w:left="1803" w:header="851" w:footer="992" w:gutter="0"/>
          <w:cols w:space="0" w:num="1"/>
          <w:docGrid w:type="lines" w:linePitch="326" w:charSpace="0"/>
        </w:sectPr>
      </w:pPr>
    </w:p>
    <w:p>
      <w:pPr>
        <w:pStyle w:val="89"/>
        <w:numPr>
          <w:ilvl w:val="2"/>
          <w:numId w:val="1"/>
        </w:numPr>
        <w:ind w:left="0" w:firstLine="0"/>
        <w:rPr>
          <w:rFonts w:eastAsia="宋体"/>
          <w:highlight w:val="none"/>
        </w:rPr>
      </w:pPr>
      <w:bookmarkStart w:id="67" w:name="_Toc140764113"/>
      <w:r>
        <w:rPr>
          <w:rFonts w:eastAsia="宋体"/>
          <w:highlight w:val="none"/>
        </w:rPr>
        <w:t>生物多样性</w:t>
      </w:r>
      <w:bookmarkEnd w:id="67"/>
    </w:p>
    <w:p>
      <w:pPr>
        <w:pStyle w:val="90"/>
        <w:numPr>
          <w:ilvl w:val="3"/>
          <w:numId w:val="1"/>
        </w:numPr>
        <w:spacing w:before="0" w:beforeLines="0" w:after="0" w:afterLines="0"/>
        <w:ind w:left="0" w:firstLine="0"/>
        <w:rPr>
          <w:rFonts w:eastAsia="宋体"/>
          <w:highlight w:val="none"/>
        </w:rPr>
      </w:pPr>
      <w:r>
        <w:rPr>
          <w:rFonts w:hint="eastAsia" w:eastAsia="宋体"/>
          <w:highlight w:val="none"/>
        </w:rPr>
        <w:t>总体概况</w:t>
      </w:r>
    </w:p>
    <w:p>
      <w:pPr>
        <w:ind w:firstLine="480"/>
        <w:rPr>
          <w:szCs w:val="24"/>
          <w:highlight w:val="none"/>
        </w:rPr>
      </w:pPr>
      <w:r>
        <w:rPr>
          <w:rFonts w:hint="eastAsia"/>
          <w:szCs w:val="24"/>
          <w:highlight w:val="none"/>
        </w:rPr>
        <w:t>连平作为粤北地区重要生态屏障和南岭山脉生态保护的重要核心区、南岭生物多样性保护优先区，生物多样性丰富，森林生态系统和珍稀野生动植物具有明显的地区典型性和地带性。截至2023年5月，经县林业局调查发现，连平县境内野生动物主要有两栖爬行动物20多种、哺乳动物20多种、鸟类50多种、昆虫100多种。按样地调查及标本采集，连平县内已发现的主要野生植物有1368种，其中苔藓8科8属8种、蕨类36科72属121种、裸子植物5科7属7种、被子植物152科617属1232种（双子叶植物127科489属1022种、单子叶植物25科128属210种）。</w:t>
      </w:r>
    </w:p>
    <w:p>
      <w:pPr>
        <w:pStyle w:val="90"/>
        <w:numPr>
          <w:ilvl w:val="3"/>
          <w:numId w:val="1"/>
        </w:numPr>
        <w:spacing w:before="0" w:beforeLines="0" w:after="0" w:afterLines="0"/>
        <w:ind w:left="0" w:firstLine="0"/>
        <w:rPr>
          <w:rFonts w:eastAsia="宋体"/>
          <w:highlight w:val="none"/>
        </w:rPr>
      </w:pPr>
      <w:r>
        <w:rPr>
          <w:rFonts w:hint="eastAsia" w:eastAsia="宋体"/>
          <w:highlight w:val="none"/>
        </w:rPr>
        <w:t>生物多样性保护</w:t>
      </w:r>
    </w:p>
    <w:p>
      <w:pPr>
        <w:ind w:firstLine="482"/>
        <w:rPr>
          <w:szCs w:val="24"/>
          <w:highlight w:val="none"/>
        </w:rPr>
      </w:pPr>
      <w:r>
        <w:rPr>
          <w:rFonts w:hint="eastAsia"/>
          <w:b/>
          <w:szCs w:val="24"/>
          <w:highlight w:val="none"/>
        </w:rPr>
        <w:t>国家生物多样性保护优先区划定。</w:t>
      </w:r>
      <w:r>
        <w:rPr>
          <w:rFonts w:hint="eastAsia"/>
          <w:szCs w:val="24"/>
          <w:highlight w:val="none"/>
        </w:rPr>
        <w:t>2015年，为贯彻落实国务院批准发布的《中国生物多样性保护战略与行动计划（2011-2030年）》，加强生物多样性保护优先区域保护与监管，原环境保护部组织开展了生物多样性保护优先区域边界核定工作，确定了中国生物多样性保护优先区域范围。连平县九连村、上坪镇位于南岭生物多样性保护优先区，其中包括黄牛石自然保护区。</w:t>
      </w:r>
    </w:p>
    <w:p>
      <w:pPr>
        <w:ind w:firstLine="482"/>
        <w:rPr>
          <w:szCs w:val="24"/>
          <w:highlight w:val="none"/>
        </w:rPr>
      </w:pPr>
      <w:r>
        <w:rPr>
          <w:rFonts w:hint="eastAsia"/>
          <w:b/>
          <w:szCs w:val="24"/>
          <w:highlight w:val="none"/>
        </w:rPr>
        <w:t>自然保护地整合优化。</w:t>
      </w:r>
      <w:r>
        <w:rPr>
          <w:rFonts w:hint="eastAsia"/>
          <w:szCs w:val="24"/>
          <w:highlight w:val="none"/>
        </w:rPr>
        <w:t>连平县已完成自然保护地整合优化方案编制，整合优化后省级自然保护区1处，为河源黄牛石自然保护区，主要保护对象包括：中亚热带常绿阔叶林森林生态系统；国家重点保护的珍稀动植物物种，特别是我国、我省特有种；国家重点保护动物的栖息地和珍稀植物的原生地；奇特的自然景观资源；新丰江上游水源地。市县级自然保护区3处，面积共7526.51公顷。自然保护区在有效保护自然资源、生态系统和生物多样性等方面发挥了主体作用。</w:t>
      </w:r>
    </w:p>
    <w:p>
      <w:pPr>
        <w:ind w:firstLine="480"/>
        <w:rPr>
          <w:szCs w:val="24"/>
          <w:highlight w:val="none"/>
        </w:rPr>
      </w:pPr>
      <w:r>
        <w:rPr>
          <w:rFonts w:hint="eastAsia"/>
          <w:szCs w:val="24"/>
          <w:highlight w:val="none"/>
        </w:rPr>
        <w:t>根据2022年广东省林业局公布，河源黄牛石自然保护区共记录到陆生野生脊椎动物26目80科223种，蝶类9科81属113种，其中国家一级重点保护野生动物3种，分别为黄腹角雉、穿山甲和金斑喙凤蝶，国家二级重点保护野生动物34种；共记录到维管植物214科787属1620余种（栽培植物72种），大型真菌22科31属52种，其中珍稀濒危野生保护植物20科37属51种，国家重点保护野生植物28种，国家一级保护植物1种，为南方红豆杉；金线兰等国家二级保护物种27种。</w:t>
      </w:r>
    </w:p>
    <w:p>
      <w:pPr>
        <w:ind w:firstLine="0" w:firstLineChars="0"/>
        <w:jc w:val="center"/>
        <w:rPr>
          <w:b/>
          <w:szCs w:val="24"/>
          <w:highlight w:val="none"/>
        </w:rPr>
      </w:pPr>
      <w:r>
        <w:rPr>
          <w:rFonts w:hint="eastAsia"/>
          <w:b/>
          <w:szCs w:val="24"/>
          <w:highlight w:val="none"/>
        </w:rPr>
        <w:t>表3.3-12 连平县自然保护区及主要保护对象</w:t>
      </w:r>
    </w:p>
    <w:tbl>
      <w:tblPr>
        <w:tblStyle w:val="33"/>
        <w:tblW w:w="8457" w:type="dxa"/>
        <w:jc w:val="center"/>
        <w:tblLayout w:type="autofit"/>
        <w:tblCellMar>
          <w:top w:w="0" w:type="dxa"/>
          <w:left w:w="108" w:type="dxa"/>
          <w:bottom w:w="0" w:type="dxa"/>
          <w:right w:w="108" w:type="dxa"/>
        </w:tblCellMar>
      </w:tblPr>
      <w:tblGrid>
        <w:gridCol w:w="739"/>
        <w:gridCol w:w="3450"/>
        <w:gridCol w:w="854"/>
        <w:gridCol w:w="3414"/>
      </w:tblGrid>
      <w:tr>
        <w:tblPrEx>
          <w:tblCellMar>
            <w:top w:w="0" w:type="dxa"/>
            <w:left w:w="108" w:type="dxa"/>
            <w:bottom w:w="0" w:type="dxa"/>
            <w:right w:w="108" w:type="dxa"/>
          </w:tblCellMar>
        </w:tblPrEx>
        <w:trPr>
          <w:trHeight w:val="302"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序号</w:t>
            </w:r>
          </w:p>
        </w:tc>
        <w:tc>
          <w:tcPr>
            <w:tcW w:w="345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自然保护地名称</w:t>
            </w:r>
          </w:p>
        </w:tc>
        <w:tc>
          <w:tcPr>
            <w:tcW w:w="85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级别</w:t>
            </w:r>
          </w:p>
        </w:tc>
        <w:tc>
          <w:tcPr>
            <w:tcW w:w="3414"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主要保护对象</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1</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河源黄牛石自然保护区</w:t>
            </w:r>
          </w:p>
        </w:tc>
        <w:tc>
          <w:tcPr>
            <w:tcW w:w="854" w:type="dxa"/>
            <w:vMerge w:val="restart"/>
            <w:tcBorders>
              <w:top w:val="nil"/>
              <w:left w:val="nil"/>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rFonts w:hint="eastAsia"/>
                <w:color w:val="000000"/>
                <w:kern w:val="0"/>
                <w:sz w:val="21"/>
                <w:szCs w:val="21"/>
                <w:highlight w:val="none"/>
              </w:rPr>
              <w:t>地方级</w:t>
            </w:r>
          </w:p>
        </w:tc>
        <w:tc>
          <w:tcPr>
            <w:tcW w:w="3414" w:type="dxa"/>
            <w:tcBorders>
              <w:top w:val="nil"/>
              <w:left w:val="nil"/>
              <w:bottom w:val="single" w:color="auto" w:sz="4" w:space="0"/>
              <w:right w:val="single" w:color="auto" w:sz="4" w:space="0"/>
            </w:tcBorders>
          </w:tcPr>
          <w:p>
            <w:pPr>
              <w:widowControl/>
              <w:spacing w:line="240" w:lineRule="auto"/>
              <w:ind w:firstLine="0" w:firstLineChars="0"/>
              <w:jc w:val="left"/>
              <w:rPr>
                <w:color w:val="000000"/>
                <w:kern w:val="0"/>
                <w:sz w:val="21"/>
                <w:szCs w:val="21"/>
                <w:highlight w:val="none"/>
              </w:rPr>
            </w:pPr>
            <w:r>
              <w:rPr>
                <w:rFonts w:hint="eastAsia"/>
                <w:color w:val="000000"/>
                <w:kern w:val="0"/>
                <w:sz w:val="21"/>
                <w:szCs w:val="21"/>
                <w:highlight w:val="none"/>
              </w:rPr>
              <w:t>中亚热带常绿阔叶林森林生态系统；国家重点保护的珍稀动植物物种，特别是我国、我省特有种；国家重点保护动物的栖息地和珍稀植物的原生地；奇特的自然景观资源；新丰江上游水源地</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2</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河源连平西山自然保护区</w:t>
            </w:r>
          </w:p>
        </w:tc>
        <w:tc>
          <w:tcPr>
            <w:tcW w:w="854" w:type="dxa"/>
            <w:vMerge w:val="continue"/>
            <w:tcBorders>
              <w:left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p>
        </w:tc>
        <w:tc>
          <w:tcPr>
            <w:tcW w:w="3414" w:type="dxa"/>
            <w:tcBorders>
              <w:top w:val="nil"/>
              <w:left w:val="single" w:color="auto" w:sz="4" w:space="0"/>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阔叶林珍稀动植物</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3</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河源连平河头自然保护区</w:t>
            </w:r>
          </w:p>
        </w:tc>
        <w:tc>
          <w:tcPr>
            <w:tcW w:w="854"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14" w:type="dxa"/>
            <w:tcBorders>
              <w:top w:val="nil"/>
              <w:left w:val="single" w:color="auto" w:sz="4" w:space="0"/>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阔叶林珍稀动植物</w:t>
            </w:r>
          </w:p>
        </w:tc>
      </w:tr>
      <w:tr>
        <w:tblPrEx>
          <w:tblCellMar>
            <w:top w:w="0" w:type="dxa"/>
            <w:left w:w="108" w:type="dxa"/>
            <w:bottom w:w="0" w:type="dxa"/>
            <w:right w:w="108" w:type="dxa"/>
          </w:tblCellMar>
        </w:tblPrEx>
        <w:trPr>
          <w:trHeight w:val="302" w:hRule="atLeast"/>
          <w:jc w:val="center"/>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4</w:t>
            </w:r>
          </w:p>
        </w:tc>
        <w:tc>
          <w:tcPr>
            <w:tcW w:w="345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河源连平雷公寨自然保护区</w:t>
            </w:r>
          </w:p>
        </w:tc>
        <w:tc>
          <w:tcPr>
            <w:tcW w:w="85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highlight w:val="none"/>
              </w:rPr>
            </w:pPr>
          </w:p>
        </w:tc>
        <w:tc>
          <w:tcPr>
            <w:tcW w:w="3414" w:type="dxa"/>
            <w:tcBorders>
              <w:top w:val="nil"/>
              <w:left w:val="single" w:color="auto" w:sz="4" w:space="0"/>
              <w:bottom w:val="single" w:color="auto" w:sz="4" w:space="0"/>
              <w:right w:val="single" w:color="auto" w:sz="4" w:space="0"/>
            </w:tcBorders>
          </w:tcPr>
          <w:p>
            <w:pPr>
              <w:widowControl/>
              <w:spacing w:line="240" w:lineRule="auto"/>
              <w:ind w:firstLine="0" w:firstLineChars="0"/>
              <w:jc w:val="center"/>
              <w:rPr>
                <w:color w:val="000000"/>
                <w:kern w:val="0"/>
                <w:sz w:val="21"/>
                <w:szCs w:val="21"/>
                <w:highlight w:val="none"/>
              </w:rPr>
            </w:pPr>
            <w:r>
              <w:rPr>
                <w:color w:val="000000"/>
                <w:kern w:val="0"/>
                <w:sz w:val="21"/>
                <w:szCs w:val="21"/>
                <w:highlight w:val="none"/>
              </w:rPr>
              <w:t>阔叶林珍稀动植物</w:t>
            </w:r>
          </w:p>
        </w:tc>
      </w:tr>
    </w:tbl>
    <w:p>
      <w:pPr>
        <w:ind w:firstLine="480"/>
        <w:rPr>
          <w:highlight w:val="none"/>
        </w:rPr>
        <w:sectPr>
          <w:pgSz w:w="11907" w:h="16840"/>
          <w:pgMar w:top="1440" w:right="1803" w:bottom="1440" w:left="1803" w:header="851" w:footer="992" w:gutter="0"/>
          <w:cols w:space="0" w:num="1"/>
          <w:docGrid w:type="lines" w:linePitch="326" w:charSpace="0"/>
        </w:sectPr>
      </w:pPr>
      <w:r>
        <w:rPr>
          <w:rFonts w:hint="eastAsia"/>
          <w:szCs w:val="24"/>
          <w:highlight w:val="none"/>
        </w:rPr>
        <w:t>生物多样性生态保护红线划定。</w:t>
      </w:r>
      <w:r>
        <w:rPr>
          <w:rFonts w:hint="eastAsia"/>
          <w:highlight w:val="none"/>
        </w:rPr>
        <w:t>连平县生态保护红线</w:t>
      </w:r>
      <w:r>
        <w:rPr>
          <w:highlight w:val="none"/>
        </w:rPr>
        <w:t>包括南岭山地生物多样性维护</w:t>
      </w:r>
      <w:r>
        <w:rPr>
          <w:rFonts w:hint="eastAsia"/>
          <w:highlight w:val="none"/>
        </w:rPr>
        <w:t>-</w:t>
      </w:r>
      <w:r>
        <w:rPr>
          <w:highlight w:val="none"/>
        </w:rPr>
        <w:t>水源涵养生态保护红线和</w:t>
      </w:r>
      <w:r>
        <w:rPr>
          <w:rFonts w:hint="eastAsia"/>
          <w:highlight w:val="none"/>
        </w:rPr>
        <w:t>东江</w:t>
      </w:r>
      <w:r>
        <w:rPr>
          <w:highlight w:val="none"/>
        </w:rPr>
        <w:t>流域</w:t>
      </w:r>
      <w:r>
        <w:rPr>
          <w:rFonts w:hint="eastAsia"/>
          <w:highlight w:val="none"/>
        </w:rPr>
        <w:t>水源涵养-生物多样性维护生态保护红线，红线类型分别为</w:t>
      </w:r>
      <w:r>
        <w:rPr>
          <w:highlight w:val="none"/>
        </w:rPr>
        <w:t>生物多样性和水源涵养</w:t>
      </w:r>
      <w:r>
        <w:rPr>
          <w:rFonts w:hint="eastAsia"/>
          <w:highlight w:val="none"/>
        </w:rPr>
        <w:t>。其中，生物多样性保护红线分布在陂头镇、上坪镇、元善镇西北部、隆街镇。生态保护红线内，自然保护地核心保护区原则上禁止人为活动，其他区域严格禁止开发性、生产性建设活动，在符合现行法律法规前提下，除国家重大战略项目外，仅允许对生态功能不造成破坏的8类有限人为活动。一般生态空间内，可开展生态保护红线内允许的活动；在不影响主导生态功能的前提下，还可开展国家和省规定不纳入环评管理的项目建设，以及生态旅游、生态农业、基础设施建设、村庄建设等人为活动；人工商品林允许依法进行抚育采伐、择伐和树种更新等经营活动。</w:t>
      </w:r>
    </w:p>
    <w:p>
      <w:pPr>
        <w:pStyle w:val="90"/>
        <w:numPr>
          <w:ilvl w:val="3"/>
          <w:numId w:val="1"/>
        </w:numPr>
        <w:spacing w:before="0" w:beforeLines="0" w:after="0" w:afterLines="0"/>
        <w:ind w:left="0" w:firstLine="0"/>
        <w:rPr>
          <w:rFonts w:eastAsia="宋体"/>
          <w:highlight w:val="none"/>
        </w:rPr>
      </w:pPr>
      <w:r>
        <w:rPr>
          <w:rFonts w:eastAsia="宋体"/>
          <w:highlight w:val="none"/>
        </w:rPr>
        <w:t>问题诊断</w:t>
      </w:r>
    </w:p>
    <w:p>
      <w:pPr>
        <w:ind w:firstLine="482"/>
        <w:rPr>
          <w:highlight w:val="none"/>
        </w:rPr>
      </w:pPr>
      <w:r>
        <w:rPr>
          <w:rFonts w:hint="eastAsia"/>
          <w:b/>
          <w:highlight w:val="none"/>
        </w:rPr>
        <w:t>生物多样性本底未清。</w:t>
      </w:r>
      <w:r>
        <w:rPr>
          <w:rFonts w:hint="eastAsia"/>
          <w:highlight w:val="none"/>
        </w:rPr>
        <w:t>连平县作为粤北地区重要生态屏障和南岭山脉生态保护的重要核心区、南岭生物多样性保护优先区，生物多样性丰富，森林生态系统和珍稀野生动植物具有明显的地区典型性和地带性，在区域生态安全格局中具有重要地位，全县系统性的生物多样性本底调查等基础工作尚未开展，对野生动植物分布空间格局和生态资源动态变化数据掌握不全面，从而制约野生动植物及其栖息地保护、生态廊道恢复等生物多样性保护工作。</w:t>
      </w:r>
    </w:p>
    <w:p>
      <w:pPr>
        <w:ind w:firstLine="482"/>
        <w:rPr>
          <w:highlight w:val="none"/>
        </w:rPr>
      </w:pPr>
      <w:r>
        <w:rPr>
          <w:rFonts w:hint="eastAsia"/>
          <w:b/>
          <w:highlight w:val="none"/>
        </w:rPr>
        <w:t>生物多样性保护体系尚未完善。</w:t>
      </w:r>
      <w:r>
        <w:rPr>
          <w:rFonts w:hint="eastAsia"/>
          <w:highlight w:val="none"/>
        </w:rPr>
        <w:t>连平县自然保护地累积了很多历史遗留问题，存在大量城镇、村庄、耕地（含永久基本农田）、矿业权、人工商品林等空间矛盾冲突，城乡发展、基础设施建设、工农业生产、居民生活与保护管理矛盾冲突。部分典型生态系统的分布区域、野生植物关键生境、野生动物重要栖息地，以及具有重要科学、科普教育价值的地质遗迹等尚未纳入自然保护地范围，需加快推进自然保护地整合优化预案成果落地，完善自然保护地体系结构。</w:t>
      </w:r>
    </w:p>
    <w:p>
      <w:pPr>
        <w:ind w:firstLine="482"/>
        <w:rPr>
          <w:highlight w:val="none"/>
        </w:rPr>
      </w:pPr>
      <w:r>
        <w:rPr>
          <w:rFonts w:hint="eastAsia"/>
          <w:b/>
          <w:highlight w:val="none"/>
        </w:rPr>
        <w:t>生物多样性保护形势严峻。</w:t>
      </w:r>
      <w:r>
        <w:rPr>
          <w:rFonts w:hint="eastAsia"/>
          <w:highlight w:val="none"/>
        </w:rPr>
        <w:t>连平所在区域为国家南岭生物多样性保护优先区域，粤北生态发展区，生物多样性丰富，区域内拥有我国重要生物物种基因库，被列入国际生物多样性热点地区和国家生物多样性保护优先区。现状生物多样性本底未清，历史遗留矿山数量多、分布广，地质灾害敏感性较高，水土流失、石漠化等土地退化问题仍较突出，尤其是陂头、内莞喀斯特（岩溶）地区地貌发育的生态脆弱地区，野生动植物栖息地受损，入侵物种威胁本地物种生存，生物多样性保护形势严峻。</w:t>
      </w:r>
    </w:p>
    <w:p>
      <w:pPr>
        <w:pStyle w:val="89"/>
        <w:numPr>
          <w:ilvl w:val="2"/>
          <w:numId w:val="1"/>
        </w:numPr>
        <w:ind w:left="0" w:firstLine="0"/>
        <w:rPr>
          <w:rFonts w:eastAsia="宋体"/>
          <w:highlight w:val="none"/>
        </w:rPr>
      </w:pPr>
      <w:bookmarkStart w:id="68" w:name="_Toc140764114"/>
      <w:r>
        <w:rPr>
          <w:rFonts w:hint="eastAsia" w:eastAsia="宋体"/>
          <w:highlight w:val="none"/>
        </w:rPr>
        <w:t>农田生态环境</w:t>
      </w:r>
      <w:bookmarkEnd w:id="68"/>
    </w:p>
    <w:p>
      <w:pPr>
        <w:pStyle w:val="90"/>
        <w:numPr>
          <w:ilvl w:val="3"/>
          <w:numId w:val="1"/>
        </w:numPr>
        <w:spacing w:before="0" w:beforeLines="0" w:after="0" w:afterLines="0"/>
        <w:ind w:left="0" w:firstLine="0"/>
        <w:rPr>
          <w:rFonts w:eastAsia="宋体"/>
          <w:highlight w:val="none"/>
        </w:rPr>
      </w:pPr>
      <w:r>
        <w:rPr>
          <w:rFonts w:hint="eastAsia" w:eastAsia="宋体"/>
          <w:highlight w:val="none"/>
        </w:rPr>
        <w:t>耕地与基本农田分布</w:t>
      </w:r>
    </w:p>
    <w:p>
      <w:pPr>
        <w:ind w:firstLine="480"/>
        <w:rPr>
          <w:szCs w:val="28"/>
          <w:highlight w:val="none"/>
        </w:rPr>
        <w:sectPr>
          <w:pgSz w:w="11907" w:h="16840"/>
          <w:pgMar w:top="1440" w:right="1803" w:bottom="1440" w:left="1803" w:header="851" w:footer="992" w:gutter="0"/>
          <w:cols w:space="0" w:num="1"/>
          <w:docGrid w:type="lines" w:linePitch="326" w:charSpace="0"/>
        </w:sectPr>
      </w:pPr>
      <w:r>
        <w:rPr>
          <w:szCs w:val="28"/>
          <w:highlight w:val="none"/>
        </w:rPr>
        <w:t>根据</w:t>
      </w:r>
      <w:r>
        <w:rPr>
          <w:rFonts w:hint="eastAsia"/>
          <w:szCs w:val="28"/>
          <w:highlight w:val="none"/>
        </w:rPr>
        <w:t>连平</w:t>
      </w:r>
      <w:r>
        <w:rPr>
          <w:szCs w:val="28"/>
          <w:highlight w:val="none"/>
        </w:rPr>
        <w:t>县第三次全国国土调查数据，全县耕地面积为</w:t>
      </w:r>
      <w:r>
        <w:rPr>
          <w:rFonts w:hint="eastAsia"/>
          <w:szCs w:val="28"/>
          <w:highlight w:val="none"/>
        </w:rPr>
        <w:t>14402.22公顷，</w:t>
      </w:r>
      <w:r>
        <w:rPr>
          <w:szCs w:val="28"/>
          <w:highlight w:val="none"/>
        </w:rPr>
        <w:t>耕地资源主要分布在西部</w:t>
      </w:r>
      <w:r>
        <w:rPr>
          <w:rFonts w:hint="eastAsia"/>
          <w:szCs w:val="28"/>
          <w:highlight w:val="none"/>
        </w:rPr>
        <w:t>以及</w:t>
      </w:r>
      <w:r>
        <w:rPr>
          <w:szCs w:val="28"/>
          <w:highlight w:val="none"/>
        </w:rPr>
        <w:t>东部</w:t>
      </w:r>
      <w:r>
        <w:rPr>
          <w:rFonts w:hint="eastAsia"/>
          <w:szCs w:val="28"/>
          <w:highlight w:val="none"/>
        </w:rPr>
        <w:t>的陂头镇、隆街镇、元善镇和忠信镇，面积分别为</w:t>
      </w:r>
      <w:r>
        <w:rPr>
          <w:szCs w:val="28"/>
          <w:highlight w:val="none"/>
        </w:rPr>
        <w:t>1998.05公顷</w:t>
      </w:r>
      <w:r>
        <w:rPr>
          <w:rFonts w:hint="eastAsia"/>
          <w:szCs w:val="28"/>
          <w:highlight w:val="none"/>
        </w:rPr>
        <w:t>、</w:t>
      </w:r>
      <w:r>
        <w:rPr>
          <w:szCs w:val="28"/>
          <w:highlight w:val="none"/>
        </w:rPr>
        <w:t>1709.57公顷</w:t>
      </w:r>
      <w:r>
        <w:rPr>
          <w:rFonts w:hint="eastAsia"/>
          <w:szCs w:val="28"/>
          <w:highlight w:val="none"/>
        </w:rPr>
        <w:t>、</w:t>
      </w:r>
      <w:r>
        <w:rPr>
          <w:szCs w:val="28"/>
          <w:highlight w:val="none"/>
        </w:rPr>
        <w:t>1704.75公顷</w:t>
      </w:r>
      <w:r>
        <w:rPr>
          <w:rFonts w:hint="eastAsia"/>
          <w:szCs w:val="28"/>
          <w:highlight w:val="none"/>
        </w:rPr>
        <w:t>和</w:t>
      </w:r>
      <w:r>
        <w:rPr>
          <w:szCs w:val="28"/>
          <w:highlight w:val="none"/>
        </w:rPr>
        <w:t>1514.88公顷</w:t>
      </w:r>
      <w:r>
        <w:rPr>
          <w:rFonts w:hint="eastAsia"/>
          <w:szCs w:val="28"/>
          <w:highlight w:val="none"/>
        </w:rPr>
        <w:t>，</w:t>
      </w:r>
      <w:r>
        <w:rPr>
          <w:szCs w:val="28"/>
          <w:highlight w:val="none"/>
        </w:rPr>
        <w:t>分别占全县耕地面积的13.87</w:t>
      </w:r>
      <w:r>
        <w:rPr>
          <w:rFonts w:hint="eastAsia"/>
          <w:szCs w:val="28"/>
          <w:highlight w:val="none"/>
        </w:rPr>
        <w:t>%、</w:t>
      </w:r>
      <w:r>
        <w:rPr>
          <w:szCs w:val="28"/>
          <w:highlight w:val="none"/>
        </w:rPr>
        <w:t>11.87</w:t>
      </w:r>
      <w:r>
        <w:rPr>
          <w:rFonts w:hint="eastAsia"/>
          <w:szCs w:val="28"/>
          <w:highlight w:val="none"/>
        </w:rPr>
        <w:t>%、</w:t>
      </w:r>
      <w:r>
        <w:rPr>
          <w:szCs w:val="28"/>
          <w:highlight w:val="none"/>
        </w:rPr>
        <w:t>11.84</w:t>
      </w:r>
      <w:r>
        <w:rPr>
          <w:rFonts w:hint="eastAsia"/>
          <w:szCs w:val="28"/>
          <w:highlight w:val="none"/>
        </w:rPr>
        <w:t>%</w:t>
      </w:r>
      <w:r>
        <w:rPr>
          <w:szCs w:val="28"/>
          <w:highlight w:val="none"/>
        </w:rPr>
        <w:t>和10.52</w:t>
      </w:r>
      <w:r>
        <w:rPr>
          <w:rFonts w:hint="eastAsia"/>
          <w:szCs w:val="28"/>
          <w:highlight w:val="none"/>
        </w:rPr>
        <w:t>%。永久基本农田分布详见图3.3-43，地形坡度分布详见图3.3-44，从图中可以看出，连平县永久基本农田连片区域集中在连平河、忠信河和大湖河两岸地势相对较平坦的区域。</w:t>
      </w:r>
    </w:p>
    <w:p>
      <w:pPr>
        <w:pStyle w:val="90"/>
        <w:numPr>
          <w:ilvl w:val="3"/>
          <w:numId w:val="1"/>
        </w:numPr>
        <w:spacing w:before="0" w:beforeLines="0" w:after="0" w:afterLines="0"/>
        <w:ind w:left="0" w:firstLine="0"/>
        <w:rPr>
          <w:rFonts w:eastAsia="宋体"/>
          <w:highlight w:val="none"/>
        </w:rPr>
      </w:pPr>
      <w:r>
        <w:rPr>
          <w:rFonts w:hint="eastAsia" w:eastAsia="宋体"/>
          <w:highlight w:val="none"/>
        </w:rPr>
        <w:t>耕地</w:t>
      </w:r>
      <w:r>
        <w:rPr>
          <w:rFonts w:eastAsia="宋体"/>
          <w:highlight w:val="none"/>
        </w:rPr>
        <w:t>污染与安全利用</w:t>
      </w:r>
    </w:p>
    <w:p>
      <w:pPr>
        <w:ind w:firstLine="480"/>
        <w:rPr>
          <w:szCs w:val="24"/>
          <w:highlight w:val="none"/>
        </w:rPr>
      </w:pPr>
      <w:r>
        <w:rPr>
          <w:rFonts w:hint="eastAsia"/>
          <w:szCs w:val="24"/>
          <w:highlight w:val="none"/>
        </w:rPr>
        <w:t>2021年和2022年，以河源市连平县耕地土壤环境质量类别划分成果数据和广东省农业农村厅下发的河源市连平县受污染耕地分类管理任务图斑为依据，以安全利用类耕地（9576.26亩）和严格管控类耕地（838.77 亩），合计任务面积10415.03亩的面积作为受污染耕地安全利用重点任务以确保农产品质量安全为核心目标，全面开展受污染耕地安全利用和风险管控。连平县安全利用类耕地包含5个镇，分别为元善镇、溪山镇、陂头镇、田源镇和油溪镇。其中安全利用类耕地中晚稻种植区域含 4个镇，分别为元善镇、溪山镇、陂头镇、田源镇；严格管控类耕地集中在元善镇。</w:t>
      </w:r>
    </w:p>
    <w:p>
      <w:pPr>
        <w:ind w:firstLine="480"/>
        <w:rPr>
          <w:szCs w:val="24"/>
          <w:highlight w:val="none"/>
        </w:rPr>
      </w:pPr>
      <w:r>
        <w:rPr>
          <w:rFonts w:hint="eastAsia"/>
          <w:szCs w:val="24"/>
          <w:highlight w:val="none"/>
        </w:rPr>
        <w:t>2021~2022年，连平县按照受污染耕地安全利用任务，对安全利用类和严格管控类耕地开展种植现状排查。根据种植现状排查工作成果，以安全利用类和严格管控类耕地水稻和蔬菜为重点监测对象，开展农产品和土壤协同采样监测，评估受污染耕地水稻和蔬菜质量安全状况。结合连平县耕地土壤污染实际情况，因地制宜开展受污染耕地安全利用，以及严格管控类耕地种植结构调整或非食用农产品调整。根据统计，2021年和2022年连平县受污染耕地安全利用率分别达到</w:t>
      </w:r>
      <w:r>
        <w:rPr>
          <w:szCs w:val="24"/>
          <w:highlight w:val="none"/>
        </w:rPr>
        <w:t>97.7%和</w:t>
      </w:r>
      <w:r>
        <w:rPr>
          <w:rFonts w:hint="eastAsia"/>
          <w:szCs w:val="24"/>
          <w:highlight w:val="none"/>
        </w:rPr>
        <w:t>95.52%，受污染耕地安全利用措施到位率均达100%。</w:t>
      </w:r>
    </w:p>
    <w:p>
      <w:pPr>
        <w:pStyle w:val="90"/>
        <w:numPr>
          <w:ilvl w:val="3"/>
          <w:numId w:val="1"/>
        </w:numPr>
        <w:spacing w:before="0" w:beforeLines="0" w:after="0" w:afterLines="0"/>
        <w:ind w:left="0" w:firstLine="0"/>
        <w:rPr>
          <w:rFonts w:eastAsia="宋体"/>
          <w:highlight w:val="none"/>
        </w:rPr>
      </w:pPr>
      <w:r>
        <w:rPr>
          <w:rFonts w:eastAsia="宋体"/>
          <w:highlight w:val="none"/>
        </w:rPr>
        <w:t>问题诊断</w:t>
      </w:r>
    </w:p>
    <w:p>
      <w:pPr>
        <w:ind w:firstLine="480"/>
        <w:rPr>
          <w:szCs w:val="24"/>
          <w:highlight w:val="none"/>
        </w:rPr>
      </w:pPr>
      <w:r>
        <w:rPr>
          <w:rFonts w:hint="eastAsia"/>
          <w:szCs w:val="24"/>
          <w:highlight w:val="none"/>
        </w:rPr>
        <w:t xml:space="preserve">连平县受污染耕地面积大，安全利用工作任务重，土壤及农产品协同监测结果显示，连平县土壤污染物主要为镉和汞，2022年耕地安全利用开展了以叶面阻控剂喷施为主，结合水分管理和撒施硫酸钾的措施，水稻合格率得到较明显的提高，但耕地污染情况形势依然严峻，农产品重金属超标问题需进一步采取适宜的安全利用措施，对措施落地区域农产品重金属含量情况进行持续跟踪监测，以确保达标生产，受污染耕地的全利用率稳定在90%以上。 </w:t>
      </w:r>
    </w:p>
    <w:p>
      <w:pPr>
        <w:pStyle w:val="87"/>
        <w:ind w:left="0" w:firstLine="0"/>
        <w:rPr>
          <w:rFonts w:eastAsia="宋体"/>
          <w:color w:val="auto"/>
          <w:sz w:val="28"/>
          <w:szCs w:val="21"/>
          <w:highlight w:val="none"/>
        </w:rPr>
      </w:pPr>
      <w:bookmarkStart w:id="69" w:name="_Toc95899961"/>
      <w:bookmarkStart w:id="70" w:name="_Toc140764115"/>
      <w:r>
        <w:rPr>
          <w:rFonts w:eastAsia="宋体"/>
          <w:color w:val="auto"/>
          <w:sz w:val="28"/>
          <w:szCs w:val="21"/>
          <w:highlight w:val="none"/>
        </w:rPr>
        <w:t>主要问题</w:t>
      </w:r>
      <w:bookmarkEnd w:id="69"/>
      <w:r>
        <w:rPr>
          <w:rFonts w:hint="eastAsia" w:eastAsia="宋体"/>
          <w:color w:val="auto"/>
          <w:sz w:val="28"/>
          <w:szCs w:val="21"/>
          <w:highlight w:val="none"/>
        </w:rPr>
        <w:t>汇总</w:t>
      </w:r>
      <w:bookmarkEnd w:id="70"/>
    </w:p>
    <w:p>
      <w:pPr>
        <w:ind w:firstLine="480"/>
        <w:rPr>
          <w:szCs w:val="24"/>
          <w:highlight w:val="none"/>
        </w:rPr>
      </w:pPr>
      <w:r>
        <w:rPr>
          <w:szCs w:val="24"/>
          <w:highlight w:val="none"/>
        </w:rPr>
        <w:t>根据连平县生态环境现状调查与统计分析</w:t>
      </w:r>
      <w:r>
        <w:rPr>
          <w:rFonts w:hint="eastAsia"/>
          <w:szCs w:val="24"/>
          <w:highlight w:val="none"/>
        </w:rPr>
        <w:t>，</w:t>
      </w:r>
      <w:r>
        <w:rPr>
          <w:szCs w:val="24"/>
          <w:highlight w:val="none"/>
        </w:rPr>
        <w:t>存在的主要问题如表</w:t>
      </w:r>
      <w:r>
        <w:rPr>
          <w:rFonts w:hint="eastAsia"/>
          <w:szCs w:val="24"/>
          <w:highlight w:val="none"/>
        </w:rPr>
        <w:t>3.4-1。</w:t>
      </w:r>
    </w:p>
    <w:p>
      <w:pPr>
        <w:ind w:firstLine="480"/>
        <w:rPr>
          <w:szCs w:val="24"/>
          <w:highlight w:val="none"/>
        </w:rPr>
        <w:sectPr>
          <w:pgSz w:w="11907" w:h="16840"/>
          <w:pgMar w:top="1440" w:right="1803" w:bottom="1440" w:left="1803" w:header="851" w:footer="992" w:gutter="0"/>
          <w:cols w:space="0" w:num="1"/>
          <w:docGrid w:type="lines" w:linePitch="326" w:charSpace="0"/>
        </w:sectPr>
      </w:pPr>
    </w:p>
    <w:p>
      <w:pPr>
        <w:ind w:firstLine="0" w:firstLineChars="0"/>
        <w:jc w:val="center"/>
        <w:rPr>
          <w:b/>
          <w:szCs w:val="24"/>
          <w:highlight w:val="none"/>
        </w:rPr>
      </w:pPr>
      <w:r>
        <w:rPr>
          <w:b/>
          <w:szCs w:val="24"/>
          <w:highlight w:val="none"/>
        </w:rPr>
        <w:t>表3.4-1 连平县生态</w:t>
      </w:r>
      <w:r>
        <w:rPr>
          <w:rFonts w:hint="eastAsia"/>
          <w:b/>
          <w:szCs w:val="24"/>
          <w:highlight w:val="none"/>
        </w:rPr>
        <w:t>环境</w:t>
      </w:r>
      <w:r>
        <w:rPr>
          <w:b/>
          <w:szCs w:val="24"/>
          <w:highlight w:val="none"/>
        </w:rPr>
        <w:t>主要问题汇总</w:t>
      </w:r>
      <w:r>
        <w:rPr>
          <w:rFonts w:hint="eastAsia"/>
          <w:b/>
          <w:szCs w:val="24"/>
          <w:highlight w:val="none"/>
        </w:rPr>
        <w:t>表</w:t>
      </w:r>
    </w:p>
    <w:tbl>
      <w:tblPr>
        <w:tblStyle w:val="182"/>
        <w:tblW w:w="20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997"/>
        <w:gridCol w:w="7182"/>
        <w:gridCol w:w="269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Align w:val="center"/>
          </w:tcPr>
          <w:p>
            <w:pPr>
              <w:spacing w:line="240" w:lineRule="auto"/>
              <w:ind w:firstLine="0" w:firstLineChars="0"/>
              <w:jc w:val="center"/>
              <w:rPr>
                <w:b/>
                <w:sz w:val="21"/>
                <w:highlight w:val="none"/>
              </w:rPr>
            </w:pPr>
            <w:r>
              <w:rPr>
                <w:b/>
                <w:sz w:val="21"/>
                <w:highlight w:val="none"/>
              </w:rPr>
              <w:t>序号</w:t>
            </w:r>
          </w:p>
        </w:tc>
        <w:tc>
          <w:tcPr>
            <w:tcW w:w="2997" w:type="dxa"/>
            <w:vAlign w:val="center"/>
          </w:tcPr>
          <w:p>
            <w:pPr>
              <w:spacing w:line="240" w:lineRule="auto"/>
              <w:ind w:firstLine="0" w:firstLineChars="0"/>
              <w:jc w:val="center"/>
              <w:rPr>
                <w:b/>
                <w:sz w:val="21"/>
                <w:highlight w:val="none"/>
              </w:rPr>
            </w:pPr>
            <w:r>
              <w:rPr>
                <w:b/>
                <w:sz w:val="21"/>
                <w:highlight w:val="none"/>
              </w:rPr>
              <w:t>类型</w:t>
            </w:r>
          </w:p>
        </w:tc>
        <w:tc>
          <w:tcPr>
            <w:tcW w:w="7182" w:type="dxa"/>
            <w:vAlign w:val="center"/>
          </w:tcPr>
          <w:p>
            <w:pPr>
              <w:spacing w:line="240" w:lineRule="auto"/>
              <w:ind w:firstLine="0" w:firstLineChars="0"/>
              <w:jc w:val="center"/>
              <w:rPr>
                <w:b/>
                <w:sz w:val="21"/>
                <w:highlight w:val="none"/>
              </w:rPr>
            </w:pPr>
            <w:r>
              <w:rPr>
                <w:b/>
                <w:sz w:val="21"/>
                <w:highlight w:val="none"/>
              </w:rPr>
              <w:t>主要问题</w:t>
            </w:r>
          </w:p>
        </w:tc>
        <w:tc>
          <w:tcPr>
            <w:tcW w:w="2693" w:type="dxa"/>
            <w:vAlign w:val="center"/>
          </w:tcPr>
          <w:p>
            <w:pPr>
              <w:spacing w:line="240" w:lineRule="auto"/>
              <w:ind w:firstLine="0" w:firstLineChars="0"/>
              <w:jc w:val="center"/>
              <w:rPr>
                <w:b/>
                <w:sz w:val="21"/>
                <w:highlight w:val="none"/>
              </w:rPr>
            </w:pPr>
            <w:r>
              <w:rPr>
                <w:b/>
                <w:sz w:val="21"/>
                <w:highlight w:val="none"/>
              </w:rPr>
              <w:t>重点区域</w:t>
            </w:r>
          </w:p>
        </w:tc>
        <w:tc>
          <w:tcPr>
            <w:tcW w:w="6306" w:type="dxa"/>
            <w:vAlign w:val="center"/>
          </w:tcPr>
          <w:p>
            <w:pPr>
              <w:spacing w:line="240" w:lineRule="auto"/>
              <w:ind w:firstLine="0" w:firstLineChars="0"/>
              <w:jc w:val="center"/>
              <w:rPr>
                <w:b/>
                <w:sz w:val="21"/>
                <w:highlight w:val="none"/>
              </w:rPr>
            </w:pPr>
            <w:r>
              <w:rPr>
                <w:b/>
                <w:sz w:val="21"/>
                <w:highlight w:val="none"/>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134" w:type="dxa"/>
            <w:vAlign w:val="center"/>
          </w:tcPr>
          <w:p>
            <w:pPr>
              <w:spacing w:line="240" w:lineRule="auto"/>
              <w:ind w:firstLine="0" w:firstLineChars="0"/>
              <w:jc w:val="center"/>
              <w:rPr>
                <w:sz w:val="21"/>
                <w:highlight w:val="none"/>
              </w:rPr>
            </w:pPr>
            <w:r>
              <w:rPr>
                <w:sz w:val="21"/>
                <w:highlight w:val="none"/>
              </w:rPr>
              <w:t>1</w:t>
            </w:r>
          </w:p>
        </w:tc>
        <w:tc>
          <w:tcPr>
            <w:tcW w:w="2997" w:type="dxa"/>
            <w:vMerge w:val="restart"/>
            <w:vAlign w:val="center"/>
          </w:tcPr>
          <w:p>
            <w:pPr>
              <w:spacing w:line="240" w:lineRule="auto"/>
              <w:ind w:firstLine="0" w:firstLineChars="0"/>
              <w:jc w:val="center"/>
              <w:rPr>
                <w:sz w:val="21"/>
                <w:highlight w:val="none"/>
              </w:rPr>
            </w:pPr>
            <w:r>
              <w:rPr>
                <w:sz w:val="21"/>
                <w:highlight w:val="none"/>
              </w:rPr>
              <w:t>矿山地质环境</w:t>
            </w:r>
          </w:p>
        </w:tc>
        <w:tc>
          <w:tcPr>
            <w:tcW w:w="7182" w:type="dxa"/>
            <w:vAlign w:val="center"/>
          </w:tcPr>
          <w:p>
            <w:pPr>
              <w:spacing w:line="240" w:lineRule="auto"/>
              <w:ind w:firstLine="0" w:firstLineChars="0"/>
              <w:jc w:val="center"/>
              <w:rPr>
                <w:sz w:val="21"/>
                <w:highlight w:val="none"/>
              </w:rPr>
            </w:pPr>
            <w:r>
              <w:rPr>
                <w:b/>
                <w:sz w:val="21"/>
                <w:highlight w:val="none"/>
              </w:rPr>
              <w:t>生产矿山绿色发展势能不高。</w:t>
            </w:r>
            <w:r>
              <w:rPr>
                <w:sz w:val="21"/>
                <w:highlight w:val="none"/>
              </w:rPr>
              <w:t>6家持证矿山未达到绿色矿山标准，存在矿区复绿、矿区开矿条件未完善等问题。规划期矿山数量及矿产资源开采总量将进一步提升，在新形势发展要求下生产矿山绿色发展形势严峻。</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420"/>
              <w:jc w:val="left"/>
              <w:rPr>
                <w:sz w:val="21"/>
                <w:highlight w:val="none"/>
              </w:rPr>
            </w:pPr>
            <w:r>
              <w:rPr>
                <w:rFonts w:hint="eastAsia"/>
                <w:sz w:val="21"/>
                <w:highlight w:val="none"/>
              </w:rPr>
              <w:t>全面推进绿色矿山建设，至2023年底，全县持证在采矿山100%达到绿色矿山建设标准。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1134" w:type="dxa"/>
            <w:vAlign w:val="center"/>
          </w:tcPr>
          <w:p>
            <w:pPr>
              <w:spacing w:line="240" w:lineRule="auto"/>
              <w:ind w:firstLine="0" w:firstLineChars="0"/>
              <w:jc w:val="center"/>
              <w:rPr>
                <w:sz w:val="21"/>
                <w:highlight w:val="none"/>
              </w:rPr>
            </w:pPr>
            <w:r>
              <w:rPr>
                <w:sz w:val="21"/>
                <w:highlight w:val="none"/>
              </w:rPr>
              <w:t>2</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历史遗留矿山修复治理任务重。</w:t>
            </w:r>
            <w:r>
              <w:rPr>
                <w:sz w:val="21"/>
                <w:highlight w:val="none"/>
              </w:rPr>
              <w:t>历史遗留矿山点多、面广且呈现分散状态，面积达130.78公顷，矿山无序开采造成地表植被破坏、土壤酸化、弃土无序堆填、土地压占与损毁、水源涵养功能下降、水土流失等历史遗留问题有待治理，尤其是陂头镇南岭山地生物多样性维护-水源涵养生态保护红线及一般生态空间范围内历史遗留矿山生态影响问题。</w:t>
            </w:r>
          </w:p>
        </w:tc>
        <w:tc>
          <w:tcPr>
            <w:tcW w:w="2693" w:type="dxa"/>
            <w:vAlign w:val="center"/>
          </w:tcPr>
          <w:p>
            <w:pPr>
              <w:spacing w:line="240" w:lineRule="auto"/>
              <w:ind w:firstLine="0" w:firstLineChars="0"/>
              <w:jc w:val="center"/>
              <w:rPr>
                <w:sz w:val="21"/>
                <w:highlight w:val="none"/>
              </w:rPr>
            </w:pPr>
            <w:r>
              <w:rPr>
                <w:sz w:val="21"/>
                <w:highlight w:val="none"/>
              </w:rPr>
              <w:t>陂头镇南岭山地生物多样性维护-水源涵养生态保护红线及一般生态空间</w:t>
            </w:r>
          </w:p>
        </w:tc>
        <w:tc>
          <w:tcPr>
            <w:tcW w:w="6306" w:type="dxa"/>
            <w:vAlign w:val="center"/>
          </w:tcPr>
          <w:p>
            <w:pPr>
              <w:spacing w:line="240" w:lineRule="auto"/>
              <w:ind w:firstLine="420"/>
              <w:jc w:val="left"/>
              <w:rPr>
                <w:sz w:val="21"/>
                <w:highlight w:val="none"/>
              </w:rPr>
            </w:pPr>
            <w:r>
              <w:rPr>
                <w:rFonts w:hint="eastAsia"/>
                <w:sz w:val="21"/>
                <w:highlight w:val="none"/>
              </w:rPr>
              <w:t>采用自然恢复与土地整治、裸露地复绿等人工修复措施相结合的方式，重点对陂头镇南岭山地生物多样性维护-水源涵养生态保护红线及一般生态空间范围内的历史遗留矿山进行生态修复。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line="240" w:lineRule="auto"/>
              <w:ind w:firstLine="0" w:firstLineChars="0"/>
              <w:jc w:val="center"/>
              <w:rPr>
                <w:sz w:val="21"/>
                <w:highlight w:val="none"/>
              </w:rPr>
            </w:pPr>
            <w:r>
              <w:rPr>
                <w:sz w:val="21"/>
                <w:highlight w:val="none"/>
              </w:rPr>
              <w:t>3</w:t>
            </w:r>
          </w:p>
        </w:tc>
        <w:tc>
          <w:tcPr>
            <w:tcW w:w="2997" w:type="dxa"/>
            <w:vAlign w:val="center"/>
          </w:tcPr>
          <w:p>
            <w:pPr>
              <w:spacing w:line="240" w:lineRule="auto"/>
              <w:ind w:firstLine="0" w:firstLineChars="0"/>
              <w:jc w:val="center"/>
              <w:rPr>
                <w:sz w:val="21"/>
                <w:highlight w:val="none"/>
              </w:rPr>
            </w:pPr>
            <w:r>
              <w:rPr>
                <w:sz w:val="21"/>
                <w:highlight w:val="none"/>
              </w:rPr>
              <w:t>水土流失</w:t>
            </w:r>
          </w:p>
        </w:tc>
        <w:tc>
          <w:tcPr>
            <w:tcW w:w="7182" w:type="dxa"/>
            <w:vAlign w:val="center"/>
          </w:tcPr>
          <w:p>
            <w:pPr>
              <w:spacing w:line="240" w:lineRule="auto"/>
              <w:ind w:firstLine="0" w:firstLineChars="0"/>
              <w:jc w:val="center"/>
              <w:rPr>
                <w:sz w:val="21"/>
                <w:highlight w:val="none"/>
              </w:rPr>
            </w:pPr>
            <w:r>
              <w:rPr>
                <w:sz w:val="21"/>
                <w:highlight w:val="none"/>
              </w:rPr>
              <w:t>坡耕地水土流失、自然侵蚀、工程侵蚀</w:t>
            </w:r>
          </w:p>
        </w:tc>
        <w:tc>
          <w:tcPr>
            <w:tcW w:w="2693" w:type="dxa"/>
            <w:vAlign w:val="center"/>
          </w:tcPr>
          <w:p>
            <w:pPr>
              <w:spacing w:line="240" w:lineRule="auto"/>
              <w:ind w:firstLine="0" w:firstLineChars="0"/>
              <w:jc w:val="center"/>
              <w:rPr>
                <w:sz w:val="21"/>
                <w:highlight w:val="none"/>
              </w:rPr>
            </w:pPr>
            <w:r>
              <w:rPr>
                <w:sz w:val="21"/>
                <w:highlight w:val="none"/>
              </w:rPr>
              <w:t>连平中部连平河与大席河流域；东</w:t>
            </w:r>
            <w:r>
              <w:rPr>
                <w:rFonts w:hint="eastAsia"/>
                <w:sz w:val="21"/>
                <w:highlight w:val="none"/>
              </w:rPr>
              <w:t>部</w:t>
            </w:r>
            <w:r>
              <w:rPr>
                <w:sz w:val="21"/>
                <w:highlight w:val="none"/>
              </w:rPr>
              <w:t>忠信河、大湖河、五禾水流域；油溪镇南部和三角镇西部</w:t>
            </w:r>
          </w:p>
        </w:tc>
        <w:tc>
          <w:tcPr>
            <w:tcW w:w="6306" w:type="dxa"/>
            <w:vAlign w:val="center"/>
          </w:tcPr>
          <w:p>
            <w:pPr>
              <w:spacing w:line="240" w:lineRule="auto"/>
              <w:ind w:firstLine="420"/>
              <w:jc w:val="left"/>
              <w:rPr>
                <w:sz w:val="21"/>
                <w:highlight w:val="none"/>
              </w:rPr>
            </w:pPr>
            <w:r>
              <w:rPr>
                <w:rFonts w:hint="eastAsia"/>
                <w:sz w:val="21"/>
                <w:highlight w:val="none"/>
              </w:rPr>
              <w:t>①采取封育、水土保持林草等措施对高莞水库、三角称沟水水库、鹤湖河、高莞甘坑水、内莞大塘缺水、田源船洞水、溪山石坑河、忠信桥南岗水等饮用水源地进行水土流失预防保护；</w:t>
            </w:r>
          </w:p>
          <w:p>
            <w:pPr>
              <w:spacing w:line="240" w:lineRule="auto"/>
              <w:ind w:firstLine="420"/>
              <w:jc w:val="left"/>
              <w:rPr>
                <w:sz w:val="21"/>
                <w:highlight w:val="none"/>
              </w:rPr>
            </w:pPr>
            <w:r>
              <w:rPr>
                <w:rFonts w:hint="eastAsia"/>
                <w:sz w:val="21"/>
                <w:highlight w:val="none"/>
              </w:rPr>
              <w:t>②重点开展大湖水、上坪水（大席河上坪段）、陂头水等小流域水土流失综合治理。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134" w:type="dxa"/>
            <w:vAlign w:val="center"/>
          </w:tcPr>
          <w:p>
            <w:pPr>
              <w:spacing w:line="240" w:lineRule="auto"/>
              <w:ind w:firstLine="0" w:firstLineChars="0"/>
              <w:jc w:val="center"/>
              <w:rPr>
                <w:sz w:val="21"/>
                <w:highlight w:val="none"/>
              </w:rPr>
            </w:pPr>
            <w:r>
              <w:rPr>
                <w:sz w:val="21"/>
                <w:highlight w:val="none"/>
              </w:rPr>
              <w:t>4</w:t>
            </w:r>
          </w:p>
        </w:tc>
        <w:tc>
          <w:tcPr>
            <w:tcW w:w="2997" w:type="dxa"/>
            <w:vMerge w:val="restart"/>
            <w:vAlign w:val="center"/>
          </w:tcPr>
          <w:p>
            <w:pPr>
              <w:spacing w:line="240" w:lineRule="auto"/>
              <w:ind w:firstLine="0" w:firstLineChars="0"/>
              <w:jc w:val="center"/>
              <w:rPr>
                <w:sz w:val="21"/>
                <w:highlight w:val="none"/>
              </w:rPr>
            </w:pPr>
            <w:r>
              <w:rPr>
                <w:sz w:val="21"/>
                <w:highlight w:val="none"/>
              </w:rPr>
              <w:t>水生态环境</w:t>
            </w:r>
          </w:p>
        </w:tc>
        <w:tc>
          <w:tcPr>
            <w:tcW w:w="7182" w:type="dxa"/>
            <w:vAlign w:val="center"/>
          </w:tcPr>
          <w:p>
            <w:pPr>
              <w:spacing w:line="240" w:lineRule="auto"/>
              <w:ind w:firstLine="0" w:firstLineChars="0"/>
              <w:jc w:val="center"/>
              <w:rPr>
                <w:sz w:val="21"/>
                <w:highlight w:val="none"/>
              </w:rPr>
            </w:pPr>
            <w:r>
              <w:rPr>
                <w:b/>
                <w:sz w:val="21"/>
                <w:highlight w:val="none"/>
              </w:rPr>
              <w:t>重点河库氮磷浓度呈现上升趋势。</w:t>
            </w:r>
            <w:r>
              <w:rPr>
                <w:sz w:val="21"/>
                <w:highlight w:val="none"/>
              </w:rPr>
              <w:t>2016~2022年，省考隆街大桥断面总氮浓度增长1.88倍；合水桥、连中桥、黄潭寺等县控/生态县考核断面总磷浓度增长0.22~0.42倍，总氮浓度增长0.56~1.15倍；县级鹤湖水水库饮用水源地氨氮和总氮浓度增长0.34倍和0.56倍，县级密溪河饮用水源地总氮增长0.24倍。氮磷浓度上升对新丰江水库产生较大的水质安全隐患。</w:t>
            </w:r>
          </w:p>
        </w:tc>
        <w:tc>
          <w:tcPr>
            <w:tcW w:w="2693" w:type="dxa"/>
            <w:vAlign w:val="center"/>
          </w:tcPr>
          <w:p>
            <w:pPr>
              <w:spacing w:line="240" w:lineRule="auto"/>
              <w:ind w:firstLine="0" w:firstLineChars="0"/>
              <w:jc w:val="center"/>
              <w:rPr>
                <w:sz w:val="21"/>
                <w:highlight w:val="none"/>
              </w:rPr>
            </w:pPr>
            <w:r>
              <w:rPr>
                <w:sz w:val="21"/>
                <w:highlight w:val="none"/>
              </w:rPr>
              <w:t>连平河、鹤湖水、鹤湖水水库饮用水源地、密溪河饮用水源地</w:t>
            </w:r>
          </w:p>
        </w:tc>
        <w:tc>
          <w:tcPr>
            <w:tcW w:w="6306" w:type="dxa"/>
            <w:vAlign w:val="center"/>
          </w:tcPr>
          <w:p>
            <w:pPr>
              <w:spacing w:line="240" w:lineRule="auto"/>
              <w:ind w:firstLine="420"/>
              <w:jc w:val="left"/>
              <w:rPr>
                <w:sz w:val="21"/>
                <w:highlight w:val="none"/>
              </w:rPr>
            </w:pPr>
            <w:r>
              <w:rPr>
                <w:rFonts w:hint="eastAsia"/>
                <w:sz w:val="21"/>
                <w:highlight w:val="none"/>
              </w:rPr>
              <w:t>对连平河、大席河、密溪河以及流域范围内元善镇、溪山镇等超标断面所在水体，以降氮控磷为目的，以入河污染负荷总量削减为抓手，巩固提升重点断面水质。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134" w:type="dxa"/>
            <w:vAlign w:val="center"/>
          </w:tcPr>
          <w:p>
            <w:pPr>
              <w:spacing w:line="240" w:lineRule="auto"/>
              <w:ind w:firstLine="0" w:firstLineChars="0"/>
              <w:jc w:val="center"/>
              <w:rPr>
                <w:sz w:val="21"/>
                <w:highlight w:val="none"/>
              </w:rPr>
            </w:pPr>
            <w:r>
              <w:rPr>
                <w:sz w:val="21"/>
                <w:highlight w:val="none"/>
              </w:rPr>
              <w:t>5</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镇级河流水环境质量未能稳定达标。</w:t>
            </w:r>
            <w:r>
              <w:rPr>
                <w:sz w:val="21"/>
                <w:highlight w:val="none"/>
              </w:rPr>
              <w:t>2022年22个镇水环境综合整治考核断面中7个断面超标，超标率达31.82%，其中工业园管委会（工业园污水处理厂排污口下游200米）和小水河（连平五禾与东源交界）断面为Ⅳ类，大湖镇的大寨水（连平与东源交界）断面为劣Ⅴ类。</w:t>
            </w:r>
          </w:p>
        </w:tc>
        <w:tc>
          <w:tcPr>
            <w:tcW w:w="2693" w:type="dxa"/>
            <w:vAlign w:val="center"/>
          </w:tcPr>
          <w:p>
            <w:pPr>
              <w:spacing w:line="240" w:lineRule="auto"/>
              <w:ind w:firstLine="0" w:firstLineChars="0"/>
              <w:jc w:val="center"/>
              <w:rPr>
                <w:sz w:val="21"/>
                <w:highlight w:val="none"/>
              </w:rPr>
            </w:pPr>
            <w:r>
              <w:rPr>
                <w:sz w:val="21"/>
                <w:highlight w:val="none"/>
              </w:rPr>
              <w:t>元善镇、溪山镇、忠信镇、三角镇、工业园管委会、大湖镇</w:t>
            </w:r>
          </w:p>
        </w:tc>
        <w:tc>
          <w:tcPr>
            <w:tcW w:w="6306" w:type="dxa"/>
            <w:vAlign w:val="center"/>
          </w:tcPr>
          <w:p>
            <w:pPr>
              <w:spacing w:line="240" w:lineRule="auto"/>
              <w:ind w:firstLine="420"/>
              <w:jc w:val="left"/>
              <w:rPr>
                <w:sz w:val="21"/>
                <w:highlight w:val="none"/>
              </w:rPr>
            </w:pPr>
            <w:r>
              <w:rPr>
                <w:rFonts w:hint="eastAsia"/>
                <w:sz w:val="21"/>
                <w:highlight w:val="none"/>
              </w:rPr>
              <w:t>以忠信镇（新下村合水桥老桥）、三角镇（新村村鳌岭三个垇）、工业园管委会（工业园污水处理厂排污口下游200米）等乡镇断面所在水体以及大湖镇大寨水（连平与东源交界）、大湖镇小水河（连平五禾与东源交界）等超标乡镇水系综合治理为重点，结合美丽宜居村庄建设等工作，推进农村水系综合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1134" w:type="dxa"/>
            <w:vAlign w:val="center"/>
          </w:tcPr>
          <w:p>
            <w:pPr>
              <w:spacing w:line="240" w:lineRule="auto"/>
              <w:ind w:firstLine="0" w:firstLineChars="0"/>
              <w:jc w:val="center"/>
              <w:rPr>
                <w:sz w:val="21"/>
                <w:highlight w:val="none"/>
              </w:rPr>
            </w:pPr>
            <w:r>
              <w:rPr>
                <w:sz w:val="21"/>
                <w:highlight w:val="none"/>
              </w:rPr>
              <w:t>6</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河流生态健康安全面临威胁。</w:t>
            </w:r>
            <w:r>
              <w:rPr>
                <w:sz w:val="21"/>
                <w:highlight w:val="none"/>
              </w:rPr>
              <w:t>河湖管理体制尚未完善，由于沿河两岸的开发和人口增长及历史等因素，河湖管理范围内乱占、乱采、乱堆、乱建等“四乱”问题难以根除，主要河流河滩地被占用情况比较严重，另外，部分地区出现不同程度的河床淤积、河床下切、河岸企陡等问题。沿河水电站多、蓄水量大，电站生态流量保障设施建设不足，导致部分河段水体流动性差，河道自净能力下降，水生态功能有所退化。</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420"/>
              <w:jc w:val="left"/>
              <w:rPr>
                <w:sz w:val="21"/>
                <w:highlight w:val="none"/>
              </w:rPr>
            </w:pPr>
            <w:r>
              <w:rPr>
                <w:rFonts w:hint="eastAsia"/>
                <w:sz w:val="21"/>
                <w:highlight w:val="none"/>
              </w:rPr>
              <w:t>①强化水域岸线空间管制，实施河湖管理范围划界立桩；</w:t>
            </w:r>
          </w:p>
          <w:p>
            <w:pPr>
              <w:spacing w:line="240" w:lineRule="auto"/>
              <w:ind w:firstLine="420"/>
              <w:jc w:val="left"/>
              <w:rPr>
                <w:sz w:val="21"/>
                <w:highlight w:val="none"/>
              </w:rPr>
            </w:pPr>
            <w:r>
              <w:rPr>
                <w:rFonts w:hint="eastAsia"/>
                <w:sz w:val="21"/>
                <w:highlight w:val="none"/>
              </w:rPr>
              <w:t>②做好河湖划界与国土空间“三区三线”划定等工作的衔接，对现状存在的涉水违建问题，依法依规分类处理。</w:t>
            </w:r>
          </w:p>
          <w:p>
            <w:pPr>
              <w:spacing w:line="240" w:lineRule="auto"/>
              <w:ind w:firstLine="420"/>
              <w:jc w:val="left"/>
              <w:rPr>
                <w:sz w:val="21"/>
                <w:highlight w:val="none"/>
              </w:rPr>
            </w:pPr>
            <w:r>
              <w:rPr>
                <w:rFonts w:hint="eastAsia"/>
                <w:sz w:val="21"/>
                <w:highlight w:val="none"/>
              </w:rPr>
              <w:t>③针对中小河流存在的淤积、河堤侵蚀、水毁农田房屋等问题，高质量推进全县中小河流治理任务；</w:t>
            </w:r>
          </w:p>
          <w:p>
            <w:pPr>
              <w:spacing w:line="240" w:lineRule="auto"/>
              <w:ind w:firstLine="420"/>
              <w:jc w:val="left"/>
              <w:rPr>
                <w:sz w:val="21"/>
                <w:highlight w:val="none"/>
              </w:rPr>
            </w:pPr>
            <w:r>
              <w:rPr>
                <w:rFonts w:hint="eastAsia"/>
                <w:sz w:val="21"/>
                <w:highlight w:val="none"/>
              </w:rPr>
              <w:t>④统筹考虑经济社会发展、能源需求、社会稳定、生态环境影响、电站布局优化、整改修复可行性等，开展小水电问题核查及综合评估，提出退出、整改或保留的评估意见，落实分类整改措施；</w:t>
            </w:r>
          </w:p>
          <w:p>
            <w:pPr>
              <w:spacing w:line="240" w:lineRule="auto"/>
              <w:ind w:firstLine="420"/>
              <w:jc w:val="left"/>
              <w:rPr>
                <w:sz w:val="21"/>
                <w:highlight w:val="none"/>
              </w:rPr>
            </w:pPr>
            <w:r>
              <w:rPr>
                <w:rFonts w:hint="eastAsia"/>
                <w:sz w:val="21"/>
                <w:highlight w:val="none"/>
              </w:rPr>
              <w:t>⑤建设连平河、忠信河、大湖河、五禾水、高陂水、茶新水、大坪水等碧道工程，打造生态活力滨水经济带；</w:t>
            </w:r>
          </w:p>
          <w:p>
            <w:pPr>
              <w:spacing w:line="240" w:lineRule="auto"/>
              <w:ind w:firstLine="420"/>
              <w:jc w:val="left"/>
              <w:rPr>
                <w:sz w:val="21"/>
                <w:highlight w:val="none"/>
              </w:rPr>
            </w:pPr>
            <w:r>
              <w:rPr>
                <w:rFonts w:hint="eastAsia"/>
                <w:sz w:val="21"/>
                <w:highlight w:val="none"/>
              </w:rPr>
              <w:t>⑥开展水生态环境调查评估，完成新丰江流域重点江河湖库水生态环境调查评估工作，掌握江河湖库生态环境现状，建立健全水生态环境数据档案；</w:t>
            </w:r>
          </w:p>
          <w:p>
            <w:pPr>
              <w:spacing w:line="240" w:lineRule="auto"/>
              <w:ind w:firstLine="420"/>
              <w:jc w:val="left"/>
              <w:rPr>
                <w:sz w:val="21"/>
                <w:highlight w:val="none"/>
              </w:rPr>
            </w:pPr>
            <w:r>
              <w:rPr>
                <w:rFonts w:hint="eastAsia"/>
                <w:sz w:val="21"/>
                <w:highlight w:val="none"/>
              </w:rPr>
              <w:t>⑦强化湿地系统保护，同步推进退化湿地修复、水生态治理、滨水景观营造，大力推进湿地公园建设。打造忠信河生态湿地及河岸生态缓冲带保护工程、大湖水河口生态湿地及河岸农田缓冲带建设工程，全面提升河湖湿地生态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1134" w:type="dxa"/>
            <w:vAlign w:val="center"/>
          </w:tcPr>
          <w:p>
            <w:pPr>
              <w:spacing w:line="240" w:lineRule="auto"/>
              <w:ind w:firstLine="0" w:firstLineChars="0"/>
              <w:jc w:val="center"/>
              <w:rPr>
                <w:sz w:val="21"/>
                <w:highlight w:val="none"/>
              </w:rPr>
            </w:pPr>
            <w:r>
              <w:rPr>
                <w:sz w:val="21"/>
                <w:highlight w:val="none"/>
              </w:rPr>
              <w:t>7</w:t>
            </w:r>
          </w:p>
        </w:tc>
        <w:tc>
          <w:tcPr>
            <w:tcW w:w="2997" w:type="dxa"/>
            <w:vMerge w:val="restart"/>
            <w:vAlign w:val="center"/>
          </w:tcPr>
          <w:p>
            <w:pPr>
              <w:spacing w:line="240" w:lineRule="auto"/>
              <w:ind w:firstLine="0" w:firstLineChars="0"/>
              <w:jc w:val="center"/>
              <w:rPr>
                <w:sz w:val="21"/>
                <w:highlight w:val="none"/>
              </w:rPr>
            </w:pPr>
            <w:r>
              <w:rPr>
                <w:sz w:val="21"/>
                <w:highlight w:val="none"/>
              </w:rPr>
              <w:t>森林生态环境</w:t>
            </w:r>
          </w:p>
        </w:tc>
        <w:tc>
          <w:tcPr>
            <w:tcW w:w="7182" w:type="dxa"/>
            <w:vAlign w:val="center"/>
          </w:tcPr>
          <w:p>
            <w:pPr>
              <w:spacing w:line="240" w:lineRule="auto"/>
              <w:ind w:firstLine="0" w:firstLineChars="0"/>
              <w:jc w:val="center"/>
              <w:rPr>
                <w:sz w:val="21"/>
                <w:highlight w:val="none"/>
              </w:rPr>
            </w:pPr>
            <w:r>
              <w:rPr>
                <w:b/>
                <w:sz w:val="21"/>
                <w:highlight w:val="none"/>
              </w:rPr>
              <w:t>森林质量总体不高。</w:t>
            </w:r>
            <w:r>
              <w:rPr>
                <w:sz w:val="21"/>
                <w:highlight w:val="none"/>
              </w:rPr>
              <w:t>中幼龄林所占比例过大，影响公益林生态效益的发挥；纯林多、混交林少，公益林林分组成中纯林比重大，其中以其他软阔、马尾松、杉木、桉树、湿地松为主，合占公益林蓄积量的65.34%；树种结构较单一，以其它软阔、针阔混交林和马尾松（广东松）为主，合占森林总蓄积量的75.81%。人为干扰大，全县处于原始状态的森林类型占比很低，仅为0.38%，Ⅴ级自然度占比达40.36%，尤其是东南部忠信河、大湖河、五禾水流域，包括三角镇、绣缎镇、大湖镇、忠信镇、高莞镇、莲塘茶场等，Ⅴ级自然度面积比例64.87%~100%。</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420"/>
              <w:jc w:val="left"/>
              <w:rPr>
                <w:sz w:val="21"/>
                <w:highlight w:val="none"/>
              </w:rPr>
            </w:pPr>
            <w:r>
              <w:rPr>
                <w:rFonts w:hint="eastAsia"/>
                <w:sz w:val="21"/>
                <w:highlight w:val="none"/>
              </w:rPr>
              <w:t>落实森林质量精准提升工程：①根据绿美河源生态建设工作部署，落实林分优化提升，逐步恢复地带性森林群落；②对连平河、大席河和忠信河流域范围内立地条件较好，为其他软阔、其他硬阔、针阔混交林、阔叶混交林等林分总体生长状况尚好的幼龄林和中龄林，通过采取修枝、割灌除草、施肥、补植、抚育伐等措施，调整林分生长空间，促进林分生长发育。</w:t>
            </w:r>
          </w:p>
          <w:p>
            <w:pPr>
              <w:spacing w:line="240" w:lineRule="auto"/>
              <w:ind w:firstLine="420"/>
              <w:jc w:val="left"/>
              <w:rPr>
                <w:sz w:val="21"/>
                <w:highlight w:val="none"/>
              </w:rPr>
            </w:pPr>
            <w:r>
              <w:rPr>
                <w:rFonts w:hint="eastAsia"/>
                <w:sz w:val="21"/>
                <w:highlight w:val="none"/>
              </w:rPr>
              <w:t>强化森林资源精细管护，完成天然林、生态公益林调查、核定和定界工作。全面保护天然林，对生态脆弱区及珍稀物种区，采用封禁管理、以自然恢复为主、人工促进更新为辅的生态修复措施，积极保护具有典型地带性特色的天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34" w:type="dxa"/>
            <w:vAlign w:val="center"/>
          </w:tcPr>
          <w:p>
            <w:pPr>
              <w:spacing w:line="240" w:lineRule="auto"/>
              <w:ind w:firstLine="0" w:firstLineChars="0"/>
              <w:jc w:val="center"/>
              <w:rPr>
                <w:sz w:val="21"/>
                <w:highlight w:val="none"/>
              </w:rPr>
            </w:pPr>
            <w:r>
              <w:rPr>
                <w:sz w:val="21"/>
                <w:highlight w:val="none"/>
              </w:rPr>
              <w:t>8</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松材线虫病等林业有害生物威胁大。</w:t>
            </w:r>
            <w:r>
              <w:rPr>
                <w:sz w:val="21"/>
                <w:highlight w:val="none"/>
              </w:rPr>
              <w:t>松林面积达54多万亩，全县松材线虫病发生疫情面积达13.07万亩，枯死松树18375株（含普查前已除治1487株），尤其是105国道、粤赣高速、大广</w:t>
            </w:r>
            <w:r>
              <w:rPr>
                <w:rFonts w:hint="eastAsia"/>
                <w:sz w:val="21"/>
                <w:highlight w:val="none"/>
                <w:lang w:eastAsia="zh-CN"/>
              </w:rPr>
              <w:t>高速</w:t>
            </w:r>
            <w:r>
              <w:rPr>
                <w:sz w:val="21"/>
                <w:highlight w:val="none"/>
              </w:rPr>
              <w:t>、昆汕</w:t>
            </w:r>
            <w:r>
              <w:rPr>
                <w:rFonts w:hint="eastAsia"/>
                <w:sz w:val="21"/>
                <w:highlight w:val="none"/>
                <w:lang w:eastAsia="zh-CN"/>
              </w:rPr>
              <w:t>高速</w:t>
            </w:r>
            <w:r>
              <w:rPr>
                <w:sz w:val="21"/>
                <w:highlight w:val="none"/>
              </w:rPr>
              <w:t>、武深高速、341线省道沿线两旁松林及县城、镇周边均分布着松材线虫病枯死树，疫区相互传播蔓延，严重威胁连平森林资源安全，松材线虫病防控压力重。另外，全县林地内红火蚁发生面积达1019亩，群众对红火蚁的危害认识不足，存在除治不及时、用药不得法、除治不彻底现象。</w:t>
            </w:r>
          </w:p>
        </w:tc>
        <w:tc>
          <w:tcPr>
            <w:tcW w:w="2693" w:type="dxa"/>
            <w:vAlign w:val="center"/>
          </w:tcPr>
          <w:p>
            <w:pPr>
              <w:spacing w:line="240" w:lineRule="auto"/>
              <w:ind w:firstLine="0" w:firstLineChars="0"/>
              <w:jc w:val="center"/>
              <w:rPr>
                <w:sz w:val="21"/>
                <w:highlight w:val="none"/>
              </w:rPr>
            </w:pPr>
            <w:r>
              <w:rPr>
                <w:sz w:val="21"/>
                <w:highlight w:val="none"/>
              </w:rPr>
              <w:t>105国道、粤赣高速、大广</w:t>
            </w:r>
            <w:r>
              <w:rPr>
                <w:rFonts w:hint="eastAsia"/>
                <w:sz w:val="21"/>
                <w:highlight w:val="none"/>
                <w:lang w:eastAsia="zh-CN"/>
              </w:rPr>
              <w:t>高速</w:t>
            </w:r>
            <w:r>
              <w:rPr>
                <w:sz w:val="21"/>
                <w:highlight w:val="none"/>
              </w:rPr>
              <w:t>、昆汕</w:t>
            </w:r>
            <w:r>
              <w:rPr>
                <w:rFonts w:hint="eastAsia"/>
                <w:sz w:val="21"/>
                <w:highlight w:val="none"/>
                <w:lang w:eastAsia="zh-CN"/>
              </w:rPr>
              <w:t>高速</w:t>
            </w:r>
            <w:r>
              <w:rPr>
                <w:sz w:val="21"/>
                <w:highlight w:val="none"/>
              </w:rPr>
              <w:t>、武深高速、341线省道沿线两旁松林及县城、镇周边</w:t>
            </w:r>
          </w:p>
        </w:tc>
        <w:tc>
          <w:tcPr>
            <w:tcW w:w="6306" w:type="dxa"/>
            <w:vAlign w:val="center"/>
          </w:tcPr>
          <w:p>
            <w:pPr>
              <w:spacing w:line="240" w:lineRule="auto"/>
              <w:ind w:firstLine="0" w:firstLineChars="0"/>
              <w:jc w:val="left"/>
              <w:rPr>
                <w:sz w:val="21"/>
                <w:highlight w:val="none"/>
              </w:rPr>
            </w:pPr>
            <w:r>
              <w:rPr>
                <w:rFonts w:hint="eastAsia"/>
                <w:sz w:val="21"/>
                <w:highlight w:val="none"/>
              </w:rPr>
              <w:t>以105国道、粤赣高速、大广</w:t>
            </w:r>
            <w:r>
              <w:rPr>
                <w:rFonts w:hint="eastAsia"/>
                <w:sz w:val="21"/>
                <w:highlight w:val="none"/>
                <w:lang w:eastAsia="zh-CN"/>
              </w:rPr>
              <w:t>高速</w:t>
            </w:r>
            <w:r>
              <w:rPr>
                <w:rFonts w:hint="eastAsia"/>
                <w:sz w:val="21"/>
                <w:highlight w:val="none"/>
              </w:rPr>
              <w:t>、昆汕</w:t>
            </w:r>
            <w:r>
              <w:rPr>
                <w:rFonts w:hint="eastAsia"/>
                <w:sz w:val="21"/>
                <w:highlight w:val="none"/>
                <w:lang w:eastAsia="zh-CN"/>
              </w:rPr>
              <w:t>高速</w:t>
            </w:r>
            <w:r>
              <w:rPr>
                <w:rFonts w:hint="eastAsia"/>
                <w:sz w:val="21"/>
                <w:highlight w:val="none"/>
              </w:rPr>
              <w:t>、武深高速、341线省道沿线两旁松林及县城、镇周边区域为重点，实施松材线虫病防控攻坚行动。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134" w:type="dxa"/>
            <w:vAlign w:val="center"/>
          </w:tcPr>
          <w:p>
            <w:pPr>
              <w:spacing w:line="240" w:lineRule="auto"/>
              <w:ind w:firstLine="0" w:firstLineChars="0"/>
              <w:jc w:val="center"/>
              <w:rPr>
                <w:sz w:val="21"/>
                <w:highlight w:val="none"/>
              </w:rPr>
            </w:pPr>
            <w:r>
              <w:rPr>
                <w:sz w:val="21"/>
                <w:highlight w:val="none"/>
              </w:rPr>
              <w:t>9</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土壤侵蚀、石漠化等土地退化问题仍较突出。</w:t>
            </w:r>
            <w:r>
              <w:rPr>
                <w:sz w:val="21"/>
                <w:highlight w:val="none"/>
              </w:rPr>
              <w:t>森林生态系统土壤侵蚀面积达2622.28公顷，石漠化面积达760.71公顷，土壤侵蚀、石漠化等土地退化问题分布范围广，生态敏感性等级脆弱。</w:t>
            </w:r>
          </w:p>
        </w:tc>
        <w:tc>
          <w:tcPr>
            <w:tcW w:w="2693" w:type="dxa"/>
            <w:vAlign w:val="center"/>
          </w:tcPr>
          <w:p>
            <w:pPr>
              <w:spacing w:line="240" w:lineRule="auto"/>
              <w:ind w:firstLine="0" w:firstLineChars="0"/>
              <w:jc w:val="center"/>
              <w:rPr>
                <w:sz w:val="21"/>
                <w:highlight w:val="none"/>
              </w:rPr>
            </w:pPr>
            <w:r>
              <w:rPr>
                <w:sz w:val="21"/>
                <w:highlight w:val="none"/>
              </w:rPr>
              <w:t>九连山林场、上坪镇、隆街镇、溪山镇、陂头镇</w:t>
            </w:r>
          </w:p>
        </w:tc>
        <w:tc>
          <w:tcPr>
            <w:tcW w:w="6306" w:type="dxa"/>
            <w:vAlign w:val="center"/>
          </w:tcPr>
          <w:p>
            <w:pPr>
              <w:spacing w:line="240" w:lineRule="auto"/>
              <w:ind w:firstLine="0" w:firstLineChars="0"/>
              <w:jc w:val="left"/>
              <w:rPr>
                <w:sz w:val="21"/>
                <w:highlight w:val="none"/>
              </w:rPr>
            </w:pPr>
            <w:r>
              <w:rPr>
                <w:rFonts w:hint="eastAsia"/>
                <w:sz w:val="21"/>
                <w:highlight w:val="none"/>
              </w:rPr>
              <w:t>选择适宜造林的土壤侵蚀、石漠化等土地退化问题突出的区域开展人工造林。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134" w:type="dxa"/>
            <w:vAlign w:val="center"/>
          </w:tcPr>
          <w:p>
            <w:pPr>
              <w:spacing w:line="240" w:lineRule="auto"/>
              <w:ind w:firstLine="0" w:firstLineChars="0"/>
              <w:jc w:val="center"/>
              <w:rPr>
                <w:sz w:val="21"/>
                <w:highlight w:val="none"/>
              </w:rPr>
            </w:pPr>
            <w:r>
              <w:rPr>
                <w:sz w:val="21"/>
                <w:highlight w:val="none"/>
              </w:rPr>
              <w:t>10</w:t>
            </w:r>
          </w:p>
        </w:tc>
        <w:tc>
          <w:tcPr>
            <w:tcW w:w="2997" w:type="dxa"/>
            <w:vMerge w:val="restart"/>
            <w:vAlign w:val="center"/>
          </w:tcPr>
          <w:p>
            <w:pPr>
              <w:spacing w:line="240" w:lineRule="auto"/>
              <w:ind w:firstLine="0" w:firstLineChars="0"/>
              <w:jc w:val="center"/>
              <w:rPr>
                <w:sz w:val="21"/>
                <w:highlight w:val="none"/>
              </w:rPr>
            </w:pPr>
            <w:r>
              <w:rPr>
                <w:sz w:val="21"/>
                <w:highlight w:val="none"/>
              </w:rPr>
              <w:t>生物多样性</w:t>
            </w:r>
          </w:p>
        </w:tc>
        <w:tc>
          <w:tcPr>
            <w:tcW w:w="7182" w:type="dxa"/>
            <w:vAlign w:val="center"/>
          </w:tcPr>
          <w:p>
            <w:pPr>
              <w:spacing w:line="240" w:lineRule="auto"/>
              <w:ind w:firstLine="0" w:firstLineChars="0"/>
              <w:jc w:val="center"/>
              <w:rPr>
                <w:sz w:val="21"/>
                <w:highlight w:val="none"/>
              </w:rPr>
            </w:pPr>
            <w:r>
              <w:rPr>
                <w:b/>
                <w:sz w:val="21"/>
                <w:highlight w:val="none"/>
              </w:rPr>
              <w:t>生物多样性本底未清。</w:t>
            </w:r>
            <w:r>
              <w:rPr>
                <w:sz w:val="21"/>
                <w:highlight w:val="none"/>
              </w:rPr>
              <w:t>全县系统性的生物多样性本底调查等基础工作尚未开展，对野生动植物分布空间格局和生态资源动态变化数据掌握不全面，从而制约野生动植物及其栖息地保护、生态廊道恢复等生物多样性保护工作。</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0" w:firstLineChars="0"/>
              <w:jc w:val="left"/>
              <w:rPr>
                <w:sz w:val="21"/>
                <w:highlight w:val="none"/>
              </w:rPr>
            </w:pPr>
            <w:r>
              <w:rPr>
                <w:rFonts w:hint="eastAsia"/>
                <w:sz w:val="21"/>
                <w:highlight w:val="none"/>
              </w:rPr>
              <w:t>以国家南岭生物多样性保护优先区、自然保护区和自然公园为重点，有条件的情况下，开展森林、湿地、河流、湖库等生态系统生物多样性调查，分析全县野生动植物种类、种群状况、生境、威胁状况、开发利用价值等，摸清野生动植物空间分布状况，构建涵盖物种分布数据库，建立物种资源调查及收集信息平台，掌握生物多样性总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34" w:type="dxa"/>
            <w:vAlign w:val="center"/>
          </w:tcPr>
          <w:p>
            <w:pPr>
              <w:spacing w:line="240" w:lineRule="auto"/>
              <w:ind w:firstLine="0" w:firstLineChars="0"/>
              <w:jc w:val="center"/>
              <w:rPr>
                <w:sz w:val="21"/>
                <w:highlight w:val="none"/>
              </w:rPr>
            </w:pPr>
            <w:r>
              <w:rPr>
                <w:sz w:val="21"/>
                <w:highlight w:val="none"/>
              </w:rPr>
              <w:t>11</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生物多样性保护体系尚未完善。</w:t>
            </w:r>
            <w:r>
              <w:rPr>
                <w:sz w:val="21"/>
                <w:highlight w:val="none"/>
              </w:rPr>
              <w:t>自然保护地累积了很多历史遗留问题，存在大量城镇、村庄、耕地（含永久基本农田）、矿业权、人工商品林等空间矛盾冲突，城乡发展、基础设施建设、工农业生产、居民生活与保护管理矛盾冲突。部分典型生态系统的分布区域、野生植物关键生境、野生动物重要栖息地，以及具有重要科学、科普教育价值的地质遗迹等尚未纳入自然保护地范围受到保护。</w:t>
            </w:r>
          </w:p>
        </w:tc>
        <w:tc>
          <w:tcPr>
            <w:tcW w:w="2693" w:type="dxa"/>
            <w:vAlign w:val="center"/>
          </w:tcPr>
          <w:p>
            <w:pPr>
              <w:spacing w:line="240" w:lineRule="auto"/>
              <w:ind w:firstLine="0" w:firstLineChars="0"/>
              <w:jc w:val="center"/>
              <w:rPr>
                <w:sz w:val="21"/>
                <w:highlight w:val="none"/>
              </w:rPr>
            </w:pPr>
            <w:r>
              <w:rPr>
                <w:sz w:val="21"/>
                <w:highlight w:val="none"/>
              </w:rPr>
              <w:t>14处自然保护地</w:t>
            </w:r>
          </w:p>
        </w:tc>
        <w:tc>
          <w:tcPr>
            <w:tcW w:w="6306" w:type="dxa"/>
            <w:vAlign w:val="center"/>
          </w:tcPr>
          <w:p>
            <w:pPr>
              <w:spacing w:line="240" w:lineRule="auto"/>
              <w:ind w:firstLine="0" w:firstLineChars="0"/>
              <w:jc w:val="left"/>
              <w:rPr>
                <w:sz w:val="21"/>
                <w:highlight w:val="none"/>
              </w:rPr>
            </w:pPr>
            <w:r>
              <w:rPr>
                <w:rFonts w:hint="eastAsia"/>
                <w:sz w:val="21"/>
                <w:highlight w:val="none"/>
              </w:rPr>
              <w:t>①持续推进自然保护地整合优化预案成果落地，确定自然保护地体系结构，形成以自然保护区为基础、各类自然公园为补充的自然保护地体系；</w:t>
            </w:r>
          </w:p>
          <w:p>
            <w:pPr>
              <w:spacing w:line="240" w:lineRule="auto"/>
              <w:ind w:firstLine="0" w:firstLineChars="0"/>
              <w:jc w:val="left"/>
              <w:rPr>
                <w:sz w:val="21"/>
                <w:highlight w:val="none"/>
              </w:rPr>
            </w:pPr>
            <w:r>
              <w:rPr>
                <w:rFonts w:hint="eastAsia"/>
                <w:sz w:val="21"/>
                <w:highlight w:val="none"/>
              </w:rPr>
              <w:t>②结合自然生态空间格局状况、国土空间规划，衔接三条控制线划定，按照自然保护地整合优化工作部署，遵循自然生态系统完整性和生态廊道连通性原则，解决自然保护地交叉、空间重叠等城镇、村庄、耕地（含永久基本农田）、矿业权、人工商品林等空间矛盾冲突问题，将典型生态系统分布区、野生植物关键生境、野生动物重要栖息地，以及具有重要科学、科普教育价值的地质遗迹等保护空缺纳入自然保护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1" w:hRule="atLeast"/>
          <w:jc w:val="center"/>
        </w:trPr>
        <w:tc>
          <w:tcPr>
            <w:tcW w:w="1134" w:type="dxa"/>
            <w:vAlign w:val="center"/>
          </w:tcPr>
          <w:p>
            <w:pPr>
              <w:spacing w:line="240" w:lineRule="auto"/>
              <w:ind w:firstLine="0" w:firstLineChars="0"/>
              <w:jc w:val="center"/>
              <w:rPr>
                <w:sz w:val="21"/>
                <w:highlight w:val="none"/>
              </w:rPr>
            </w:pPr>
            <w:r>
              <w:rPr>
                <w:sz w:val="21"/>
                <w:highlight w:val="none"/>
              </w:rPr>
              <w:t>12</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生物多样性保护形势严峻。</w:t>
            </w:r>
            <w:r>
              <w:rPr>
                <w:sz w:val="21"/>
                <w:highlight w:val="none"/>
              </w:rPr>
              <w:t>连平所在区域为国家南岭生物多样性保护优先区域，粤北生态发展区，生物多样性丰富，区域内拥有我国重要生物物种基因库，被列入国际生物多样性热点地区和国家生物多样性保护优先区。现状生物多样性本底未清，历史遗留矿山数量多、分布广，地质灾害敏感性较高，水土流失、石漠化等土地退化问题仍较突出，尤其是陂头、内莞喀斯特（岩溶）地区地貌发育的生态脆弱地区，野生动植物栖息地受损，入侵物种威胁本地物种生存，生物多样性保护形势严峻。</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0" w:firstLineChars="0"/>
              <w:jc w:val="left"/>
              <w:rPr>
                <w:sz w:val="21"/>
                <w:highlight w:val="none"/>
              </w:rPr>
            </w:pPr>
            <w:r>
              <w:rPr>
                <w:rFonts w:hint="eastAsia"/>
                <w:sz w:val="21"/>
                <w:highlight w:val="none"/>
              </w:rPr>
              <w:t>①以国家南岭生物多样性保护优先区、自然保护区和自然公园为重点，有条件的情况下，开展森林、湿地、河流、湖库等生态系统生物多样性调查，分析全县野生动植物种类、种群状况、生境、威胁状况、开发利用价值等，摸清野生动植物空间分布状况，构建涵盖物种分布数据库，建立物种资源调查及收集信息平台，掌握生物多样性总体情况。</w:t>
            </w:r>
          </w:p>
          <w:p>
            <w:pPr>
              <w:spacing w:line="240" w:lineRule="auto"/>
              <w:ind w:firstLine="0" w:firstLineChars="0"/>
              <w:jc w:val="left"/>
              <w:rPr>
                <w:sz w:val="21"/>
                <w:highlight w:val="none"/>
              </w:rPr>
            </w:pPr>
            <w:r>
              <w:rPr>
                <w:rFonts w:hint="eastAsia"/>
                <w:sz w:val="21"/>
                <w:highlight w:val="none"/>
              </w:rPr>
              <w:t>②结合历史遗留矿山生态修复、水土流失防治、森林质量精准提升等工作，开展野生动植物保护及栖息地修复；</w:t>
            </w:r>
          </w:p>
          <w:p>
            <w:pPr>
              <w:spacing w:line="240" w:lineRule="auto"/>
              <w:ind w:firstLine="0" w:firstLineChars="0"/>
              <w:jc w:val="left"/>
              <w:rPr>
                <w:sz w:val="21"/>
                <w:highlight w:val="none"/>
              </w:rPr>
            </w:pPr>
            <w:r>
              <w:rPr>
                <w:rFonts w:hint="eastAsia"/>
                <w:sz w:val="21"/>
                <w:highlight w:val="none"/>
              </w:rPr>
              <w:t>③完善野生动植物资源监测体系，掌握物种种群和生境状况，特别是黄腹角雉、穿山甲、金斑喙凤蝶、白鹇、南方红豆杉、金线兰、金毛狗、桫椤、樟树（香樟）、华南栲（锥）、半枫荷、花榈木、伞花木、榉树等国家重点保护物种、珍稀濒危物种数量、分布及动态变化情况；</w:t>
            </w:r>
          </w:p>
          <w:p>
            <w:pPr>
              <w:spacing w:line="240" w:lineRule="auto"/>
              <w:ind w:firstLine="0" w:firstLineChars="0"/>
              <w:jc w:val="left"/>
              <w:rPr>
                <w:sz w:val="21"/>
                <w:highlight w:val="none"/>
              </w:rPr>
            </w:pPr>
            <w:r>
              <w:rPr>
                <w:rFonts w:hint="eastAsia"/>
                <w:sz w:val="21"/>
                <w:highlight w:val="none"/>
              </w:rPr>
              <w:t>④结合国土空间规划成果，根据生物多样性调查评价及监测结果，对分布重点保护陆生野生动物受损栖息地，分布重点保护野生植物和极小种群野生植物的关键生境，采用以自然恢复为主、人工促进为辅的方法进行保护恢复；</w:t>
            </w:r>
          </w:p>
          <w:p>
            <w:pPr>
              <w:spacing w:line="240" w:lineRule="auto"/>
              <w:ind w:firstLine="0" w:firstLineChars="0"/>
              <w:jc w:val="left"/>
              <w:rPr>
                <w:sz w:val="21"/>
                <w:highlight w:val="none"/>
              </w:rPr>
            </w:pPr>
            <w:r>
              <w:rPr>
                <w:rFonts w:hint="eastAsia"/>
                <w:sz w:val="21"/>
                <w:highlight w:val="none"/>
              </w:rPr>
              <w:t>⑤加强外来物种和有害生物监测能力，提高对重要野生动植物和重要生态系统构成威胁的外来物种和有害生物的治理水平；</w:t>
            </w:r>
          </w:p>
          <w:p>
            <w:pPr>
              <w:spacing w:line="240" w:lineRule="auto"/>
              <w:ind w:firstLine="0" w:firstLineChars="0"/>
              <w:jc w:val="left"/>
              <w:rPr>
                <w:sz w:val="21"/>
                <w:highlight w:val="none"/>
              </w:rPr>
            </w:pPr>
            <w:r>
              <w:rPr>
                <w:rFonts w:hint="eastAsia"/>
                <w:sz w:val="21"/>
                <w:highlight w:val="none"/>
              </w:rPr>
              <w:t>⑥制定生物多样性保护的中长期规划和行动计划，建立健全野生动植物及其栖息地保护管理长效机制；加强生物多样性保护监察执法。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1134" w:type="dxa"/>
            <w:vAlign w:val="center"/>
          </w:tcPr>
          <w:p>
            <w:pPr>
              <w:spacing w:line="240" w:lineRule="auto"/>
              <w:ind w:firstLine="0" w:firstLineChars="0"/>
              <w:jc w:val="center"/>
              <w:rPr>
                <w:sz w:val="21"/>
                <w:highlight w:val="none"/>
              </w:rPr>
            </w:pPr>
            <w:r>
              <w:rPr>
                <w:sz w:val="21"/>
                <w:highlight w:val="none"/>
              </w:rPr>
              <w:t>13</w:t>
            </w:r>
          </w:p>
        </w:tc>
        <w:tc>
          <w:tcPr>
            <w:tcW w:w="2997" w:type="dxa"/>
            <w:vAlign w:val="center"/>
          </w:tcPr>
          <w:p>
            <w:pPr>
              <w:spacing w:line="240" w:lineRule="auto"/>
              <w:ind w:firstLine="0" w:firstLineChars="0"/>
              <w:jc w:val="center"/>
              <w:rPr>
                <w:sz w:val="21"/>
                <w:highlight w:val="none"/>
              </w:rPr>
            </w:pPr>
            <w:r>
              <w:rPr>
                <w:sz w:val="21"/>
                <w:highlight w:val="none"/>
              </w:rPr>
              <w:t>农田生态环境</w:t>
            </w:r>
          </w:p>
        </w:tc>
        <w:tc>
          <w:tcPr>
            <w:tcW w:w="7182" w:type="dxa"/>
            <w:vAlign w:val="center"/>
          </w:tcPr>
          <w:p>
            <w:pPr>
              <w:spacing w:line="240" w:lineRule="auto"/>
              <w:ind w:firstLine="0" w:firstLineChars="0"/>
              <w:jc w:val="center"/>
              <w:rPr>
                <w:sz w:val="21"/>
                <w:highlight w:val="none"/>
              </w:rPr>
            </w:pPr>
            <w:r>
              <w:rPr>
                <w:sz w:val="21"/>
                <w:highlight w:val="none"/>
              </w:rPr>
              <w:t>耕地土壤受</w:t>
            </w:r>
            <w:r>
              <w:rPr>
                <w:rFonts w:hint="eastAsia"/>
                <w:sz w:val="21"/>
                <w:highlight w:val="none"/>
              </w:rPr>
              <w:t>镉</w:t>
            </w:r>
            <w:r>
              <w:rPr>
                <w:sz w:val="21"/>
                <w:highlight w:val="none"/>
              </w:rPr>
              <w:t>、汞污染，重金属超标问题需进一步采取适宜的安全利用措施，对措施落地区域农产品重金属含量情况进行持续跟踪监测。</w:t>
            </w:r>
          </w:p>
        </w:tc>
        <w:tc>
          <w:tcPr>
            <w:tcW w:w="2693" w:type="dxa"/>
            <w:vAlign w:val="center"/>
          </w:tcPr>
          <w:p>
            <w:pPr>
              <w:spacing w:line="240" w:lineRule="auto"/>
              <w:ind w:firstLine="0" w:firstLineChars="0"/>
              <w:jc w:val="center"/>
              <w:rPr>
                <w:sz w:val="21"/>
                <w:highlight w:val="none"/>
              </w:rPr>
            </w:pPr>
            <w:r>
              <w:rPr>
                <w:sz w:val="21"/>
                <w:highlight w:val="none"/>
              </w:rPr>
              <w:t>元善镇、溪山镇、陂头镇、田源镇和油溪镇</w:t>
            </w:r>
          </w:p>
        </w:tc>
        <w:tc>
          <w:tcPr>
            <w:tcW w:w="6306" w:type="dxa"/>
            <w:vAlign w:val="center"/>
          </w:tcPr>
          <w:p>
            <w:pPr>
              <w:spacing w:line="240" w:lineRule="auto"/>
              <w:ind w:firstLine="0" w:firstLineChars="0"/>
              <w:jc w:val="left"/>
              <w:rPr>
                <w:sz w:val="21"/>
                <w:highlight w:val="none"/>
              </w:rPr>
            </w:pPr>
            <w:r>
              <w:rPr>
                <w:rFonts w:hint="eastAsia"/>
                <w:sz w:val="21"/>
                <w:highlight w:val="none"/>
              </w:rPr>
              <w:t>以市下达耕地土壤环境质量分类成果数据以及受污染耕地安全利用区域排查结果为依据，系统梳理元善镇、溪山镇、陂头镇、田源镇和油溪镇等乡镇存在的突出问题与问题区域，优化调整各年度耕地分类管理实施方案，因地制宜落实受污染耕地安全利用措施，持续开展耕地土壤及农产品协同监测评价。</w:t>
            </w:r>
          </w:p>
        </w:tc>
      </w:tr>
    </w:tbl>
    <w:p>
      <w:pPr>
        <w:ind w:firstLine="0" w:firstLineChars="0"/>
        <w:rPr>
          <w:szCs w:val="24"/>
          <w:highlight w:val="none"/>
        </w:rPr>
      </w:pPr>
    </w:p>
    <w:p>
      <w:pPr>
        <w:ind w:firstLine="0" w:firstLineChars="0"/>
        <w:rPr>
          <w:szCs w:val="24"/>
          <w:highlight w:val="none"/>
        </w:rPr>
        <w:sectPr>
          <w:pgSz w:w="23814" w:h="16839" w:orient="landscape"/>
          <w:pgMar w:top="1803" w:right="1440" w:bottom="1803" w:left="1440" w:header="851" w:footer="992" w:gutter="0"/>
          <w:cols w:space="0" w:num="1"/>
          <w:docGrid w:type="lines" w:linePitch="326" w:charSpace="0"/>
        </w:sectPr>
      </w:pPr>
    </w:p>
    <w:bookmarkEnd w:id="2"/>
    <w:bookmarkEnd w:id="3"/>
    <w:bookmarkEnd w:id="4"/>
    <w:bookmarkEnd w:id="5"/>
    <w:bookmarkEnd w:id="6"/>
    <w:bookmarkEnd w:id="7"/>
    <w:bookmarkEnd w:id="8"/>
    <w:p>
      <w:pPr>
        <w:pStyle w:val="85"/>
        <w:spacing w:before="652" w:after="326"/>
        <w:rPr>
          <w:rFonts w:ascii="Times New Roman" w:hAnsi="Times New Roman" w:cs="Times New Roman"/>
          <w:highlight w:val="none"/>
        </w:rPr>
      </w:pPr>
      <w:bookmarkStart w:id="71" w:name="_Toc140764116"/>
      <w:r>
        <w:rPr>
          <w:rFonts w:ascii="Times New Roman" w:hAnsi="Times New Roman" w:cs="Times New Roman"/>
          <w:highlight w:val="none"/>
        </w:rPr>
        <w:t>生态保护修复分区</w:t>
      </w:r>
      <w:bookmarkEnd w:id="71"/>
    </w:p>
    <w:p>
      <w:pPr>
        <w:pStyle w:val="87"/>
        <w:ind w:left="0" w:firstLine="0"/>
        <w:rPr>
          <w:rFonts w:eastAsia="宋体"/>
          <w:color w:val="auto"/>
          <w:sz w:val="28"/>
          <w:szCs w:val="21"/>
          <w:highlight w:val="none"/>
        </w:rPr>
      </w:pPr>
      <w:bookmarkStart w:id="72" w:name="_Toc140764117"/>
      <w:r>
        <w:rPr>
          <w:rFonts w:hint="eastAsia" w:eastAsia="宋体"/>
          <w:color w:val="auto"/>
          <w:sz w:val="28"/>
          <w:szCs w:val="21"/>
          <w:highlight w:val="none"/>
        </w:rPr>
        <w:t>分区依据</w:t>
      </w:r>
      <w:bookmarkEnd w:id="72"/>
    </w:p>
    <w:p>
      <w:pPr>
        <w:ind w:firstLine="480"/>
        <w:rPr>
          <w:highlight w:val="none"/>
        </w:rPr>
      </w:pPr>
      <w:r>
        <w:rPr>
          <w:rFonts w:hint="eastAsia"/>
          <w:highlight w:val="none"/>
        </w:rPr>
        <w:t>参考《山水林田湖草生态保护修复工程指南（试行）》（自然资办发〔2020〕38号）、《山水林田湖草生态保护修复规划技术规范》（DB41/T1991-2020）要求，划定连平县生态功能保护修复分区。</w:t>
      </w:r>
    </w:p>
    <w:p>
      <w:pPr>
        <w:pStyle w:val="87"/>
        <w:ind w:left="0" w:firstLine="0"/>
        <w:rPr>
          <w:rFonts w:eastAsia="宋体"/>
          <w:color w:val="auto"/>
          <w:sz w:val="28"/>
          <w:szCs w:val="21"/>
          <w:highlight w:val="none"/>
        </w:rPr>
      </w:pPr>
      <w:bookmarkStart w:id="73" w:name="_Toc140764118"/>
      <w:r>
        <w:rPr>
          <w:rFonts w:eastAsia="宋体"/>
          <w:color w:val="auto"/>
          <w:sz w:val="28"/>
          <w:szCs w:val="21"/>
          <w:highlight w:val="none"/>
        </w:rPr>
        <w:t>分区原则</w:t>
      </w:r>
      <w:bookmarkEnd w:id="73"/>
    </w:p>
    <w:p>
      <w:pPr>
        <w:ind w:firstLine="480"/>
        <w:rPr>
          <w:color w:val="FF0000"/>
          <w:highlight w:val="none"/>
        </w:rPr>
      </w:pPr>
      <w:r>
        <w:rPr>
          <w:highlight w:val="none"/>
        </w:rPr>
        <w:t>坚持尊重自然、顺应自然、保护自然的原则，</w:t>
      </w:r>
      <w:r>
        <w:rPr>
          <w:rFonts w:hint="eastAsia"/>
          <w:highlight w:val="none"/>
        </w:rPr>
        <w:t>围绕省委关于“一核一带一区”新格局部署，立足粤北地区重要生态屏障和南岭山脉生态保护重要核心区、南岭生物多样性保护优先区的定位，</w:t>
      </w:r>
      <w:r>
        <w:rPr>
          <w:highlight w:val="none"/>
        </w:rPr>
        <w:t>系统考虑地形地貌、流域分区等自然地理格局，以山水林湖田草等自然资源空间分布为基础，在充分考虑国土空间规划</w:t>
      </w:r>
      <w:r>
        <w:rPr>
          <w:rFonts w:hint="eastAsia"/>
          <w:highlight w:val="none"/>
        </w:rPr>
        <w:t>、</w:t>
      </w:r>
      <w:r>
        <w:rPr>
          <w:highlight w:val="none"/>
        </w:rPr>
        <w:t>生态系统性和生态功能完整性的基础上，充分衔接</w:t>
      </w:r>
      <w:r>
        <w:rPr>
          <w:rFonts w:hint="eastAsia"/>
          <w:highlight w:val="none"/>
        </w:rPr>
        <w:t>县域国土空间开发格局、“三区三线”、县域产业格局规划，以及</w:t>
      </w:r>
      <w:r>
        <w:rPr>
          <w:highlight w:val="none"/>
        </w:rPr>
        <w:t>生物多样性保护区</w:t>
      </w:r>
      <w:r>
        <w:rPr>
          <w:rFonts w:hint="eastAsia"/>
          <w:highlight w:val="none"/>
        </w:rPr>
        <w:t>、</w:t>
      </w:r>
      <w:r>
        <w:rPr>
          <w:highlight w:val="none"/>
        </w:rPr>
        <w:t>水源保护和涵养区</w:t>
      </w:r>
      <w:r>
        <w:rPr>
          <w:rFonts w:hint="eastAsia"/>
          <w:highlight w:val="none"/>
        </w:rPr>
        <w:t>、</w:t>
      </w:r>
      <w:r>
        <w:rPr>
          <w:highlight w:val="none"/>
        </w:rPr>
        <w:t>水土保持区等</w:t>
      </w:r>
      <w:r>
        <w:rPr>
          <w:rFonts w:hint="eastAsia"/>
          <w:highlight w:val="none"/>
        </w:rPr>
        <w:t>划分</w:t>
      </w:r>
      <w:r>
        <w:rPr>
          <w:highlight w:val="none"/>
        </w:rPr>
        <w:t>情况，根据主导生态系统服务功能类型以及存在的关键问题，划定生态功能保护修复区。</w:t>
      </w:r>
    </w:p>
    <w:p>
      <w:pPr>
        <w:pStyle w:val="87"/>
        <w:ind w:left="0" w:firstLine="0"/>
        <w:rPr>
          <w:rFonts w:eastAsia="宋体"/>
          <w:color w:val="auto"/>
          <w:sz w:val="28"/>
          <w:szCs w:val="21"/>
          <w:highlight w:val="none"/>
        </w:rPr>
      </w:pPr>
      <w:bookmarkStart w:id="74" w:name="_Toc140764119"/>
      <w:r>
        <w:rPr>
          <w:rFonts w:eastAsia="宋体"/>
          <w:color w:val="auto"/>
          <w:sz w:val="28"/>
          <w:szCs w:val="21"/>
          <w:highlight w:val="none"/>
        </w:rPr>
        <w:t>划分结果</w:t>
      </w:r>
      <w:bookmarkEnd w:id="74"/>
    </w:p>
    <w:p>
      <w:pPr>
        <w:ind w:firstLine="480"/>
        <w:rPr>
          <w:highlight w:val="none"/>
        </w:rPr>
      </w:pPr>
      <w:r>
        <w:rPr>
          <w:rFonts w:hint="eastAsia"/>
          <w:highlight w:val="none"/>
        </w:rPr>
        <w:t>连平</w:t>
      </w:r>
      <w:r>
        <w:rPr>
          <w:highlight w:val="none"/>
        </w:rPr>
        <w:t>县生态功能保护修复划分为</w:t>
      </w:r>
      <w:r>
        <w:rPr>
          <w:rFonts w:hint="eastAsia"/>
          <w:highlight w:val="none"/>
        </w:rPr>
        <w:t>4个分区，分别为北部生物多样性维护区、西部连平河-新丰江水生态功能维护区、中部新丰江水库水源涵养区和东部水土保持功能维护区。</w:t>
      </w:r>
      <w:r>
        <w:rPr>
          <w:highlight w:val="none"/>
        </w:rPr>
        <w:t>各生态保护修复分区详见图4.</w:t>
      </w:r>
      <w:r>
        <w:rPr>
          <w:rFonts w:hint="eastAsia"/>
          <w:highlight w:val="none"/>
        </w:rPr>
        <w:t>3</w:t>
      </w:r>
      <w:r>
        <w:rPr>
          <w:highlight w:val="none"/>
        </w:rPr>
        <w:t>-1。</w:t>
      </w:r>
    </w:p>
    <w:p>
      <w:pPr>
        <w:ind w:firstLine="480"/>
        <w:rPr>
          <w:color w:val="FF0000"/>
          <w:highlight w:val="none"/>
        </w:rPr>
        <w:sectPr>
          <w:footerReference r:id="rId14" w:type="default"/>
          <w:pgSz w:w="11907" w:h="16840"/>
          <w:pgMar w:top="1440" w:right="1803" w:bottom="1803" w:left="1803" w:header="851" w:footer="992" w:gutter="0"/>
          <w:cols w:space="0" w:num="1"/>
          <w:docGrid w:type="lines" w:linePitch="326" w:charSpace="0"/>
        </w:sectPr>
      </w:pPr>
    </w:p>
    <w:p>
      <w:pPr>
        <w:pStyle w:val="87"/>
        <w:ind w:left="0" w:firstLine="0"/>
        <w:rPr>
          <w:rFonts w:eastAsia="宋体"/>
          <w:color w:val="auto"/>
          <w:sz w:val="28"/>
          <w:szCs w:val="21"/>
          <w:highlight w:val="none"/>
        </w:rPr>
      </w:pPr>
      <w:bookmarkStart w:id="75" w:name="_Toc140764120"/>
      <w:r>
        <w:rPr>
          <w:rFonts w:eastAsia="宋体"/>
          <w:color w:val="auto"/>
          <w:sz w:val="28"/>
          <w:szCs w:val="21"/>
          <w:highlight w:val="none"/>
        </w:rPr>
        <w:t>目标与要求</w:t>
      </w:r>
      <w:bookmarkEnd w:id="75"/>
    </w:p>
    <w:p>
      <w:pPr>
        <w:ind w:firstLine="482"/>
        <w:rPr>
          <w:b/>
          <w:color w:val="FF0000"/>
          <w:highlight w:val="none"/>
        </w:rPr>
      </w:pPr>
      <w:r>
        <w:rPr>
          <w:b/>
          <w:highlight w:val="none"/>
        </w:rPr>
        <w:t xml:space="preserve">1. </w:t>
      </w:r>
      <w:r>
        <w:rPr>
          <w:rFonts w:hint="eastAsia"/>
          <w:b/>
          <w:highlight w:val="none"/>
        </w:rPr>
        <w:t>北部生物多样性维护区</w:t>
      </w:r>
    </w:p>
    <w:p>
      <w:pPr>
        <w:ind w:firstLine="480"/>
        <w:rPr>
          <w:highlight w:val="none"/>
        </w:rPr>
      </w:pPr>
      <w:r>
        <w:rPr>
          <w:rFonts w:hint="eastAsia"/>
          <w:highlight w:val="none"/>
        </w:rPr>
        <w:t>北部生物多样性维护区包括陂头镇、上坪镇和内莞镇东部。该分区为连平北部生态屏障，覆盖了南岭生物多样性保护优先区域全部范围以及县内大部分生物多样性维护类生态保护红线，也是连平一般生态空间集中分布区域。黄牛石省级自然保护区位于分区范围内，主要保护对象包括中亚热带常绿阔叶林森林生态系统；国家重点保护的珍稀动植物物种，特别是我国、我省特有种；国家重点保护动物的栖息地和珍稀植物的原生地；奇特的自然景观资源等。另外，分区内还建有河源陂头省级地质公园、河源连平石天井森林公园、河源连平小水三洞森林公园等自然公园。</w:t>
      </w:r>
    </w:p>
    <w:p>
      <w:pPr>
        <w:ind w:firstLine="480"/>
        <w:rPr>
          <w:highlight w:val="none"/>
        </w:rPr>
      </w:pPr>
      <w:r>
        <w:rPr>
          <w:rFonts w:hint="eastAsia"/>
          <w:highlight w:val="none"/>
        </w:rPr>
        <w:t>该分区位于连平县北部，生物多样性丰富，生态功能保护修复以生物多样性保护为目标，尽快落实黄牛石自然保护区及其他自然保护地边界和功能区划界线的调查、勘测和立标等工作，解决自然保护地交叉、空间重叠等城镇、村庄、耕地（含永久基本农田）、矿业权、人工商品林等空间矛盾冲突问题，并将典型生态系统分布区、野生植物关键生境、野生动物重要栖息地等保护空缺纳入自然保护地，确保生物多样性得到系统性保护。开展自然保护地科学考察，强化生态系统生物多样性调查与监测体系建设。对分布重点保护陆生野生动物受损栖息地，分布重点保护野生植物和极小种群野生植物的关键生境，尤其是陂头、内莞喀斯特（岩溶）地区地貌发育的生态脆弱地区，开展以自然恢复为主、人工促进为辅的生态保护修复。另外，统筹推进水土流失防治、农村水系综合治理、水生态扩容修复以及受污染耕地安全利用等工作。</w:t>
      </w:r>
    </w:p>
    <w:p>
      <w:pPr>
        <w:ind w:firstLine="482"/>
        <w:rPr>
          <w:b/>
          <w:highlight w:val="none"/>
        </w:rPr>
      </w:pPr>
      <w:r>
        <w:rPr>
          <w:rFonts w:hint="eastAsia"/>
          <w:b/>
          <w:highlight w:val="none"/>
        </w:rPr>
        <w:t>2</w:t>
      </w:r>
      <w:r>
        <w:rPr>
          <w:b/>
          <w:highlight w:val="none"/>
        </w:rPr>
        <w:t xml:space="preserve">. </w:t>
      </w:r>
      <w:r>
        <w:rPr>
          <w:rFonts w:hint="eastAsia"/>
          <w:b/>
          <w:highlight w:val="none"/>
        </w:rPr>
        <w:t>西部连平河-新丰江水生态功能维护区</w:t>
      </w:r>
    </w:p>
    <w:p>
      <w:pPr>
        <w:ind w:firstLine="480"/>
        <w:rPr>
          <w:highlight w:val="none"/>
        </w:rPr>
      </w:pPr>
      <w:r>
        <w:rPr>
          <w:rFonts w:hint="eastAsia"/>
          <w:highlight w:val="none"/>
        </w:rPr>
        <w:t>西部连平河-新丰江水生态功能维护区包括隆街镇、溪山镇和元善镇西部。该分区覆盖连平河及其主要支流崧头河、密溪河、鹤湖水等水体，是新丰江连平县内重要流域范围，设有隆街大桥、合水桥、连中桥、黄潭寺等考核断面，密溪河、鹤湖河、溪山镇岐山水、溪山石坑河、隆街镇白木坑、隆街古石灌渠等饮用水源地均位于分区范围内。目前存在重点河库氮磷浓度上升、镇级河流水质未能稳定达标等水环境问题，对新丰江水库也产生较大的水质安全隐患。分区内河湖管理体制尚未完善，由于沿河两岸的开发和人口增长及历史等因素，河湖管理范围内乱占、乱采、乱堆、乱建等“四乱”问题难以根除，主要河流河滩地被占用情况比较严重，部分地区出现不同程度的河床淤积、河床下切、河岸企陡等问题，小水电生态流量保障设施建设不足，河流生态健康安全保障工作有待强化。另外，分区内连平河两岸地势相对较平坦的区域为永久基本农田集中分布区，分布北部建有连平雷公寨自然保护区、连平西山自然保护区、连平鹤湖森林公园等自然保护地。</w:t>
      </w:r>
    </w:p>
    <w:p>
      <w:pPr>
        <w:ind w:firstLine="480"/>
        <w:rPr>
          <w:highlight w:val="none"/>
        </w:rPr>
      </w:pPr>
      <w:r>
        <w:rPr>
          <w:rFonts w:hint="eastAsia"/>
          <w:highlight w:val="none"/>
        </w:rPr>
        <w:t>该分区位于连平县西部，以水生态功能维护为目标，强化饮用水源安全保障，完善集中式饮用水水源地规范化建设工程。针对重点河库氮磷浓度上升问题，以入河污染负荷总量削减为抓手，开展城镇生活、工业生产、畜禽养殖、农村面源等污染治理，因地制宜开展水体内源污染治理、水网疏浚贯通和水生态修复，落实小水电分类整改措施，维持河湖生态用水需求。另外，统筹推进饮用水源地、坡耕地等水土流失防治、溪山镇石漠化治理、自然保护地生物多样性维护以及受污染耕地安全利用等工作。</w:t>
      </w:r>
    </w:p>
    <w:p>
      <w:pPr>
        <w:ind w:firstLine="482"/>
        <w:rPr>
          <w:highlight w:val="none"/>
        </w:rPr>
      </w:pPr>
      <w:r>
        <w:rPr>
          <w:rFonts w:hint="eastAsia"/>
          <w:b/>
          <w:highlight w:val="none"/>
        </w:rPr>
        <w:t>3</w:t>
      </w:r>
      <w:r>
        <w:rPr>
          <w:b/>
          <w:highlight w:val="none"/>
        </w:rPr>
        <w:t xml:space="preserve">. </w:t>
      </w:r>
      <w:r>
        <w:rPr>
          <w:rFonts w:hint="eastAsia"/>
          <w:b/>
          <w:highlight w:val="none"/>
        </w:rPr>
        <w:t>中部新丰江水库水源涵养区</w:t>
      </w:r>
    </w:p>
    <w:p>
      <w:pPr>
        <w:ind w:firstLine="480"/>
        <w:rPr>
          <w:highlight w:val="none"/>
        </w:rPr>
      </w:pPr>
      <w:r>
        <w:rPr>
          <w:rFonts w:hint="eastAsia"/>
          <w:highlight w:val="none"/>
        </w:rPr>
        <w:t>中部新丰江水库水源涵养区包括内莞镇西部、元善镇东部、田源镇和油溪镇。该分区覆盖大席河和忠信河两条重要河流，分区内大部分区域划为东江流域水源涵养类生态红线，是连平县内水源涵养林分布最集中区域。河源连平西山自然保护区、河源连平朝天马地方级森林公园、河源连平金花洞地方级森林公园、河源九连山地方级森林公园等自然保护地位于分区范围内。另外，分区范围内还设有内莞大塘缺水饮用水源地、田源船洞水饮用水源地。大席河内莞镇建成区以及忠信河金花洞水汇入口附近一带两岸地势相对较平坦的区域为永久基本农田集中分布区。</w:t>
      </w:r>
    </w:p>
    <w:p>
      <w:pPr>
        <w:ind w:firstLine="480"/>
        <w:rPr>
          <w:highlight w:val="none"/>
        </w:rPr>
      </w:pPr>
      <w:r>
        <w:rPr>
          <w:rFonts w:hint="eastAsia"/>
          <w:highlight w:val="none"/>
        </w:rPr>
        <w:t>该分区位于连平县中部，是连平水源涵养重要生态功能区，以水源涵养为目标，结合已有的生态保护和建设重大工程，采取封育、水土保持林草等措施，加强水源地、森林生态系统、湿地生态系统恢复，严格监管水资源开发利用，规范和完善生态公益林管理，优化生态公益林布局，协调森林资源管护与区域开发之间的矛盾，严肃查处毁林、破坏湿地等行为，合理开发水电，提高区域水源涵养生态功能。另外，统筹推进坡耕地等水土流失防治、农村水系综合治理、水生态扩容修复、自然保护地生物多样性维护以及受污染耕地安全利用等工作。</w:t>
      </w:r>
    </w:p>
    <w:p>
      <w:pPr>
        <w:ind w:firstLine="482"/>
        <w:rPr>
          <w:highlight w:val="none"/>
        </w:rPr>
      </w:pPr>
      <w:r>
        <w:rPr>
          <w:rFonts w:hint="eastAsia"/>
          <w:b/>
          <w:highlight w:val="none"/>
        </w:rPr>
        <w:t>4</w:t>
      </w:r>
      <w:r>
        <w:rPr>
          <w:b/>
          <w:highlight w:val="none"/>
        </w:rPr>
        <w:t xml:space="preserve">. </w:t>
      </w:r>
      <w:r>
        <w:rPr>
          <w:rFonts w:hint="eastAsia"/>
          <w:b/>
          <w:highlight w:val="none"/>
        </w:rPr>
        <w:t>东部水土保持功能维护区</w:t>
      </w:r>
    </w:p>
    <w:p>
      <w:pPr>
        <w:ind w:firstLine="480"/>
        <w:rPr>
          <w:highlight w:val="none"/>
        </w:rPr>
      </w:pPr>
      <w:r>
        <w:rPr>
          <w:rFonts w:hint="eastAsia"/>
          <w:highlight w:val="none"/>
        </w:rPr>
        <w:t>东部水土保持功能维护区包括高莞镇、忠信镇、三角镇、大湖镇和绣缎镇。该分区覆盖高陂水、大湖河、五禾水等重要河流，地势相对平坦，是连平县永久基本农田重要的集中分布区，是国土空间规划中重点开发建设发展区，花生省级产业园、生态工业园和东部产业新城等三大园区均位于该分区范围内。另外，分区范围内还设有河源连平清沟水森林公园、河源连平瓮潭湿地公园等自然保护地，以及大湖瓮潭水、绣缎小溪尾水库、高莞高莞水库、高莞甘坑水、三角称沟水水库、忠信桥南岗水等饮用水源地。分区北部小部分区域划为东江流域水源涵养类生态红线。</w:t>
      </w:r>
    </w:p>
    <w:p>
      <w:pPr>
        <w:ind w:firstLine="480"/>
        <w:rPr>
          <w:color w:val="FF0000"/>
          <w:highlight w:val="none"/>
        </w:rPr>
      </w:pPr>
      <w:r>
        <w:rPr>
          <w:rFonts w:hint="eastAsia"/>
          <w:highlight w:val="none"/>
        </w:rPr>
        <w:t>该分区位于连平县东部，地势相对平坦，是重点开发建设发展区。以水土保持为目标，结合已有的生态保护和建设重大工程，加强小流域综合治理，采取封育、水土保持林草等措施，控制水源地水土流失。综合采用工程、林草和耕作措施进行坡地、林下、荒坡地等水土流失治理。加强农业生产及区域开发建设活动水土流失预防管理，严格执行生产建设项目水土保持方案编制、监测和验收制度，增强区域水土保持能力。另外，统筹推进农村水系综合治理、水生态扩容修复、自然保护地生物多样性维护等工作。</w:t>
      </w:r>
    </w:p>
    <w:p>
      <w:pPr>
        <w:ind w:firstLine="0" w:firstLineChars="0"/>
        <w:rPr>
          <w:color w:val="FF0000"/>
          <w:highlight w:val="none"/>
        </w:rPr>
        <w:sectPr>
          <w:pgSz w:w="11907" w:h="16840"/>
          <w:pgMar w:top="1440" w:right="1803" w:bottom="1803" w:left="1803" w:header="851" w:footer="992" w:gutter="0"/>
          <w:cols w:space="0" w:num="1"/>
          <w:docGrid w:type="lines" w:linePitch="326" w:charSpace="0"/>
        </w:sectPr>
      </w:pPr>
    </w:p>
    <w:p>
      <w:pPr>
        <w:pStyle w:val="85"/>
        <w:spacing w:before="652" w:after="326"/>
        <w:rPr>
          <w:rFonts w:ascii="Times New Roman" w:hAnsi="Times New Roman" w:cs="Times New Roman"/>
          <w:highlight w:val="none"/>
        </w:rPr>
      </w:pPr>
      <w:bookmarkStart w:id="76" w:name="_Toc140764121"/>
      <w:r>
        <w:rPr>
          <w:rFonts w:ascii="Times New Roman" w:hAnsi="Times New Roman" w:cs="Times New Roman"/>
          <w:highlight w:val="none"/>
        </w:rPr>
        <w:t>重点建设任务</w:t>
      </w:r>
      <w:bookmarkEnd w:id="76"/>
    </w:p>
    <w:p>
      <w:pPr>
        <w:pStyle w:val="87"/>
        <w:ind w:left="0" w:firstLine="0"/>
        <w:rPr>
          <w:rFonts w:eastAsia="宋体"/>
          <w:color w:val="auto"/>
          <w:sz w:val="28"/>
          <w:szCs w:val="21"/>
          <w:highlight w:val="none"/>
        </w:rPr>
      </w:pPr>
      <w:bookmarkStart w:id="77" w:name="_Toc140764122"/>
      <w:r>
        <w:rPr>
          <w:rFonts w:eastAsia="宋体"/>
          <w:color w:val="auto"/>
          <w:sz w:val="28"/>
          <w:szCs w:val="21"/>
          <w:highlight w:val="none"/>
        </w:rPr>
        <w:t>矿山地质生态保护修复</w:t>
      </w:r>
      <w:bookmarkEnd w:id="77"/>
    </w:p>
    <w:p>
      <w:pPr>
        <w:pStyle w:val="89"/>
        <w:numPr>
          <w:ilvl w:val="2"/>
          <w:numId w:val="1"/>
        </w:numPr>
        <w:ind w:left="0" w:firstLine="0"/>
        <w:rPr>
          <w:rFonts w:eastAsia="宋体"/>
          <w:highlight w:val="none"/>
        </w:rPr>
      </w:pPr>
      <w:bookmarkStart w:id="78" w:name="_Toc140764123"/>
      <w:r>
        <w:rPr>
          <w:rFonts w:hint="eastAsia" w:eastAsia="宋体"/>
          <w:highlight w:val="none"/>
        </w:rPr>
        <w:t>全面推进绿色矿山建设</w:t>
      </w:r>
      <w:bookmarkEnd w:id="78"/>
    </w:p>
    <w:p>
      <w:pPr>
        <w:ind w:firstLine="480"/>
        <w:rPr>
          <w:szCs w:val="24"/>
          <w:highlight w:val="none"/>
        </w:rPr>
      </w:pPr>
      <w:r>
        <w:rPr>
          <w:rFonts w:hint="eastAsia"/>
          <w:szCs w:val="24"/>
          <w:highlight w:val="none"/>
        </w:rPr>
        <w:t>按照《广东省绿色矿业发展五年行动方案》（粤自然资矿管〔2021〕576号）工作要求，全面推进绿色矿山建设，生产矿山原则上要求2023年底前达到绿色矿山建设标准，并通过验收；新建矿山要按照绿色矿山建设标准进行规划、设计、建设和运营；停产矿山复产后需按绿色矿山建设要求，限期达到绿色矿山建设标准；对于采矿许可有效期在2023年12月31日之前届满确定不再延续或决定予以注销、公告废止等关停退出的矿山，经核实后可不纳入待建绿色矿山台账，但要求按规定履行好矿山生态环境修复治理相关义务。规划至2023年底，全县持证在采矿山100%达到绿色矿山建设标准。</w:t>
      </w:r>
    </w:p>
    <w:p>
      <w:pPr>
        <w:pStyle w:val="89"/>
        <w:numPr>
          <w:ilvl w:val="2"/>
          <w:numId w:val="1"/>
        </w:numPr>
        <w:ind w:left="0" w:firstLine="0"/>
        <w:rPr>
          <w:rFonts w:eastAsia="宋体"/>
          <w:highlight w:val="none"/>
        </w:rPr>
      </w:pPr>
      <w:bookmarkStart w:id="79" w:name="_Toc140764124"/>
      <w:r>
        <w:rPr>
          <w:rFonts w:eastAsia="宋体"/>
          <w:highlight w:val="none"/>
        </w:rPr>
        <w:t>大力开展矿区生态修复</w:t>
      </w:r>
      <w:bookmarkEnd w:id="79"/>
    </w:p>
    <w:p>
      <w:pPr>
        <w:ind w:firstLine="480"/>
        <w:rPr>
          <w:szCs w:val="24"/>
          <w:highlight w:val="none"/>
        </w:rPr>
      </w:pPr>
      <w:r>
        <w:rPr>
          <w:rFonts w:hint="eastAsia"/>
          <w:szCs w:val="24"/>
          <w:highlight w:val="none"/>
        </w:rPr>
        <w:t>坚持“谁开发、谁保护，谁破坏、谁治理”的原则，落实地方政府和矿业权人矿山地质环境保护与土地复垦责任。要求矿山开发与治理复绿同步进行、同步投入，加大对矿山企业实施矿山地质环境治理复绿的监督检查力度，严格复绿工作检查验收。以政府为主导，建立健全历史遗留矿山生态修复工作协调机制，探索实施“生态修复+资源利用+产业融合”的历史遗留矿山土地综合修复利用模式。根据历史遗留矿山核查结果及市下达的任务要求，开展历史遗留矿山生态修复工作，采用自然恢复与土地整治、裸露地复绿等人工修复措施相结合的方式，重点对陂头镇南岭山地生物多样性维护-水源涵养生态保护红线及一般生态空间范围内的矿山进行生态修复。规划期，继续推进2022年陂头镇、三角镇相对集中连片的24个图斑共43.24公顷历史遗留矿山生态修复，并按省市下达指标，完成各年份历史遗留矿山生态修复任务。</w:t>
      </w:r>
    </w:p>
    <w:p>
      <w:pPr>
        <w:pStyle w:val="87"/>
        <w:ind w:left="0" w:firstLine="0"/>
        <w:rPr>
          <w:rFonts w:eastAsia="宋体"/>
          <w:color w:val="auto"/>
          <w:sz w:val="28"/>
          <w:szCs w:val="21"/>
          <w:highlight w:val="none"/>
        </w:rPr>
      </w:pPr>
      <w:bookmarkStart w:id="80" w:name="_Toc140764125"/>
      <w:r>
        <w:rPr>
          <w:rFonts w:hint="eastAsia" w:eastAsia="宋体"/>
          <w:color w:val="auto"/>
          <w:sz w:val="28"/>
          <w:szCs w:val="21"/>
          <w:highlight w:val="none"/>
        </w:rPr>
        <w:t>水土</w:t>
      </w:r>
      <w:r>
        <w:rPr>
          <w:rFonts w:eastAsia="宋体"/>
          <w:color w:val="auto"/>
          <w:sz w:val="28"/>
          <w:szCs w:val="21"/>
          <w:highlight w:val="none"/>
        </w:rPr>
        <w:t>流失</w:t>
      </w:r>
      <w:r>
        <w:rPr>
          <w:rFonts w:hint="eastAsia" w:eastAsia="宋体"/>
          <w:color w:val="auto"/>
          <w:sz w:val="28"/>
          <w:szCs w:val="21"/>
          <w:highlight w:val="none"/>
        </w:rPr>
        <w:t>防治</w:t>
      </w:r>
      <w:bookmarkEnd w:id="80"/>
    </w:p>
    <w:p>
      <w:pPr>
        <w:pStyle w:val="89"/>
        <w:numPr>
          <w:ilvl w:val="2"/>
          <w:numId w:val="1"/>
        </w:numPr>
        <w:ind w:left="0" w:firstLine="0"/>
        <w:rPr>
          <w:rFonts w:eastAsia="宋体"/>
          <w:highlight w:val="none"/>
        </w:rPr>
      </w:pPr>
      <w:bookmarkStart w:id="81" w:name="_Toc140764126"/>
      <w:r>
        <w:rPr>
          <w:rFonts w:hint="eastAsia" w:eastAsia="宋体"/>
          <w:highlight w:val="none"/>
        </w:rPr>
        <w:t>水土流失预防</w:t>
      </w:r>
      <w:bookmarkEnd w:id="81"/>
    </w:p>
    <w:p>
      <w:pPr>
        <w:ind w:firstLine="480"/>
        <w:rPr>
          <w:szCs w:val="24"/>
          <w:highlight w:val="none"/>
        </w:rPr>
      </w:pPr>
      <w:r>
        <w:rPr>
          <w:szCs w:val="24"/>
          <w:highlight w:val="none"/>
        </w:rPr>
        <w:t>重点预防工程。以饮用水源地、重要江河源头区等重要水源保护区域为重点范围，以“自然修复为主，局部综合治理为辅”原则，开展区域水土流失预防保护；通过建设清洁型小流域，控制面源污染，减轻区域生态压力。</w:t>
      </w:r>
      <w:r>
        <w:rPr>
          <w:rFonts w:hint="eastAsia"/>
          <w:szCs w:val="24"/>
          <w:highlight w:val="none"/>
        </w:rPr>
        <w:t>采取封育、水土保持林草等措施对高莞水库、三角称沟水水库、鹤湖河、高莞甘坑水、内莞大塘缺水、田源船洞水、溪山石坑河、忠信桥南岗水等饮用水源地进行预防保护，控制水土流失</w:t>
      </w:r>
      <w:r>
        <w:rPr>
          <w:szCs w:val="24"/>
          <w:highlight w:val="none"/>
        </w:rPr>
        <w:t>，提升水源涵养功能。</w:t>
      </w:r>
    </w:p>
    <w:p>
      <w:pPr>
        <w:ind w:firstLine="480"/>
        <w:rPr>
          <w:szCs w:val="24"/>
          <w:highlight w:val="none"/>
        </w:rPr>
      </w:pPr>
      <w:r>
        <w:rPr>
          <w:szCs w:val="24"/>
          <w:highlight w:val="none"/>
        </w:rPr>
        <w:t>预防管理措施。加强农业生产及其他生产建设活动水土流失预防管理，严格执行生产建设项目水土保持方案编制、监测和验收制度，加大采矿、取土、挖砂、采石等生产活动的水土保持管理，在崩塌滑坡危险区和泥石流易发区禁止取土、挖砂、采石。禁止毁林开荒、烧山开、乱占林地和在陡坡地铲草皮、挖树兜等行为，禁止在25°以上陡坡地开垦种植农作物，对25°以上坡耕地实施退耕还林还草。因地制宜对25°以下5°以上的耕地统筹安排水土保持措施和实施方案，采取排水系统、修建梯田、蓄水保土耕作等水土保持措施进行综合整治。</w:t>
      </w:r>
    </w:p>
    <w:p>
      <w:pPr>
        <w:pStyle w:val="89"/>
        <w:numPr>
          <w:ilvl w:val="2"/>
          <w:numId w:val="1"/>
        </w:numPr>
        <w:ind w:left="0" w:firstLine="0"/>
        <w:rPr>
          <w:rFonts w:eastAsia="宋体"/>
          <w:highlight w:val="none"/>
        </w:rPr>
      </w:pPr>
      <w:bookmarkStart w:id="82" w:name="_Toc140764127"/>
      <w:r>
        <w:rPr>
          <w:rFonts w:hint="eastAsia" w:eastAsia="宋体"/>
          <w:highlight w:val="none"/>
        </w:rPr>
        <w:t>水土流失治理</w:t>
      </w:r>
      <w:bookmarkEnd w:id="82"/>
    </w:p>
    <w:p>
      <w:pPr>
        <w:ind w:firstLine="480"/>
        <w:rPr>
          <w:szCs w:val="24"/>
          <w:highlight w:val="none"/>
        </w:rPr>
      </w:pPr>
      <w:r>
        <w:rPr>
          <w:rFonts w:hint="eastAsia"/>
          <w:szCs w:val="24"/>
          <w:highlight w:val="none"/>
        </w:rPr>
        <w:t>以坡地水土流失、非垦殖类火烧迹地以及林下、荒坡地水土流失为治理对象，综合采用工程、林草和耕作措施进行治理。根据全县小流域分布情况及特征，重点开展大湖水、上坪水（大席河上坪段）、陂头水等小流域综合治理，采取坡耕地改梯田、谷坊、拦沙坝、沟洫、水土保持林、种草、封育治理等措施，加强流域内水土流失预防保护。针对沟道两岸、水库库周的坡园地，采取坡改梯、排灌水渠、田间道路、地埂等工程措施，同时结合营造水土保持林草恢复植被，并在合适的地块采取保土耕作措施为主，控制水土流失，保护耕地资源。火烧迹地治理主要采取封禁治理、水土保持林草等措施，重点加强区域内的水土流失治理。</w:t>
      </w:r>
    </w:p>
    <w:p>
      <w:pPr>
        <w:pStyle w:val="87"/>
        <w:ind w:left="0" w:firstLine="0"/>
        <w:rPr>
          <w:rFonts w:eastAsia="宋体"/>
          <w:color w:val="auto"/>
          <w:sz w:val="28"/>
          <w:szCs w:val="21"/>
          <w:highlight w:val="none"/>
        </w:rPr>
      </w:pPr>
      <w:bookmarkStart w:id="83" w:name="_Toc140764128"/>
      <w:r>
        <w:rPr>
          <w:rFonts w:eastAsia="宋体"/>
          <w:color w:val="auto"/>
          <w:sz w:val="28"/>
          <w:szCs w:val="21"/>
          <w:highlight w:val="none"/>
        </w:rPr>
        <w:t>水生态环境保护修复</w:t>
      </w:r>
      <w:bookmarkEnd w:id="83"/>
    </w:p>
    <w:p>
      <w:pPr>
        <w:pStyle w:val="89"/>
        <w:numPr>
          <w:ilvl w:val="2"/>
          <w:numId w:val="1"/>
        </w:numPr>
        <w:ind w:left="0" w:firstLine="0"/>
        <w:rPr>
          <w:rFonts w:eastAsia="宋体"/>
          <w:highlight w:val="none"/>
        </w:rPr>
      </w:pPr>
      <w:bookmarkStart w:id="84" w:name="_Toc140764129"/>
      <w:r>
        <w:rPr>
          <w:rFonts w:hint="eastAsia" w:eastAsia="宋体"/>
          <w:highlight w:val="none"/>
        </w:rPr>
        <w:t>强化饮用水源安全保障</w:t>
      </w:r>
      <w:bookmarkEnd w:id="84"/>
    </w:p>
    <w:p>
      <w:pPr>
        <w:ind w:firstLine="480"/>
        <w:rPr>
          <w:color w:val="FF0000"/>
          <w:highlight w:val="none"/>
        </w:rPr>
      </w:pPr>
      <w:r>
        <w:rPr>
          <w:rFonts w:hint="eastAsia"/>
          <w:highlight w:val="none"/>
        </w:rPr>
        <w:t>完善全县饮用水源保护区信息基础数据，实行饮用水源保护区名录管理，按照分级管理名录及时更新并进行分级管理。落实全县镇级集中式饮用水水源地规范化建设工程，建设隔离防护网、标志牌、道路警示牌、宣传牌、记事碑、视频监控平台等，加强饮用水水源标志及隔离设施的管理维护。定期开展全县饮用水源保护区规范化建设情况的监督检查，稳步开展饮用水水源保护区环境风险排查整治，深入推进重要江河湖库支流治理，加强干流及一级支流沿线截污控源，对不符合水源涵养区、河湖生态缓冲带等保护要求的，可能影响饮用水水源环境安全的生活污水、垃圾、农业源等风险源进行排查，确保饮用水源地水质稳定达标以及水环境安全。加快完成县级集中式饮用水源地风险评估范围内风险源名录编制工作，完善全县饮用水水源保护区突发环境事件应急管理体系，并定期组织开展突发环境事件应急救援演练。到2025 年，县级以上集中式饮用水水源达到或优于Ⅲ类比例达到100%。</w:t>
      </w:r>
    </w:p>
    <w:p>
      <w:pPr>
        <w:pStyle w:val="89"/>
        <w:numPr>
          <w:ilvl w:val="2"/>
          <w:numId w:val="1"/>
        </w:numPr>
        <w:ind w:left="0" w:firstLine="0"/>
        <w:rPr>
          <w:rFonts w:eastAsia="宋体"/>
          <w:highlight w:val="none"/>
        </w:rPr>
      </w:pPr>
      <w:bookmarkStart w:id="85" w:name="_Toc140764130"/>
      <w:r>
        <w:rPr>
          <w:rFonts w:hint="eastAsia" w:eastAsia="宋体"/>
          <w:highlight w:val="none"/>
        </w:rPr>
        <w:t>巩固提升重点断面水质</w:t>
      </w:r>
      <w:bookmarkEnd w:id="85"/>
    </w:p>
    <w:p>
      <w:pPr>
        <w:ind w:firstLine="480"/>
        <w:rPr>
          <w:szCs w:val="24"/>
          <w:highlight w:val="none"/>
        </w:rPr>
      </w:pPr>
      <w:r>
        <w:rPr>
          <w:rFonts w:hint="eastAsia"/>
          <w:szCs w:val="24"/>
          <w:highlight w:val="none"/>
        </w:rPr>
        <w:t>针对重点河库氮磷浓度上升问题，统筹上下游、左右岸、干支流综合治理，继续落实重点断面水质达标攻坚工作。对连平河、大席河、密溪河以及流域范围内元善镇、溪山镇等超标断面所在水体，以降氮控磷为目的，以入河污染负荷总量削减为抓手，扎实开展入河排污口排查，按照“依法取缔一批、清理合并一批、规范整治一批”的要求，建立完善入河排污口整治清单，分类分步推进规范整治。持续推进城镇生活污水处理提质增效工作，强化污水溯源整治，充分利用城市建成区管网普查成果，科学制定雨污管网建设和改造计划，重点进行雨污管网新建、改造和修复，积极推进城市建成区管网错接漏接整治和雨污管网淤积、下沉、变形等缺陷整治。开展农业面源污染防治研究，严控县域内流域畜禽养殖、水产养殖、种植、农村面源等污染，确保县控以上地表水水质优良率达到100%，新丰江水库主要入库支流氮磷浓度上升趋势得到遏制。强化雨季水污染防治及应急应对，加强水质预警会商研判，提前应对并采取有效措施，重点保障汛期断面稳定达标。</w:t>
      </w:r>
    </w:p>
    <w:p>
      <w:pPr>
        <w:pStyle w:val="89"/>
        <w:numPr>
          <w:ilvl w:val="2"/>
          <w:numId w:val="1"/>
        </w:numPr>
        <w:ind w:left="0" w:firstLine="0"/>
        <w:rPr>
          <w:rFonts w:eastAsia="宋体"/>
          <w:highlight w:val="none"/>
        </w:rPr>
      </w:pPr>
      <w:bookmarkStart w:id="86" w:name="_Toc140764131"/>
      <w:r>
        <w:rPr>
          <w:rFonts w:eastAsia="宋体"/>
          <w:highlight w:val="none"/>
        </w:rPr>
        <w:t>推进农村水系综合治理</w:t>
      </w:r>
      <w:bookmarkEnd w:id="86"/>
    </w:p>
    <w:p>
      <w:pPr>
        <w:ind w:firstLine="480"/>
        <w:rPr>
          <w:szCs w:val="24"/>
          <w:highlight w:val="none"/>
        </w:rPr>
      </w:pPr>
      <w:r>
        <w:rPr>
          <w:highlight w:val="none"/>
        </w:rPr>
        <w:t>以</w:t>
      </w:r>
      <w:r>
        <w:rPr>
          <w:rFonts w:hint="eastAsia"/>
          <w:highlight w:val="none"/>
        </w:rPr>
        <w:t>忠信镇（新下村合水桥老桥）、三角镇（新村村鳌岭三个垇）、工业园管委会（工业园污水处理厂排污口下游200米）等乡镇断面所在水体以及大湖镇大寨水（连平与东源交界）、大湖镇小水河（连平五禾与东源交界）等超标乡镇水系综合治理为重点，结合美丽宜居村庄建设等工作，落实农村水系排查及监管机制，在农村河流湖塘分布密集地区，进一步核实黑臭水体排查结果，对新发现的农村黑臭水体或返黑返臭的水体，及时纳入监管清单安排整治，实行动态管理。总结河西桥下河段黑臭水体治理</w:t>
      </w:r>
      <w:r>
        <w:rPr>
          <w:rFonts w:hint="eastAsia"/>
          <w:szCs w:val="24"/>
          <w:highlight w:val="none"/>
        </w:rPr>
        <w:t>模式与管护机制，统筹全县农村水系综合整治，根据水体污染成因和水体功能，以控源截污为根本，优先考虑人口聚集程度较高的中心村、位于重要水系源头、重点环境敏感区域、地表水III类及以上水域功能或城镇污水处理厂周边的自然村，并综合考虑人口规模、人口聚集程度、地形地貌及排水特点等因素，大力开展农村生活污水治理，实现“标本兼治”。强化河长制体系向村级延伸，农村黑臭水体所在河湖的河长要切实履行责任，实现农村黑臭水体有效治理和长效管护。规划至2025年，完成高莞镇太平村（11个自然村）、上坪镇中村村（11个自然村）、元善镇醒狮村（9个自然村）的农村生活污水治理及相关配套管网建设。</w:t>
      </w:r>
    </w:p>
    <w:p>
      <w:pPr>
        <w:pStyle w:val="89"/>
        <w:numPr>
          <w:ilvl w:val="2"/>
          <w:numId w:val="1"/>
        </w:numPr>
        <w:ind w:left="0" w:firstLine="0"/>
        <w:rPr>
          <w:rFonts w:eastAsia="宋体"/>
          <w:highlight w:val="none"/>
        </w:rPr>
      </w:pPr>
      <w:bookmarkStart w:id="87" w:name="_Toc140764132"/>
      <w:r>
        <w:rPr>
          <w:rFonts w:hint="eastAsia" w:eastAsia="宋体"/>
          <w:highlight w:val="none"/>
        </w:rPr>
        <w:t>实施水生态扩容修复</w:t>
      </w:r>
      <w:bookmarkEnd w:id="87"/>
    </w:p>
    <w:p>
      <w:pPr>
        <w:ind w:firstLine="480"/>
        <w:rPr>
          <w:rFonts w:ascii="Calibri" w:hAnsi="Calibri"/>
          <w:szCs w:val="24"/>
          <w:highlight w:val="none"/>
        </w:rPr>
      </w:pPr>
      <w:r>
        <w:rPr>
          <w:rFonts w:hint="eastAsia"/>
          <w:szCs w:val="24"/>
          <w:highlight w:val="none"/>
        </w:rPr>
        <w:t>因地制宜开展水体内源污染治理、水网疏浚贯通和水生态修复，增强城市内河涌自净能力。针对中小河流存在的淤积、河堤侵蚀、水毁农田房屋等问题，高质量推进</w:t>
      </w:r>
      <w:r>
        <w:rPr>
          <w:szCs w:val="24"/>
          <w:highlight w:val="none"/>
        </w:rPr>
        <w:t>全县</w:t>
      </w:r>
      <w:r>
        <w:rPr>
          <w:rFonts w:hint="eastAsia"/>
          <w:szCs w:val="24"/>
          <w:highlight w:val="none"/>
        </w:rPr>
        <w:t>248.43km中小河流</w:t>
      </w:r>
      <w:r>
        <w:rPr>
          <w:szCs w:val="24"/>
          <w:highlight w:val="none"/>
        </w:rPr>
        <w:t>治理任务。</w:t>
      </w:r>
      <w:r>
        <w:rPr>
          <w:rFonts w:hint="eastAsia" w:ascii="Calibri" w:hAnsi="Calibri"/>
          <w:szCs w:val="24"/>
          <w:highlight w:val="none"/>
        </w:rPr>
        <w:t>强化水域岸线空间管制，实施河湖管理范围划界立桩。结合水安全、水资源、水生态、水环境及河湖自然风貌保护等需求，针对城市、乡镇等不同区域特点，在已划定的河湖管理范围边界的基础上，探索向陆域延伸适当宽度，合理安排河湖管理保护控制地带。做好河湖划界与国土空间“三区三线”划定等工作的衔接，对现状存在的涉水违建问题，依法依规分类处理。针对全县小水电选址、立项审批（核准）、环境影响评价、土地预审等手续以及生态流量泄放设施、生态流量监测设施建设等情况，根据国家及省市要求，统筹考虑经济社会发展、能源需求、社会稳定、生态环境影响、电站布局优化、整改修复可行性等，开展问题核查及综合评估，提出退出、整改或保留的评估意见，落实分类整改措施，维持河湖生态用水需求，重点保障枯水期生态基流。通过绿化缓冲带及河滩绿化、岸坡生态化改造、堤防达标加固、河道清淤疏浚、穿堤建筑物建设、绿化景观、配套设施建设，高质量建设连平河、忠信河、大湖河、五禾水、高陂水、茶新水、大坪水等碧道工程，打造生态活力滨水经济带。开展水生态环境调查评估，完成新丰江流域重点江河湖库水生态环境调查评估工作，掌握重点江河湖库生态环境现状，建立健全水生态环境数据档案。强化湿地系统保护，同步推进退化湿地修复、水生态治理、滨水景观营造，大力推进湿地公园建设。规划期，打造忠信河生态湿地及河岸生态缓冲带保护工程、大湖水河口生态湿地及河岸农田缓冲带建设工程，全面提升河湖湿地生态服务功能。</w:t>
      </w:r>
    </w:p>
    <w:p>
      <w:pPr>
        <w:pStyle w:val="87"/>
        <w:ind w:left="0" w:firstLine="0"/>
        <w:rPr>
          <w:rFonts w:eastAsia="宋体"/>
          <w:color w:val="auto"/>
          <w:sz w:val="28"/>
          <w:szCs w:val="21"/>
          <w:highlight w:val="none"/>
        </w:rPr>
      </w:pPr>
      <w:bookmarkStart w:id="88" w:name="_Toc140764133"/>
      <w:r>
        <w:rPr>
          <w:rFonts w:eastAsia="宋体"/>
          <w:color w:val="auto"/>
          <w:sz w:val="28"/>
          <w:szCs w:val="21"/>
          <w:highlight w:val="none"/>
        </w:rPr>
        <w:t>森林生态系统保护修复</w:t>
      </w:r>
      <w:bookmarkEnd w:id="88"/>
    </w:p>
    <w:p>
      <w:pPr>
        <w:pStyle w:val="89"/>
        <w:numPr>
          <w:ilvl w:val="2"/>
          <w:numId w:val="1"/>
        </w:numPr>
        <w:ind w:left="0" w:firstLine="0"/>
        <w:rPr>
          <w:rFonts w:eastAsia="宋体"/>
          <w:highlight w:val="none"/>
        </w:rPr>
      </w:pPr>
      <w:bookmarkStart w:id="89" w:name="_Toc140764134"/>
      <w:r>
        <w:rPr>
          <w:rFonts w:eastAsia="宋体"/>
          <w:highlight w:val="none"/>
        </w:rPr>
        <w:t>森林质量精准提升</w:t>
      </w:r>
      <w:bookmarkEnd w:id="89"/>
    </w:p>
    <w:p>
      <w:pPr>
        <w:ind w:firstLine="482"/>
        <w:rPr>
          <w:highlight w:val="none"/>
        </w:rPr>
      </w:pPr>
      <w:r>
        <w:rPr>
          <w:rFonts w:hint="eastAsia"/>
          <w:b/>
          <w:highlight w:val="none"/>
        </w:rPr>
        <w:t>林分优化提升。</w:t>
      </w:r>
      <w:r>
        <w:rPr>
          <w:rFonts w:hint="eastAsia"/>
          <w:highlight w:val="none"/>
        </w:rPr>
        <w:t>根据绿美河源生态建设工作部署，落实林分优化提升，逐步恢复地带性森林群落。结合最新年度国土变更调查成果、最新森林资源管理一张图年度变更调查成果，选择适宜造林的宜林荒地、采伐迹地、火烧迹地以及土壤侵蚀、石漠化等土地退化问题突出的区域开展人工造林。对自然保护地范围外已发生松材线虫病的松林以及林分生长发生衰退，功能与生态效益低下，无培育前途的“小老头林”或森林蓄积量显著低于同类立地条件经营水平，且龄组为近熟林及以上的马尾松林低质低效及松材线虫危害松林，综合采取全面优化、伐松补阔、块状优化或带状优化、抽针补阔等方式进行改造优化。对自然保护地范围外的低质低效桉树纯林及分布不合理的桉树林，按照森林分类经营及区位重要性、敏感性原则，逐步有序改造。对树种单一且处于退化阶段，有空腐现象，无培育前途；或林地生产力低下，龄组为近熟林及以上的速生相思纯林，采取块状优化，或带状优化方式，人工更换乡土阔叶树种。对自然保护地范围内分布不合理的林分、低质低效林进行优化改造；对郁闭度0.4以下、人工种植的阔叶混交林和针阔混交幼林，或天然阔叶幼树较多、具有天然下种能力或者萌蘖能力、有希望自然成林的阔叶混交林和针阔混交林实施封山育林。规划期，预计完成人工造林0.3万亩、低质低效及松材线虫危害松林优化改造9.55万亩、低质低效及分布不合理桉树林优化改造1.07万亩、自然保护地林分优化改造0.01万亩、封山育林2.95万亩。</w:t>
      </w:r>
    </w:p>
    <w:p>
      <w:pPr>
        <w:ind w:firstLine="482"/>
        <w:rPr>
          <w:highlight w:val="none"/>
        </w:rPr>
      </w:pPr>
      <w:r>
        <w:rPr>
          <w:rFonts w:hint="eastAsia"/>
          <w:b/>
          <w:highlight w:val="none"/>
        </w:rPr>
        <w:t>森林抚育。</w:t>
      </w:r>
      <w:r>
        <w:rPr>
          <w:rFonts w:hint="eastAsia"/>
          <w:highlight w:val="none"/>
        </w:rPr>
        <w:t>对连平河、大席河和忠信河流域范围内立地条件较好，为其他软阔、其他硬阔、针阔混交林、阔叶混交林等林分总体生长状况尚好的幼龄林和中龄林，通过采取修枝、割灌除草、施肥、补植、抚育伐等措施，调整林分生长空间，促进林分生长发育。其中，对立地条件较好，林木总体生长状况尚好，但目的树种密度不够的林分，清除枯死木和妨碍林木正常生长的灌草、藤蔓、部分非目的树种，开林窗清理出林分生长空间或林中空地，根据立地条件和经营目的补植目的树种。对目的树种明确或目的树种株数较多的现有林分，采用近自然经营模式，按照一定间隔期，对非目的树种和辅助树种，采取抚育间伐措施，合理选培目标树，分次伐除非目标树，逐步调整林分结构和林分密度。对油茶林分发生衰退，生理机能逐渐减弱，或密度不均、结构不合理，或受病虫害危害严重，或单位面积产量明显低于同类立地条件经营水平的油茶林，采取带状或块状更新、嫁接换冠、劣株换种、林地清理、密度调整、土壤改良等方式进行抚育改造。规划期，预计完成中幼林改造10.51万亩、低产油茶林抚育0.82万亩。</w:t>
      </w:r>
    </w:p>
    <w:p>
      <w:pPr>
        <w:pStyle w:val="89"/>
        <w:numPr>
          <w:ilvl w:val="2"/>
          <w:numId w:val="1"/>
        </w:numPr>
        <w:ind w:left="0" w:firstLine="0"/>
        <w:rPr>
          <w:rFonts w:eastAsia="宋体"/>
          <w:highlight w:val="none"/>
        </w:rPr>
      </w:pPr>
      <w:bookmarkStart w:id="90" w:name="_Toc140764135"/>
      <w:r>
        <w:rPr>
          <w:rFonts w:eastAsia="宋体"/>
          <w:highlight w:val="none"/>
        </w:rPr>
        <w:t>有害生物综合防治</w:t>
      </w:r>
      <w:bookmarkEnd w:id="90"/>
    </w:p>
    <w:p>
      <w:pPr>
        <w:ind w:firstLine="480"/>
        <w:rPr>
          <w:color w:val="000000"/>
          <w:szCs w:val="24"/>
          <w:highlight w:val="none"/>
        </w:rPr>
      </w:pPr>
      <w:r>
        <w:rPr>
          <w:rFonts w:hint="eastAsia"/>
          <w:color w:val="000000"/>
          <w:szCs w:val="24"/>
          <w:highlight w:val="none"/>
        </w:rPr>
        <w:t>实施松材线虫病防控攻坚行动，以105国道、粤赣高速、大广</w:t>
      </w:r>
      <w:r>
        <w:rPr>
          <w:rFonts w:hint="eastAsia"/>
          <w:color w:val="000000"/>
          <w:szCs w:val="24"/>
          <w:highlight w:val="none"/>
          <w:lang w:eastAsia="zh-CN"/>
        </w:rPr>
        <w:t>高速</w:t>
      </w:r>
      <w:r>
        <w:rPr>
          <w:rFonts w:hint="eastAsia"/>
          <w:color w:val="000000"/>
          <w:szCs w:val="24"/>
          <w:highlight w:val="none"/>
        </w:rPr>
        <w:t>、昆汕</w:t>
      </w:r>
      <w:r>
        <w:rPr>
          <w:rFonts w:hint="eastAsia"/>
          <w:color w:val="000000"/>
          <w:szCs w:val="24"/>
          <w:highlight w:val="none"/>
          <w:lang w:eastAsia="zh-CN"/>
        </w:rPr>
        <w:t>高速</w:t>
      </w:r>
      <w:r>
        <w:rPr>
          <w:rFonts w:hint="eastAsia"/>
          <w:color w:val="000000"/>
          <w:szCs w:val="24"/>
          <w:highlight w:val="none"/>
        </w:rPr>
        <w:t>、武深高速、341线省道沿线两旁松林及县城、镇周边区域为重点，强化监测普查。继续积极开展全县松树林疫情日常监测和专项普查，掌握疫情新态势。对辖区内松林（树）根据松材线虫病发生规律和情况，按区划要求定期巡查；调查是否出现松树枯死、松针变色等异常情况。每年秋季对除治范围内松树进行1次专项普查，调查辖区内所有松树是否出现松树枯死、松针变色等异常情况。按照“内防扩散、外防输出、全面攻坚”的策略，严格疫源管控，采用枯死松树除治、挂设诱捕器诱杀防治、飞机精准施药防治、地面施药防治、注药防治、林分改造等措施，实施疫情综合防控。强化组织领导，进一步落实责任，重点加大镇级防治松材线虫病的责任落实力度，切实加强疫情监测和报告，提</w:t>
      </w:r>
      <w:r>
        <w:rPr>
          <w:rFonts w:hint="eastAsia"/>
          <w:color w:val="000000"/>
          <w:szCs w:val="24"/>
          <w:highlight w:val="none"/>
          <w:lang w:eastAsia="zh-CN"/>
        </w:rPr>
        <w:t>高</w:t>
      </w:r>
      <w:r>
        <w:rPr>
          <w:rFonts w:hint="eastAsia"/>
          <w:color w:val="000000"/>
          <w:szCs w:val="24"/>
          <w:highlight w:val="none"/>
        </w:rPr>
        <w:t>疫情监测细致程度，确保疫情早发现、早除治。在全面监测调查、准确把握发生动态基础上，根据红火蚁分布与发生状况，明确防治范围区域，制定防治作业方案，科学部署，精准施策，实施区域化联防联治和专业化统防统治。</w:t>
      </w:r>
    </w:p>
    <w:p>
      <w:pPr>
        <w:pStyle w:val="89"/>
        <w:numPr>
          <w:ilvl w:val="2"/>
          <w:numId w:val="1"/>
        </w:numPr>
        <w:ind w:left="0" w:firstLine="0"/>
        <w:rPr>
          <w:rFonts w:eastAsia="宋体"/>
          <w:highlight w:val="none"/>
        </w:rPr>
      </w:pPr>
      <w:bookmarkStart w:id="91" w:name="_Toc140764136"/>
      <w:r>
        <w:rPr>
          <w:rFonts w:eastAsia="宋体"/>
          <w:highlight w:val="none"/>
        </w:rPr>
        <w:t>森林资源精细管护</w:t>
      </w:r>
      <w:bookmarkEnd w:id="91"/>
    </w:p>
    <w:p>
      <w:pPr>
        <w:ind w:firstLine="480"/>
        <w:rPr>
          <w:highlight w:val="none"/>
        </w:rPr>
      </w:pPr>
      <w:r>
        <w:rPr>
          <w:rFonts w:hint="eastAsia"/>
          <w:highlight w:val="none"/>
        </w:rPr>
        <w:t>以“三调”成果为基础，整合现有的森林、湿地、自然保护地、国有林场、生态保护红线等数据，实现森林资源信息化动态管理。完成天然林、生态公益林调查、核定和定界工作。全面保护天然林，对生态脆弱区及珍稀物种区，采用封禁管理、以自然恢复为主、人工促进更新为辅的生态修复措施，积极保护具有典型地带性特色的天然林。规范和完善生态公益林管理，优化生态公益林布局，将重要生态区域的林地全部划入生态公益林管理。完善林地定额管理制度，严格控制林地转为建设用地和其它非林地。实行林地分类管理、分级保护，按照生态优先的原则，协调森林资源管护与区域开发之间的矛盾，严格保护重要生态区域林地，重点加强对各级各类自然保护地、天然林、公益林的保护管理。严格按照《广东省生态公益林效益补偿专项资金管理办法》的相关规定，健全公益林补偿机制，推动建立桉树改造退出补偿机制。</w:t>
      </w:r>
    </w:p>
    <w:p>
      <w:pPr>
        <w:pStyle w:val="87"/>
        <w:ind w:left="0" w:firstLine="0"/>
        <w:rPr>
          <w:rFonts w:eastAsia="宋体"/>
          <w:color w:val="auto"/>
          <w:sz w:val="28"/>
          <w:szCs w:val="21"/>
          <w:highlight w:val="none"/>
        </w:rPr>
      </w:pPr>
      <w:bookmarkStart w:id="92" w:name="_Toc140764137"/>
      <w:r>
        <w:rPr>
          <w:rFonts w:eastAsia="宋体"/>
          <w:color w:val="auto"/>
          <w:sz w:val="28"/>
          <w:szCs w:val="21"/>
          <w:highlight w:val="none"/>
        </w:rPr>
        <w:t>生物多样性保护</w:t>
      </w:r>
      <w:bookmarkEnd w:id="92"/>
    </w:p>
    <w:p>
      <w:pPr>
        <w:pStyle w:val="89"/>
        <w:numPr>
          <w:ilvl w:val="2"/>
          <w:numId w:val="1"/>
        </w:numPr>
        <w:ind w:left="0" w:firstLine="0"/>
        <w:rPr>
          <w:rFonts w:eastAsia="宋体"/>
          <w:highlight w:val="none"/>
        </w:rPr>
      </w:pPr>
      <w:bookmarkStart w:id="93" w:name="_Toc140764138"/>
      <w:r>
        <w:rPr>
          <w:rFonts w:hint="eastAsia" w:eastAsia="宋体"/>
          <w:highlight w:val="none"/>
        </w:rPr>
        <w:t>自然保护地整合优化</w:t>
      </w:r>
      <w:bookmarkEnd w:id="93"/>
    </w:p>
    <w:p>
      <w:pPr>
        <w:ind w:firstLine="480"/>
        <w:rPr>
          <w:highlight w:val="none"/>
        </w:rPr>
      </w:pPr>
      <w:r>
        <w:rPr>
          <w:rFonts w:hint="eastAsia"/>
          <w:highlight w:val="none"/>
        </w:rPr>
        <w:t>根据河源市自然保护地整合优化工作部署，开展自然保护地边界和功能区划界线的调查、勘测和立标等工作，持续推进自然保护地整合优化预案成果落地，确定自然保护地体系结构，形成以自然保护区为基础、各类自然公园为补充的自然保护地体系，推动自然保护地规范化建设和精细化管理。根据自然保护地内自然生态系统、景观资源、自然遗迹、重点保护野生动植物、社会经济状况和威胁因素等开展综合科学考察工作，摸清资源本底。完成自然保护地总体规划编制工作，并结合国土空间规划成果，针对保护管理、科研监测、公众教育和可持续发展等方面组织编制各自然保护地专项规划。结合自然生态空间格局状况、国土空间规划，衔接三条控制线划定，按照自然保护地整合优化工作部署，遵循自然生态系统完整性和生态廊道连通性原则，解决自然保护地交叉、空间重叠等城镇、村庄、耕地（含永久基本农田）、矿业权、人工商品林等空间矛盾冲突问题，将典型生态系统分布区、野生植物关键生境、野生动物重要栖息地，以及具有重要科学、科普教育价值的地质遗迹等保护空缺纳入自然保护地，确保县内重要自然生态系统、自然遗迹、自然景观和生物多样性得到系统性保护，提升生态产品供给能力。有序开展自然保护地自然资源资产确权登记，明晰自然保护地内土地及其附属资源的边界、权属和管理权限。</w:t>
      </w:r>
    </w:p>
    <w:p>
      <w:pPr>
        <w:pStyle w:val="89"/>
        <w:numPr>
          <w:ilvl w:val="2"/>
          <w:numId w:val="1"/>
        </w:numPr>
        <w:ind w:left="0" w:firstLine="0"/>
        <w:rPr>
          <w:rFonts w:eastAsia="宋体"/>
          <w:highlight w:val="none"/>
        </w:rPr>
      </w:pPr>
      <w:bookmarkStart w:id="94" w:name="_Toc140764139"/>
      <w:r>
        <w:rPr>
          <w:rFonts w:eastAsia="宋体"/>
          <w:highlight w:val="none"/>
        </w:rPr>
        <w:t>野生动植物物种保护</w:t>
      </w:r>
      <w:bookmarkEnd w:id="94"/>
    </w:p>
    <w:p>
      <w:pPr>
        <w:ind w:firstLine="480"/>
        <w:rPr>
          <w:color w:val="000000"/>
          <w:szCs w:val="24"/>
          <w:highlight w:val="none"/>
        </w:rPr>
      </w:pPr>
      <w:r>
        <w:rPr>
          <w:rFonts w:hint="eastAsia"/>
          <w:color w:val="000000"/>
          <w:szCs w:val="24"/>
          <w:highlight w:val="none"/>
        </w:rPr>
        <w:t>以国家南岭生物多样性保护优先区、自然保护区和自然公园为重点，有条件的情况下，开展森林、湿地、河流、湖库等生态系统生物多样性调查，分析全县野生动植物种类、种群状况、生境、威胁状况、开发利用价值等，摸清野生动植物空间分布状况，构建涵盖物种分布数据库，建立物种资源调查及收集信息平台，掌握生物多样性总体情况。加大与高校、科研机构、行业协会等合作力度，支持第三方机构开展南岭森林生态系统研究，完善野生动植物资源监测体系，掌握物种种群和生境状况，特别是黄腹角雉、穿山甲、金斑喙凤蝶、白鹇、南方红豆杉、金线兰、金毛狗、桫椤、樟树（香樟）、华南栲（锥）、半枫荷、花榈木、伞花木、榉树等国家重点保护物种、珍稀濒危物种数量、分布及动态变化情况。加强外来物种和有害生物监测能力，提高对重要野生动植物和重要生态系统构成威胁的外来物种和有害生物的治理水平。完善陆生野生动物疫源疫病监测站点建设，规划期，争取完成2~3个野生动物疫源疫病监测站点。结合国土空间规划成果，根据生物多样性调查评价及监测结果，对分布重点保护陆生野生动物受损栖息地，分布重点保护野生植物和极小种群野生植物的关键生境，采用以自然恢复为主、人工促进为辅的方法进行保护恢复。完善生物多样性保护政策，制定生物多样性保护的中长期规划和行动计划，并将生物多样性保护重点工程作为提升生态系统质量和稳定性的重要工作内容纳入地区国民经济和社会发展规划中，为生物多样性保护和管理提供制度保障。建立生态文明建设考核目标体系，将生物多样性保护相关指标纳入各乡镇考核，压实生物多样性保护责任。</w:t>
      </w:r>
    </w:p>
    <w:p>
      <w:pPr>
        <w:pStyle w:val="89"/>
        <w:numPr>
          <w:ilvl w:val="2"/>
          <w:numId w:val="1"/>
        </w:numPr>
        <w:ind w:left="0" w:firstLine="0"/>
        <w:rPr>
          <w:rFonts w:eastAsia="宋体"/>
          <w:highlight w:val="none"/>
        </w:rPr>
      </w:pPr>
      <w:bookmarkStart w:id="95" w:name="_Toc140764140"/>
      <w:r>
        <w:rPr>
          <w:rFonts w:hint="eastAsia" w:eastAsia="宋体"/>
          <w:highlight w:val="none"/>
        </w:rPr>
        <w:t>生物</w:t>
      </w:r>
      <w:r>
        <w:rPr>
          <w:rFonts w:eastAsia="宋体"/>
          <w:highlight w:val="none"/>
        </w:rPr>
        <w:t>多样性保护监管</w:t>
      </w:r>
      <w:bookmarkEnd w:id="95"/>
    </w:p>
    <w:p>
      <w:pPr>
        <w:ind w:firstLine="480"/>
        <w:rPr>
          <w:szCs w:val="24"/>
          <w:highlight w:val="none"/>
        </w:rPr>
      </w:pPr>
      <w:r>
        <w:rPr>
          <w:szCs w:val="24"/>
          <w:highlight w:val="none"/>
        </w:rPr>
        <w:t>建立健全野生动植物及其栖息地保护管理长效机制。加强野生动植物保护工作的组织领导和统筹协调，建立上下联动、区域联防、社会参与、综合治理的野生动植物及其栖息地保护长效机制。完善野生动植物栖息地保护体系，在生物多样性调查的基础上，建立野生动植物及其栖息地档案。协调建设项目与野生动植物保护的关系，建设项目选址选线，应当避让自然保护区域、野生动物迁徙洄游通道；确实无法避让的，应当采取修建野生动物通道、过鱼设施等措施，消除或者减少对野生动物的不利影响，最大程度地维持野生动物生境的连通性。全面开展外来物种入侵情况调查与评估，研究外来物种生物学特性、分布、入侵机制和途经，建立全县外来物种数据库，完善外来物种检验检疫制度、名录制度、引种许可制度等，逐步消除有害物种入侵现象，确保外来物种入侵不明显、不加剧。</w:t>
      </w:r>
    </w:p>
    <w:p>
      <w:pPr>
        <w:ind w:firstLine="480"/>
        <w:rPr>
          <w:highlight w:val="none"/>
        </w:rPr>
      </w:pPr>
      <w:r>
        <w:rPr>
          <w:highlight w:val="none"/>
        </w:rPr>
        <w:t>加强生物多样性保护监察执法。制定野生动植物保护执法监管长效机制，开展跨部门、跨区域的生物多样性保护执法检查，加大</w:t>
      </w:r>
      <w:r>
        <w:rPr>
          <w:rFonts w:hint="eastAsia"/>
          <w:highlight w:val="none"/>
        </w:rPr>
        <w:t>国家南岭生物多样性保护优先区、自然保护区和自然公园</w:t>
      </w:r>
      <w:r>
        <w:rPr>
          <w:highlight w:val="none"/>
        </w:rPr>
        <w:t>等重点</w:t>
      </w:r>
      <w:r>
        <w:rPr>
          <w:rFonts w:hint="eastAsia"/>
          <w:highlight w:val="none"/>
        </w:rPr>
        <w:t>区域</w:t>
      </w:r>
      <w:r>
        <w:rPr>
          <w:highlight w:val="none"/>
        </w:rPr>
        <w:t>野生动植物及其栖息地监察力度，建立并完善自然保护地人类活动监控系统、林业行政执法与生态环境保护综合行政执法衔接机制，对影响野生动植物及其栖息地保护的行为进行严肃查处。规划至2025年，国家重点保护野生动植物保护率达到95%以上。</w:t>
      </w:r>
    </w:p>
    <w:p>
      <w:pPr>
        <w:pStyle w:val="87"/>
        <w:ind w:left="0" w:firstLine="0"/>
        <w:rPr>
          <w:rFonts w:eastAsia="宋体"/>
          <w:color w:val="auto"/>
          <w:sz w:val="28"/>
          <w:szCs w:val="21"/>
          <w:highlight w:val="none"/>
        </w:rPr>
      </w:pPr>
      <w:bookmarkStart w:id="96" w:name="_Toc140764141"/>
      <w:r>
        <w:rPr>
          <w:rFonts w:eastAsia="宋体"/>
          <w:color w:val="auto"/>
          <w:sz w:val="28"/>
          <w:szCs w:val="21"/>
          <w:highlight w:val="none"/>
        </w:rPr>
        <w:t>耕地保护与安全利用</w:t>
      </w:r>
      <w:bookmarkEnd w:id="96"/>
    </w:p>
    <w:p>
      <w:pPr>
        <w:pStyle w:val="89"/>
        <w:numPr>
          <w:ilvl w:val="2"/>
          <w:numId w:val="1"/>
        </w:numPr>
        <w:ind w:left="0" w:firstLine="0"/>
        <w:rPr>
          <w:rFonts w:eastAsia="宋体"/>
          <w:highlight w:val="none"/>
        </w:rPr>
      </w:pPr>
      <w:bookmarkStart w:id="97" w:name="_Toc140764142"/>
      <w:r>
        <w:rPr>
          <w:rFonts w:eastAsia="宋体"/>
          <w:highlight w:val="none"/>
        </w:rPr>
        <w:t>巩固提升安全利用水平</w:t>
      </w:r>
      <w:bookmarkEnd w:id="97"/>
    </w:p>
    <w:p>
      <w:pPr>
        <w:ind w:firstLine="480"/>
        <w:rPr>
          <w:color w:val="000000"/>
          <w:szCs w:val="24"/>
          <w:highlight w:val="none"/>
        </w:rPr>
      </w:pPr>
      <w:r>
        <w:rPr>
          <w:rFonts w:hint="eastAsia"/>
          <w:color w:val="000000"/>
          <w:szCs w:val="24"/>
          <w:highlight w:val="none"/>
        </w:rPr>
        <w:t>以市下达耕地土壤环境质量分类成果数据以及受污染耕地安全利用区域排查结果为依据，针对安全利用类耕地，在攻坚经验和成果基础上，系统梳理元善镇、溪山镇、陂头镇、田源镇等乡镇存在的突出问题与问题区域，优化调整各年度耕地分类管理实施方案。根据土壤及农产品协同监测结果，以受污染耕地集中区、水稻超标区</w:t>
      </w:r>
      <w:r>
        <w:rPr>
          <w:color w:val="000000"/>
          <w:szCs w:val="24"/>
          <w:highlight w:val="none"/>
        </w:rPr>
        <w:t>为重点，</w:t>
      </w:r>
      <w:r>
        <w:rPr>
          <w:rFonts w:hint="eastAsia"/>
          <w:color w:val="000000"/>
          <w:szCs w:val="24"/>
          <w:highlight w:val="none"/>
        </w:rPr>
        <w:t>针对二类耕地中的水稻和蔬菜种植区域，根据农产品超标情况采取分类施策的方式，通过施用土壤调理剂、有机肥、叶面阻控剂或采取水分管理等方式，实现安全利用措施到位率100%。按农时有序推进耕地安全利用项目，不断总结提炼，筛选出效果较好的调理剂、阻隔剂、低累积品种，探索出适合区域的耕地安全利用模式。在全县838.77 亩三类耕地中的水稻种植区域，遵循不得随意将现有的安全利用类和严格管控类耕地“非粮化”“非农化”的原则，因地制宜实施种植结构调整或退耕还林还草、轮作休耕等风险管控措施，推进种植结构向重金属低累积农作物或非食用农产品调整，严禁种植超标风险高的可食用类农产品，降低环境风险。通过补贴种植生产过程中的种子和肥料（有机肥、土壤调理剂等）的费用，调动农户自发性与积极性，发动农户调整种植结构，改种重金属低累积农作物。统筹协调国土空间规划，将列入严格管控类且无法恢复治理的耕地不划入永久基本农田，并对粮食生产功能区和重要农产品生产保护区进行相应调整。强化农业农村、生态环境、自然资源等部门沟通协作，推动耕地土壤污染溯源工作，共同推进耕地污染防治，巩固提升受污染耕地安全利用水平。规划至2025年，力争受污染耕地安全利用率达到97.7%以上。</w:t>
      </w:r>
    </w:p>
    <w:p>
      <w:pPr>
        <w:pStyle w:val="89"/>
        <w:numPr>
          <w:ilvl w:val="2"/>
          <w:numId w:val="1"/>
        </w:numPr>
        <w:ind w:left="0" w:firstLine="0"/>
        <w:rPr>
          <w:rFonts w:eastAsia="宋体"/>
          <w:highlight w:val="none"/>
        </w:rPr>
      </w:pPr>
      <w:bookmarkStart w:id="98" w:name="_Toc140764143"/>
      <w:r>
        <w:rPr>
          <w:rFonts w:hint="eastAsia" w:eastAsia="宋体"/>
          <w:highlight w:val="none"/>
        </w:rPr>
        <w:t>土壤及农产品协同监测</w:t>
      </w:r>
      <w:bookmarkEnd w:id="98"/>
    </w:p>
    <w:p>
      <w:pPr>
        <w:ind w:firstLine="480"/>
        <w:rPr>
          <w:color w:val="000000"/>
          <w:szCs w:val="24"/>
          <w:highlight w:val="none"/>
        </w:rPr>
      </w:pPr>
      <w:r>
        <w:rPr>
          <w:rFonts w:hint="eastAsia"/>
          <w:color w:val="000000"/>
          <w:szCs w:val="24"/>
          <w:highlight w:val="none"/>
        </w:rPr>
        <w:t>开展种植结构现状常态化调查，根据现有“卫星影像”及“农用地土壤调查结果数据”资料，采用卫星遥感、人工抽查等技术手段进行种植现状排查，动态更新受污染耕地图斑内种植现状情况，绘制以镇或大图斑为单元的安全利用类耕地区域内的种植现状图。持续开展耕地土壤及农产品协同监测评价，建立耕地土壤和农产品协同监测体系，对晚稻和蔬菜进行加密调查，确定农产品超标区域范围，根据其污染元素种类及超标程度因地制宜投入措施并评价效果。基于耕地土壤及农产品协同监测成果，并结合省级农产品产地土壤环境例行监测结果，梳理受污染耕地农产品超标的品种季节和分布规律。</w:t>
      </w:r>
    </w:p>
    <w:p>
      <w:pPr>
        <w:ind w:firstLine="0" w:firstLineChars="0"/>
        <w:rPr>
          <w:color w:val="FF0000"/>
          <w:highlight w:val="none"/>
        </w:rPr>
        <w:sectPr>
          <w:pgSz w:w="11907" w:h="16840"/>
          <w:pgMar w:top="1440" w:right="1803" w:bottom="1803" w:left="1803" w:header="851" w:footer="992" w:gutter="0"/>
          <w:cols w:space="0" w:num="1"/>
          <w:docGrid w:type="lines" w:linePitch="326" w:charSpace="0"/>
        </w:sectPr>
      </w:pPr>
    </w:p>
    <w:p>
      <w:pPr>
        <w:pStyle w:val="85"/>
        <w:spacing w:before="652" w:after="326"/>
        <w:rPr>
          <w:rFonts w:ascii="Times New Roman" w:hAnsi="Times New Roman" w:cs="Times New Roman"/>
          <w:highlight w:val="none"/>
        </w:rPr>
      </w:pPr>
      <w:bookmarkStart w:id="99" w:name="_Toc140764144"/>
      <w:r>
        <w:rPr>
          <w:rFonts w:ascii="Times New Roman" w:hAnsi="Times New Roman" w:cs="Times New Roman"/>
          <w:highlight w:val="none"/>
        </w:rPr>
        <w:t>重点工程</w:t>
      </w:r>
      <w:bookmarkEnd w:id="99"/>
    </w:p>
    <w:p>
      <w:pPr>
        <w:pStyle w:val="87"/>
        <w:ind w:left="0" w:firstLine="0"/>
        <w:rPr>
          <w:rFonts w:eastAsia="宋体"/>
          <w:color w:val="auto"/>
          <w:sz w:val="28"/>
          <w:szCs w:val="21"/>
          <w:highlight w:val="none"/>
        </w:rPr>
      </w:pPr>
      <w:bookmarkStart w:id="100" w:name="_Toc140764145"/>
      <w:r>
        <w:rPr>
          <w:rFonts w:hint="eastAsia" w:eastAsia="宋体"/>
          <w:color w:val="auto"/>
          <w:sz w:val="28"/>
          <w:szCs w:val="21"/>
          <w:highlight w:val="none"/>
        </w:rPr>
        <w:t>工程项目与投资估算</w:t>
      </w:r>
      <w:bookmarkEnd w:id="100"/>
    </w:p>
    <w:p>
      <w:pPr>
        <w:ind w:firstLine="480"/>
        <w:rPr>
          <w:highlight w:val="none"/>
        </w:rPr>
      </w:pPr>
      <w:r>
        <w:rPr>
          <w:highlight w:val="none"/>
        </w:rPr>
        <w:t>规划期内</w:t>
      </w:r>
      <w:r>
        <w:rPr>
          <w:rFonts w:hint="eastAsia"/>
          <w:highlight w:val="none"/>
        </w:rPr>
        <w:t>连平</w:t>
      </w:r>
      <w:r>
        <w:rPr>
          <w:highlight w:val="none"/>
        </w:rPr>
        <w:t>县生态功能保护修复重点工程包括</w:t>
      </w:r>
      <w:r>
        <w:rPr>
          <w:rFonts w:hint="eastAsia"/>
          <w:highlight w:val="none"/>
        </w:rPr>
        <w:t>矿山地质生态保护修复、水土流失防治、水生态环境保护修复、森林生态系统保护修复、生物多样性保护、耕地保护与安全利用6</w:t>
      </w:r>
      <w:r>
        <w:rPr>
          <w:highlight w:val="none"/>
        </w:rPr>
        <w:t>个方面共</w:t>
      </w:r>
      <w:r>
        <w:rPr>
          <w:rFonts w:hint="eastAsia"/>
          <w:highlight w:val="none"/>
        </w:rPr>
        <w:t>26</w:t>
      </w:r>
      <w:r>
        <w:rPr>
          <w:highlight w:val="none"/>
        </w:rPr>
        <w:t>项工程</w:t>
      </w:r>
      <w:r>
        <w:rPr>
          <w:rFonts w:hint="eastAsia"/>
          <w:highlight w:val="none"/>
        </w:rPr>
        <w:t>项目。</w:t>
      </w:r>
      <w:r>
        <w:rPr>
          <w:highlight w:val="none"/>
        </w:rPr>
        <w:t>各项重点工程总投资约为</w:t>
      </w:r>
      <w:r>
        <w:rPr>
          <w:rFonts w:hint="eastAsia"/>
          <w:highlight w:val="none"/>
        </w:rPr>
        <w:t>18.33亿元，各类型工程投资详见表6.1-1，工程项目清单</w:t>
      </w:r>
      <w:r>
        <w:rPr>
          <w:highlight w:val="none"/>
        </w:rPr>
        <w:t>详见表6.1-</w:t>
      </w:r>
      <w:r>
        <w:rPr>
          <w:rFonts w:hint="eastAsia"/>
          <w:highlight w:val="none"/>
        </w:rPr>
        <w:t>2</w:t>
      </w:r>
      <w:r>
        <w:rPr>
          <w:highlight w:val="none"/>
        </w:rPr>
        <w:t>。</w:t>
      </w:r>
    </w:p>
    <w:p>
      <w:pPr>
        <w:ind w:firstLine="480"/>
        <w:rPr>
          <w:highlight w:val="none"/>
        </w:rPr>
      </w:pPr>
      <w:r>
        <w:rPr>
          <w:highlight w:val="none"/>
        </w:rPr>
        <w:t>各项重点工程投资金额以批复后规划设计投资预算为准，并根据实际情况每年安排专项财政资金，作为组织实施</w:t>
      </w:r>
      <w:r>
        <w:rPr>
          <w:rFonts w:hint="eastAsia"/>
          <w:highlight w:val="none"/>
        </w:rPr>
        <w:t>连平县生态功能保护修复</w:t>
      </w:r>
      <w:r>
        <w:rPr>
          <w:highlight w:val="none"/>
        </w:rPr>
        <w:t>专项工作经费。每年的项目经费根据当年财力安排，并充分利用多元化的资金筹措方式，部分重点工程项目应积极申请国家、省、市的财政支持。另外，各项重点工程的开展需按相关程序，完成行政审批手续。</w:t>
      </w:r>
    </w:p>
    <w:p>
      <w:pPr>
        <w:ind w:firstLine="0" w:firstLineChars="0"/>
        <w:jc w:val="center"/>
        <w:rPr>
          <w:b/>
          <w:highlight w:val="none"/>
        </w:rPr>
      </w:pPr>
      <w:r>
        <w:rPr>
          <w:rFonts w:hint="eastAsia"/>
          <w:b/>
          <w:highlight w:val="none"/>
        </w:rPr>
        <w:t>表6.1-1 连平县生态功能保护修复重点工程投资估算</w:t>
      </w:r>
    </w:p>
    <w:tbl>
      <w:tblPr>
        <w:tblStyle w:val="3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950" w:type="dxa"/>
            <w:shd w:val="clear" w:color="auto" w:fill="auto"/>
            <w:noWrap/>
            <w:vAlign w:val="center"/>
          </w:tcPr>
          <w:p>
            <w:pPr>
              <w:widowControl/>
              <w:spacing w:line="240" w:lineRule="auto"/>
              <w:ind w:firstLine="440" w:firstLineChars="0"/>
              <w:jc w:val="center"/>
              <w:rPr>
                <w:b/>
                <w:kern w:val="0"/>
                <w:sz w:val="21"/>
                <w:szCs w:val="21"/>
                <w:highlight w:val="none"/>
              </w:rPr>
            </w:pPr>
            <w:r>
              <w:rPr>
                <w:b/>
                <w:kern w:val="0"/>
                <w:sz w:val="21"/>
                <w:szCs w:val="21"/>
                <w:highlight w:val="none"/>
              </w:rPr>
              <w:t>工程类型</w:t>
            </w:r>
          </w:p>
        </w:tc>
        <w:tc>
          <w:tcPr>
            <w:tcW w:w="3327" w:type="dxa"/>
            <w:shd w:val="clear" w:color="auto" w:fill="auto"/>
            <w:noWrap/>
            <w:vAlign w:val="center"/>
          </w:tcPr>
          <w:p>
            <w:pPr>
              <w:widowControl/>
              <w:spacing w:line="240" w:lineRule="auto"/>
              <w:ind w:firstLine="0" w:firstLineChars="0"/>
              <w:jc w:val="center"/>
              <w:rPr>
                <w:b/>
                <w:kern w:val="0"/>
                <w:sz w:val="21"/>
                <w:szCs w:val="21"/>
                <w:highlight w:val="none"/>
              </w:rPr>
            </w:pPr>
            <w:r>
              <w:rPr>
                <w:b/>
                <w:kern w:val="0"/>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0" w:type="dxa"/>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矿山地质生态保护修复</w:t>
            </w:r>
          </w:p>
        </w:tc>
        <w:tc>
          <w:tcPr>
            <w:tcW w:w="3327" w:type="dxa"/>
            <w:shd w:val="clear" w:color="auto" w:fill="auto"/>
            <w:noWrap/>
            <w:vAlign w:val="center"/>
          </w:tcPr>
          <w:p>
            <w:pPr>
              <w:widowControl/>
              <w:spacing w:line="240" w:lineRule="auto"/>
              <w:ind w:firstLine="0" w:firstLineChars="0"/>
              <w:jc w:val="center"/>
              <w:rPr>
                <w:kern w:val="0"/>
                <w:sz w:val="21"/>
                <w:szCs w:val="21"/>
                <w:highlight w:val="none"/>
              </w:rPr>
            </w:pPr>
            <w:r>
              <w:rPr>
                <w:sz w:val="21"/>
                <w:szCs w:val="21"/>
                <w:highlight w:val="none"/>
              </w:rPr>
              <w:t>914.64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0" w:type="dxa"/>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水土流失</w:t>
            </w:r>
            <w:r>
              <w:rPr>
                <w:kern w:val="0"/>
                <w:sz w:val="21"/>
                <w:szCs w:val="21"/>
                <w:highlight w:val="none"/>
              </w:rPr>
              <w:t>防治</w:t>
            </w:r>
          </w:p>
        </w:tc>
        <w:tc>
          <w:tcPr>
            <w:tcW w:w="3327" w:type="dxa"/>
            <w:shd w:val="clear" w:color="auto" w:fill="auto"/>
            <w:noWrap/>
            <w:vAlign w:val="center"/>
          </w:tcPr>
          <w:p>
            <w:pPr>
              <w:widowControl/>
              <w:spacing w:line="240" w:lineRule="auto"/>
              <w:ind w:firstLine="0" w:firstLineChars="0"/>
              <w:jc w:val="center"/>
              <w:rPr>
                <w:kern w:val="0"/>
                <w:sz w:val="21"/>
                <w:szCs w:val="21"/>
                <w:highlight w:val="none"/>
              </w:rPr>
            </w:pPr>
            <w:r>
              <w:rPr>
                <w:sz w:val="21"/>
                <w:szCs w:val="21"/>
                <w:highlight w:val="none"/>
              </w:rPr>
              <w:t>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0" w:type="dxa"/>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水生态环境保护修复</w:t>
            </w:r>
          </w:p>
        </w:tc>
        <w:tc>
          <w:tcPr>
            <w:tcW w:w="3327" w:type="dxa"/>
            <w:shd w:val="clear" w:color="auto" w:fill="auto"/>
            <w:noWrap/>
            <w:vAlign w:val="center"/>
          </w:tcPr>
          <w:p>
            <w:pPr>
              <w:widowControl/>
              <w:spacing w:line="240" w:lineRule="auto"/>
              <w:ind w:firstLine="0" w:firstLineChars="0"/>
              <w:jc w:val="center"/>
              <w:rPr>
                <w:kern w:val="0"/>
                <w:sz w:val="21"/>
                <w:szCs w:val="21"/>
                <w:highlight w:val="none"/>
              </w:rPr>
            </w:pPr>
            <w:r>
              <w:rPr>
                <w:sz w:val="21"/>
                <w:szCs w:val="21"/>
                <w:highlight w:val="none"/>
              </w:rPr>
              <w:t>154665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0" w:type="dxa"/>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森林生态系统保护修复</w:t>
            </w:r>
          </w:p>
        </w:tc>
        <w:tc>
          <w:tcPr>
            <w:tcW w:w="3327" w:type="dxa"/>
            <w:shd w:val="clear" w:color="auto" w:fill="auto"/>
            <w:noWrap/>
            <w:vAlign w:val="center"/>
          </w:tcPr>
          <w:p>
            <w:pPr>
              <w:widowControl/>
              <w:spacing w:line="240" w:lineRule="auto"/>
              <w:ind w:firstLine="0" w:firstLineChars="0"/>
              <w:jc w:val="center"/>
              <w:rPr>
                <w:kern w:val="0"/>
                <w:sz w:val="21"/>
                <w:szCs w:val="21"/>
                <w:highlight w:val="none"/>
              </w:rPr>
            </w:pPr>
            <w:r>
              <w:rPr>
                <w:sz w:val="21"/>
                <w:szCs w:val="21"/>
                <w:highlight w:val="none"/>
              </w:rPr>
              <w:t>22350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0" w:type="dxa"/>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生物多样性保护</w:t>
            </w:r>
          </w:p>
        </w:tc>
        <w:tc>
          <w:tcPr>
            <w:tcW w:w="3327" w:type="dxa"/>
            <w:shd w:val="clear" w:color="auto" w:fill="auto"/>
            <w:noWrap/>
            <w:vAlign w:val="center"/>
          </w:tcPr>
          <w:p>
            <w:pPr>
              <w:widowControl/>
              <w:spacing w:line="240" w:lineRule="auto"/>
              <w:ind w:firstLine="0" w:firstLineChars="0"/>
              <w:jc w:val="center"/>
              <w:rPr>
                <w:kern w:val="0"/>
                <w:sz w:val="21"/>
                <w:szCs w:val="21"/>
                <w:highlight w:val="none"/>
              </w:rPr>
            </w:pPr>
            <w:r>
              <w:rPr>
                <w:sz w:val="21"/>
                <w:szCs w:val="21"/>
                <w:highlight w:val="none"/>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0" w:type="dxa"/>
            <w:shd w:val="clear" w:color="auto" w:fill="auto"/>
            <w:noWrap/>
            <w:vAlign w:val="center"/>
          </w:tcPr>
          <w:p>
            <w:pPr>
              <w:widowControl/>
              <w:spacing w:line="240" w:lineRule="auto"/>
              <w:ind w:firstLine="0" w:firstLineChars="0"/>
              <w:jc w:val="center"/>
              <w:rPr>
                <w:kern w:val="0"/>
                <w:sz w:val="21"/>
                <w:szCs w:val="21"/>
                <w:highlight w:val="none"/>
              </w:rPr>
            </w:pPr>
            <w:r>
              <w:rPr>
                <w:rFonts w:hint="eastAsia"/>
                <w:kern w:val="0"/>
                <w:sz w:val="21"/>
                <w:szCs w:val="21"/>
                <w:highlight w:val="none"/>
              </w:rPr>
              <w:t>耕地保护</w:t>
            </w:r>
            <w:r>
              <w:rPr>
                <w:kern w:val="0"/>
                <w:sz w:val="21"/>
                <w:szCs w:val="21"/>
                <w:highlight w:val="none"/>
              </w:rPr>
              <w:t>与安全利用</w:t>
            </w:r>
          </w:p>
        </w:tc>
        <w:tc>
          <w:tcPr>
            <w:tcW w:w="3327" w:type="dxa"/>
            <w:shd w:val="clear" w:color="auto" w:fill="auto"/>
            <w:noWrap/>
            <w:vAlign w:val="center"/>
          </w:tcPr>
          <w:p>
            <w:pPr>
              <w:widowControl/>
              <w:spacing w:line="240" w:lineRule="auto"/>
              <w:ind w:firstLine="0" w:firstLineChars="0"/>
              <w:jc w:val="center"/>
              <w:rPr>
                <w:kern w:val="0"/>
                <w:sz w:val="21"/>
                <w:szCs w:val="21"/>
                <w:highlight w:val="none"/>
              </w:rPr>
            </w:pPr>
            <w:r>
              <w:rPr>
                <w:sz w:val="21"/>
                <w:szCs w:val="21"/>
                <w:highlight w:val="none"/>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0" w:type="dxa"/>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合计</w:t>
            </w:r>
          </w:p>
        </w:tc>
        <w:tc>
          <w:tcPr>
            <w:tcW w:w="3327" w:type="dxa"/>
            <w:shd w:val="clear" w:color="auto" w:fill="auto"/>
            <w:noWrap/>
            <w:vAlign w:val="center"/>
          </w:tcPr>
          <w:p>
            <w:pPr>
              <w:widowControl/>
              <w:spacing w:line="240" w:lineRule="auto"/>
              <w:ind w:firstLine="0" w:firstLineChars="0"/>
              <w:jc w:val="center"/>
              <w:rPr>
                <w:kern w:val="0"/>
                <w:sz w:val="21"/>
                <w:szCs w:val="21"/>
                <w:highlight w:val="none"/>
              </w:rPr>
            </w:pPr>
            <w:r>
              <w:rPr>
                <w:sz w:val="21"/>
                <w:szCs w:val="21"/>
                <w:highlight w:val="none"/>
              </w:rPr>
              <w:t>183349.64</w:t>
            </w:r>
          </w:p>
        </w:tc>
      </w:tr>
    </w:tbl>
    <w:p>
      <w:pPr>
        <w:ind w:firstLine="0" w:firstLineChars="0"/>
        <w:rPr>
          <w:color w:val="FF0000"/>
          <w:highlight w:val="none"/>
        </w:rPr>
        <w:sectPr>
          <w:pgSz w:w="11907" w:h="16840"/>
          <w:pgMar w:top="1440" w:right="1803" w:bottom="1803" w:left="1803" w:header="851" w:footer="992" w:gutter="0"/>
          <w:cols w:space="0" w:num="1"/>
          <w:docGrid w:type="lines" w:linePitch="326" w:charSpace="0"/>
        </w:sectPr>
      </w:pPr>
    </w:p>
    <w:p>
      <w:pPr>
        <w:ind w:firstLine="0" w:firstLineChars="0"/>
        <w:jc w:val="center"/>
        <w:rPr>
          <w:b/>
          <w:highlight w:val="none"/>
        </w:rPr>
      </w:pPr>
      <w:r>
        <w:rPr>
          <w:b/>
          <w:highlight w:val="none"/>
        </w:rPr>
        <w:t>表6.1-</w:t>
      </w:r>
      <w:r>
        <w:rPr>
          <w:rFonts w:hint="eastAsia"/>
          <w:b/>
          <w:highlight w:val="none"/>
        </w:rPr>
        <w:t>2</w:t>
      </w:r>
      <w:r>
        <w:rPr>
          <w:b/>
          <w:highlight w:val="none"/>
        </w:rPr>
        <w:t xml:space="preserve"> </w:t>
      </w:r>
      <w:r>
        <w:rPr>
          <w:rFonts w:hint="eastAsia"/>
          <w:b/>
          <w:highlight w:val="none"/>
        </w:rPr>
        <w:t>连平</w:t>
      </w:r>
      <w:r>
        <w:rPr>
          <w:b/>
          <w:highlight w:val="none"/>
        </w:rPr>
        <w:t>县生态功能保护修复重点工程项目清单</w:t>
      </w:r>
    </w:p>
    <w:tbl>
      <w:tblPr>
        <w:tblStyle w:val="33"/>
        <w:tblW w:w="13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031"/>
        <w:gridCol w:w="1536"/>
        <w:gridCol w:w="6379"/>
        <w:gridCol w:w="1559"/>
        <w:gridCol w:w="143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blHeader/>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b/>
                <w:bCs/>
                <w:kern w:val="0"/>
                <w:sz w:val="21"/>
                <w:szCs w:val="21"/>
                <w:highlight w:val="none"/>
              </w:rPr>
            </w:pPr>
            <w:r>
              <w:rPr>
                <w:rFonts w:hint="eastAsia"/>
                <w:b/>
                <w:bCs/>
                <w:sz w:val="21"/>
                <w:szCs w:val="21"/>
                <w:highlight w:val="none"/>
              </w:rPr>
              <w:t>序号</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项目</w:t>
            </w:r>
          </w:p>
          <w:p>
            <w:pPr>
              <w:spacing w:line="300" w:lineRule="exact"/>
              <w:ind w:firstLine="0" w:firstLineChars="0"/>
              <w:jc w:val="center"/>
              <w:rPr>
                <w:b/>
                <w:bCs/>
                <w:kern w:val="0"/>
                <w:sz w:val="21"/>
                <w:szCs w:val="21"/>
                <w:highlight w:val="none"/>
              </w:rPr>
            </w:pPr>
            <w:r>
              <w:rPr>
                <w:rFonts w:hint="eastAsia"/>
                <w:b/>
                <w:bCs/>
                <w:sz w:val="21"/>
                <w:szCs w:val="21"/>
                <w:highlight w:val="none"/>
              </w:rPr>
              <w:t>类别</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kern w:val="0"/>
                <w:sz w:val="21"/>
                <w:szCs w:val="21"/>
                <w:highlight w:val="none"/>
              </w:rPr>
            </w:pPr>
            <w:r>
              <w:rPr>
                <w:rFonts w:hint="eastAsia"/>
                <w:b/>
                <w:bCs/>
                <w:sz w:val="21"/>
                <w:szCs w:val="21"/>
                <w:highlight w:val="none"/>
              </w:rPr>
              <w:t>工程名称</w:t>
            </w: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工程建设规模与内容</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负责单位</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kern w:val="0"/>
                <w:sz w:val="21"/>
                <w:szCs w:val="21"/>
                <w:highlight w:val="none"/>
              </w:rPr>
            </w:pPr>
            <w:r>
              <w:rPr>
                <w:rFonts w:hint="eastAsia"/>
                <w:b/>
                <w:bCs/>
                <w:sz w:val="21"/>
                <w:szCs w:val="21"/>
                <w:highlight w:val="none"/>
              </w:rPr>
              <w:t>建设年限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投资估算</w:t>
            </w:r>
          </w:p>
          <w:p>
            <w:pPr>
              <w:spacing w:line="300" w:lineRule="exact"/>
              <w:ind w:firstLine="0" w:firstLineChars="0"/>
              <w:jc w:val="center"/>
              <w:rPr>
                <w:b/>
                <w:bCs/>
                <w:sz w:val="21"/>
                <w:szCs w:val="21"/>
                <w:highlight w:val="none"/>
              </w:rPr>
            </w:pPr>
            <w:r>
              <w:rPr>
                <w:rFonts w:hint="eastAsia"/>
                <w:b/>
                <w:bCs/>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1</w:t>
            </w:r>
          </w:p>
        </w:tc>
        <w:tc>
          <w:tcPr>
            <w:tcW w:w="1031"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矿山地质生态保护修复</w:t>
            </w:r>
          </w:p>
        </w:tc>
        <w:tc>
          <w:tcPr>
            <w:tcW w:w="1536"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历史遗留矿山生态修复工程</w:t>
            </w: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陂头镇、三角镇相对集中连片的4个项目共24个图斑生态修复工程，总面积43.24公顷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县自然资源局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2022-2023年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464.64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2</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p>
        </w:tc>
        <w:tc>
          <w:tcPr>
            <w:tcW w:w="15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按省市下达指标，完成2023-2025年历史遗留矿山生态修复工程，总面积达40公顷以上。</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县自然资源局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1031"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r>
              <w:rPr>
                <w:bCs/>
                <w:sz w:val="21"/>
                <w:szCs w:val="21"/>
                <w:highlight w:val="none"/>
              </w:rPr>
              <w:t>水土保持</w:t>
            </w:r>
          </w:p>
        </w:tc>
        <w:tc>
          <w:tcPr>
            <w:tcW w:w="1536"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r>
              <w:rPr>
                <w:bCs/>
                <w:sz w:val="21"/>
                <w:szCs w:val="21"/>
                <w:highlight w:val="none"/>
              </w:rPr>
              <w:t>小流域综合治理工程</w:t>
            </w: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大湖水小流域综合治理工程，工程内容包括坡改梯田18.18公顷，谷坊69座，拦沙坝17座，沟洫36.36公里，水土保持林63.27公顷，种草29.45公顷，封育治理282.73公顷。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县水务局</w:t>
            </w:r>
            <w:r>
              <w:rPr>
                <w:rFonts w:hint="eastAsia"/>
                <w:bCs/>
                <w:sz w:val="21"/>
                <w:szCs w:val="21"/>
                <w:highlight w:val="none"/>
              </w:rPr>
              <w:t>、</w:t>
            </w:r>
            <w:r>
              <w:rPr>
                <w:bCs/>
                <w:sz w:val="21"/>
                <w:szCs w:val="21"/>
                <w:highlight w:val="none"/>
              </w:rPr>
              <w:t>大湖镇</w:t>
            </w:r>
            <w:r>
              <w:rPr>
                <w:rFonts w:hint="eastAsia"/>
                <w:bCs/>
                <w:sz w:val="21"/>
                <w:szCs w:val="21"/>
                <w:highlight w:val="none"/>
              </w:rPr>
              <w:t>、</w:t>
            </w:r>
            <w:r>
              <w:rPr>
                <w:bCs/>
                <w:sz w:val="21"/>
                <w:szCs w:val="21"/>
                <w:highlight w:val="none"/>
              </w:rPr>
              <w:t>三角镇</w:t>
            </w:r>
            <w:r>
              <w:rPr>
                <w:rFonts w:hint="eastAsia"/>
                <w:bCs/>
                <w:sz w:val="21"/>
                <w:szCs w:val="21"/>
                <w:highlight w:val="none"/>
              </w:rPr>
              <w:t>、</w:t>
            </w:r>
            <w:r>
              <w:rPr>
                <w:bCs/>
                <w:sz w:val="21"/>
                <w:szCs w:val="21"/>
                <w:highlight w:val="none"/>
              </w:rPr>
              <w:t>绣缎镇</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1031" w:type="dxa"/>
            <w:vMerge w:val="continue"/>
            <w:tcBorders>
              <w:left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上坪水（大席河上坪段）小流域综合治理工程，工程内容包括坡改梯田41.82公顷，谷坊71座，拦沙坝17座，沟洫37.45公里，水土保持林69.09公顷，种草21.64公顷，封育治理237.64公顷。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县水务局、上坪镇</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103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p>
        </w:tc>
        <w:tc>
          <w:tcPr>
            <w:tcW w:w="1536"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陂头水小流域综合治理工程，工程内容包括坡改梯田48公顷，谷坊28座，拦沙坝7座，沟洫14.55公里，水土保持林89.27公顷，种草21.27公顷，封育治理264.91公顷。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县水务局、陂头镇</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1031"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水生态环境保护修复</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饮用水源安全保障工程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河源市连平县镇级集中式饮用水水源地规范化建设工程，工程内容包括隔离防护网、标志牌、道路警示牌、宣传牌、记事碑、视频监控平台等。</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2023-2024年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重点断面水质巩固提升工程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隆街段）水环境综合整治项目，内容包括：①对连平河流域开展城镇截污管网建设工作，建设DN400截污管网1000m；配套截污井、检查井20座；②对连平河流域开展农村污水收集处理与资源化利用；③对连平河流域开展农业面源治理工作，建设改造嵌草生态沟渠14144m，三面光沟渠改造14144m。</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农村生活污水治理工程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高莞镇太平村（11个自然村）、上坪镇中村村（11个自然村）、元善镇醒狮村（9个自然村）的农村生活污水治理及相关配套管网建设。</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县住房和城乡建设局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2022-2024年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9</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水生态扩容修复工程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连平河连平县段碧道工程，新建碧道3.8公里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2022-2023年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10</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连平河隆街镇龙埔村段碧道工程，新建碧道5公里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11</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连平河溪山镇段碧道工程，新建碧道10公里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12</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五禾水绣缎镇金溪村段碧道工程，新建碧道2公里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13</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大席河田源镇河戴屋段碧道工程，新建碧道2公里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14</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淡洞河田源镇田东村至水西村段碧道工程，新建碧道4公里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15</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高陂水高莞镇段碧道工程，新建碧道24公里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16</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大湖河大湖镇段碧道工程，新建碧道11.1公里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17</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大坪水陂头镇段碧道工程，新建碧道6.2公里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6040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18</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茶新水油溪镇碧道工程，新建碧道6公里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19</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内莞蓝州水碧道工程，新建碧道5公里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忠信河连平县段碧道工程，新建碧道11公里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21</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忠信河生态湿地及河岸生态缓冲带保护工程，工程内容包括：河岸生态缓冲带3.9公里和河道滩涂整治工程1.5公顷，生态岸坡和河道滩涂种植植被1.2公顷。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22</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大湖水河口生态湿地建设工程，规模约38000平方米，建设内容包括：土方开挖及清运，湿地植物种植面积约30400平方米，新建梯级曝气坝2座。</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23</w:t>
            </w:r>
          </w:p>
        </w:tc>
        <w:tc>
          <w:tcPr>
            <w:tcW w:w="1031" w:type="dxa"/>
            <w:vMerge w:val="restart"/>
            <w:tcBorders>
              <w:left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森林生态系统保护修复</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林分优化提升</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完成人工造林0.3万亩、低质低效及松材线虫危害松林优化改造9.55万亩、低质低效及分布不合理桉树林优化改造1.07万亩、自然保护地林分优化改造0.01万亩、封山育林2.95万亩。</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县林业局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24</w:t>
            </w:r>
          </w:p>
        </w:tc>
        <w:tc>
          <w:tcPr>
            <w:tcW w:w="1031" w:type="dxa"/>
            <w:vMerge w:val="continue"/>
            <w:tcBorders>
              <w:left w:val="single" w:color="auto" w:sz="4" w:space="0"/>
              <w:right w:val="single" w:color="auto" w:sz="4" w:space="0"/>
            </w:tcBorders>
            <w:vAlign w:val="center"/>
          </w:tcPr>
          <w:p>
            <w:pPr>
              <w:spacing w:line="300" w:lineRule="exact"/>
              <w:ind w:firstLine="0" w:firstLineChars="0"/>
              <w:jc w:val="center"/>
              <w:rPr>
                <w:bCs/>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森林抚育</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完成中幼林改造10.51万亩、低产油茶林抚育0.82万亩。</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县林业局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25</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生物多样性保护</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自然保护地整合优化</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自然保护地边界和功能区划界线的调查、勘测、立标、综合考察和总体规划编制等。</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县林业局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26</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耕地保护与安全利用</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受污染耕地安全利用</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按市下达任务，实施元善镇、溪山镇、陂头镇、田源镇和油溪镇重点区域受污染耕地安全利用。</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县农业农村局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330</w:t>
            </w:r>
          </w:p>
        </w:tc>
      </w:tr>
    </w:tbl>
    <w:p>
      <w:pPr>
        <w:ind w:firstLine="0" w:firstLineChars="0"/>
        <w:jc w:val="center"/>
        <w:rPr>
          <w:b/>
          <w:color w:val="FF0000"/>
          <w:highlight w:val="none"/>
        </w:rPr>
      </w:pPr>
    </w:p>
    <w:p>
      <w:pPr>
        <w:ind w:firstLine="0" w:firstLineChars="0"/>
        <w:rPr>
          <w:color w:val="FF0000"/>
          <w:highlight w:val="none"/>
        </w:rPr>
        <w:sectPr>
          <w:pgSz w:w="16840" w:h="11907" w:orient="landscape"/>
          <w:pgMar w:top="1803" w:right="1440" w:bottom="1803" w:left="1803" w:header="851" w:footer="992" w:gutter="0"/>
          <w:cols w:space="0" w:num="1"/>
          <w:docGrid w:type="lines" w:linePitch="326" w:charSpace="0"/>
        </w:sectPr>
      </w:pPr>
    </w:p>
    <w:p>
      <w:pPr>
        <w:pStyle w:val="87"/>
        <w:ind w:left="0" w:firstLine="0"/>
        <w:rPr>
          <w:rFonts w:eastAsia="宋体"/>
          <w:color w:val="auto"/>
          <w:sz w:val="28"/>
          <w:szCs w:val="21"/>
          <w:highlight w:val="none"/>
        </w:rPr>
      </w:pPr>
      <w:bookmarkStart w:id="101" w:name="_Toc140764146"/>
      <w:r>
        <w:rPr>
          <w:rFonts w:hint="eastAsia" w:eastAsia="宋体"/>
          <w:color w:val="auto"/>
          <w:sz w:val="28"/>
          <w:szCs w:val="21"/>
          <w:highlight w:val="none"/>
        </w:rPr>
        <w:t>工程布局</w:t>
      </w:r>
      <w:bookmarkEnd w:id="101"/>
    </w:p>
    <w:p>
      <w:pPr>
        <w:ind w:firstLine="482"/>
        <w:rPr>
          <w:b/>
          <w:highlight w:val="none"/>
        </w:rPr>
      </w:pPr>
      <w:r>
        <w:rPr>
          <w:b/>
          <w:highlight w:val="none"/>
        </w:rPr>
        <w:t xml:space="preserve">1. </w:t>
      </w:r>
      <w:r>
        <w:rPr>
          <w:rFonts w:hint="eastAsia"/>
          <w:b/>
          <w:highlight w:val="none"/>
        </w:rPr>
        <w:t>北部生物多样性维护区</w:t>
      </w:r>
    </w:p>
    <w:p>
      <w:pPr>
        <w:ind w:firstLine="480"/>
        <w:rPr>
          <w:highlight w:val="none"/>
        </w:rPr>
      </w:pPr>
      <w:r>
        <w:rPr>
          <w:rFonts w:hint="eastAsia"/>
          <w:highlight w:val="none"/>
        </w:rPr>
        <w:t>重点开展黄牛石省级自然保护区等自然保护地生物多样性保护，落实自然保护地边界和功能区划界线的调查、勘测、立标、综合考察和总体规划编制等。落实陂头镇相对集中连片历史遗留矿山生态修复、上坪水（大席河上坪段）与陂头水小流域综合治理、镇级集中式饮用水水源地规范化建设、上坪镇农村生活污水治理、大坪水陂头镇段碧道建设、林分优化提升、森林抚育以及陂头镇受污染耕地安全利用等工程。</w:t>
      </w:r>
    </w:p>
    <w:tbl>
      <w:tblPr>
        <w:tblStyle w:val="1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2"/>
            <w:vAlign w:val="center"/>
          </w:tcPr>
          <w:p>
            <w:pPr>
              <w:spacing w:line="240" w:lineRule="auto"/>
              <w:ind w:firstLine="0" w:firstLineChars="0"/>
              <w:jc w:val="center"/>
              <w:rPr>
                <w:sz w:val="21"/>
                <w:highlight w:val="none"/>
              </w:rPr>
            </w:pPr>
            <w:r>
              <w:rPr>
                <w:sz w:val="21"/>
                <w:highlight w:val="none"/>
              </w:rPr>
              <w:t>专栏 6.2-1</w:t>
            </w:r>
            <w:r>
              <w:rPr>
                <w:rFonts w:hint="eastAsia"/>
                <w:sz w:val="21"/>
                <w:highlight w:val="none"/>
              </w:rPr>
              <w:t xml:space="preserve"> 北部生物多样性维护区</w:t>
            </w:r>
            <w:r>
              <w:rPr>
                <w:sz w:val="21"/>
                <w:highlight w:val="none"/>
              </w:rPr>
              <w:t>重点工程布局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sz w:val="21"/>
                <w:highlight w:val="none"/>
              </w:rPr>
              <w:t>生物多样性保护</w:t>
            </w:r>
          </w:p>
        </w:tc>
        <w:tc>
          <w:tcPr>
            <w:tcW w:w="6702" w:type="dxa"/>
            <w:vAlign w:val="center"/>
          </w:tcPr>
          <w:p>
            <w:pPr>
              <w:spacing w:line="240" w:lineRule="auto"/>
              <w:ind w:firstLine="0" w:firstLineChars="0"/>
              <w:jc w:val="center"/>
              <w:rPr>
                <w:sz w:val="21"/>
                <w:highlight w:val="none"/>
              </w:rPr>
            </w:pPr>
            <w:r>
              <w:rPr>
                <w:rFonts w:hint="eastAsia"/>
                <w:sz w:val="21"/>
                <w:highlight w:val="none"/>
              </w:rPr>
              <w:t>黄牛石省级自然保护区等自然保护地边界和功能区划界线的调查、勘测、立标、综合考察和总体规划编制等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矿山地质生态保护修复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陂头镇相对集中连片历史遗留矿山生态修复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restart"/>
            <w:vAlign w:val="center"/>
          </w:tcPr>
          <w:p>
            <w:pPr>
              <w:spacing w:line="240" w:lineRule="auto"/>
              <w:ind w:firstLine="0" w:firstLineChars="0"/>
              <w:jc w:val="center"/>
              <w:rPr>
                <w:sz w:val="21"/>
                <w:highlight w:val="none"/>
              </w:rPr>
            </w:pPr>
            <w:r>
              <w:rPr>
                <w:sz w:val="21"/>
                <w:highlight w:val="none"/>
              </w:rPr>
              <w:t>水土保持</w:t>
            </w:r>
          </w:p>
        </w:tc>
        <w:tc>
          <w:tcPr>
            <w:tcW w:w="6702" w:type="dxa"/>
            <w:vAlign w:val="center"/>
          </w:tcPr>
          <w:p>
            <w:pPr>
              <w:spacing w:line="240" w:lineRule="auto"/>
              <w:ind w:firstLine="0" w:firstLineChars="0"/>
              <w:jc w:val="center"/>
              <w:rPr>
                <w:sz w:val="21"/>
                <w:highlight w:val="none"/>
              </w:rPr>
            </w:pPr>
            <w:r>
              <w:rPr>
                <w:rFonts w:hint="eastAsia"/>
                <w:sz w:val="21"/>
                <w:highlight w:val="none"/>
              </w:rPr>
              <w:t>上坪水（大席河上坪段）小流域综合治理工程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陂头水小流域综合治理工程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restart"/>
            <w:vAlign w:val="center"/>
          </w:tcPr>
          <w:p>
            <w:pPr>
              <w:spacing w:line="240" w:lineRule="auto"/>
              <w:ind w:firstLine="0" w:firstLineChars="0"/>
              <w:jc w:val="center"/>
              <w:rPr>
                <w:sz w:val="21"/>
                <w:highlight w:val="none"/>
              </w:rPr>
            </w:pPr>
            <w:r>
              <w:rPr>
                <w:sz w:val="21"/>
                <w:highlight w:val="none"/>
              </w:rPr>
              <w:t>水生态环境保护修复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镇级集中式饮用水水源地规范化建设工程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sz w:val="21"/>
                <w:highlight w:val="none"/>
              </w:rPr>
              <w:t>上坪镇农村生活污水治理工程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大坪水陂头镇段碧道工程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森林生态系统保护修复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林分优化提升、森林抚育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耕地保护与安全利用</w:t>
            </w:r>
          </w:p>
        </w:tc>
        <w:tc>
          <w:tcPr>
            <w:tcW w:w="6702" w:type="dxa"/>
            <w:vAlign w:val="center"/>
          </w:tcPr>
          <w:p>
            <w:pPr>
              <w:spacing w:line="240" w:lineRule="auto"/>
              <w:ind w:firstLine="0" w:firstLineChars="0"/>
              <w:jc w:val="center"/>
              <w:rPr>
                <w:sz w:val="21"/>
                <w:highlight w:val="none"/>
              </w:rPr>
            </w:pPr>
            <w:r>
              <w:rPr>
                <w:rFonts w:hint="eastAsia"/>
                <w:sz w:val="21"/>
                <w:highlight w:val="none"/>
              </w:rPr>
              <w:t>陂头镇受污染耕地安全利用</w:t>
            </w:r>
          </w:p>
        </w:tc>
      </w:tr>
    </w:tbl>
    <w:p>
      <w:pPr>
        <w:ind w:firstLine="482"/>
        <w:rPr>
          <w:b/>
          <w:highlight w:val="none"/>
        </w:rPr>
      </w:pPr>
      <w:r>
        <w:rPr>
          <w:rFonts w:hint="eastAsia"/>
          <w:b/>
          <w:highlight w:val="none"/>
        </w:rPr>
        <w:t>2</w:t>
      </w:r>
      <w:r>
        <w:rPr>
          <w:b/>
          <w:highlight w:val="none"/>
        </w:rPr>
        <w:t xml:space="preserve">. </w:t>
      </w:r>
      <w:r>
        <w:rPr>
          <w:rFonts w:hint="eastAsia"/>
          <w:b/>
          <w:highlight w:val="none"/>
        </w:rPr>
        <w:t>西部连平河-新丰江水生态功能维护区</w:t>
      </w:r>
    </w:p>
    <w:p>
      <w:pPr>
        <w:ind w:firstLine="480"/>
        <w:rPr>
          <w:highlight w:val="none"/>
        </w:rPr>
      </w:pPr>
      <w:r>
        <w:rPr>
          <w:rFonts w:hint="eastAsia"/>
          <w:highlight w:val="none"/>
        </w:rPr>
        <w:t>重点开展镇级集中式饮用水水源地规范化建设、连平河（隆街段）水环境综合整治、元善镇农村生活污水治理、连平河（连平县段、隆街镇龙埔村段、溪山镇段）碧道工程建设。落实连平雷公寨自然保护区、连平西山自然保护区、连平鹤湖森林公园等自然保护地生物多样性保护，历史遗留矿山生态修复、林分优化提升、森林抚育、元善镇及溪山镇受污染耕地安全利用等工程。</w:t>
      </w:r>
    </w:p>
    <w:tbl>
      <w:tblPr>
        <w:tblStyle w:val="1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2"/>
            <w:vAlign w:val="center"/>
          </w:tcPr>
          <w:p>
            <w:pPr>
              <w:spacing w:line="240" w:lineRule="auto"/>
              <w:ind w:firstLine="0" w:firstLineChars="0"/>
              <w:jc w:val="center"/>
              <w:rPr>
                <w:sz w:val="21"/>
                <w:highlight w:val="none"/>
              </w:rPr>
            </w:pPr>
            <w:r>
              <w:rPr>
                <w:sz w:val="21"/>
                <w:highlight w:val="none"/>
              </w:rPr>
              <w:t>专栏 6.2-</w:t>
            </w:r>
            <w:r>
              <w:rPr>
                <w:rFonts w:hint="eastAsia"/>
                <w:sz w:val="21"/>
                <w:highlight w:val="none"/>
              </w:rPr>
              <w:t>2西部连平河-新丰江水生态功能维护区</w:t>
            </w:r>
            <w:r>
              <w:rPr>
                <w:sz w:val="21"/>
                <w:highlight w:val="none"/>
              </w:rPr>
              <w:t>重点工程布局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restart"/>
            <w:vAlign w:val="center"/>
          </w:tcPr>
          <w:p>
            <w:pPr>
              <w:spacing w:line="240" w:lineRule="auto"/>
              <w:ind w:firstLine="0" w:firstLineChars="0"/>
              <w:jc w:val="center"/>
              <w:rPr>
                <w:sz w:val="21"/>
                <w:highlight w:val="none"/>
              </w:rPr>
            </w:pPr>
            <w:r>
              <w:rPr>
                <w:sz w:val="21"/>
                <w:highlight w:val="none"/>
              </w:rPr>
              <w:t>水生态环境保护修复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镇级集中式饮用水水源地规范化建设工程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连平河（隆街段）水环境综合整治工程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sz w:val="21"/>
                <w:highlight w:val="none"/>
              </w:rPr>
              <w:t>元善镇农村生活污水治理工程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连平河连平县段碧道工程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连平河隆街镇龙埔村段碧道工程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连平河溪山镇段碧道工程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sz w:val="21"/>
                <w:highlight w:val="none"/>
              </w:rPr>
              <w:t>生物多样性保护</w:t>
            </w:r>
          </w:p>
        </w:tc>
        <w:tc>
          <w:tcPr>
            <w:tcW w:w="6702" w:type="dxa"/>
            <w:vAlign w:val="center"/>
          </w:tcPr>
          <w:p>
            <w:pPr>
              <w:spacing w:line="240" w:lineRule="auto"/>
              <w:ind w:firstLine="0" w:firstLineChars="0"/>
              <w:jc w:val="center"/>
              <w:rPr>
                <w:sz w:val="21"/>
                <w:highlight w:val="none"/>
              </w:rPr>
            </w:pPr>
            <w:r>
              <w:rPr>
                <w:rFonts w:hint="eastAsia"/>
                <w:sz w:val="21"/>
                <w:highlight w:val="none"/>
              </w:rPr>
              <w:t>连平雷公寨自然保护区、连平西山自然保护区、连平鹤湖森林公园等自然保护地边界和功能区划界线的调查、勘测、立标、综合考察和总体规划编制等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矿山地质生态保护修复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历史遗留矿山生态修复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森林生态系统保护修复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林分优化提升、森林抚育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耕地保护与安全利用</w:t>
            </w:r>
          </w:p>
        </w:tc>
        <w:tc>
          <w:tcPr>
            <w:tcW w:w="6702" w:type="dxa"/>
            <w:vAlign w:val="center"/>
          </w:tcPr>
          <w:p>
            <w:pPr>
              <w:spacing w:line="240" w:lineRule="auto"/>
              <w:ind w:firstLine="0" w:firstLineChars="0"/>
              <w:jc w:val="center"/>
              <w:rPr>
                <w:sz w:val="21"/>
                <w:highlight w:val="none"/>
              </w:rPr>
            </w:pPr>
            <w:r>
              <w:rPr>
                <w:rFonts w:hint="eastAsia"/>
                <w:sz w:val="21"/>
                <w:highlight w:val="none"/>
              </w:rPr>
              <w:t>元善镇、溪山镇受污染耕地安全利用</w:t>
            </w:r>
          </w:p>
        </w:tc>
      </w:tr>
    </w:tbl>
    <w:p>
      <w:pPr>
        <w:ind w:firstLine="482"/>
        <w:rPr>
          <w:b/>
          <w:highlight w:val="none"/>
        </w:rPr>
      </w:pPr>
      <w:r>
        <w:rPr>
          <w:rFonts w:hint="eastAsia"/>
          <w:b/>
          <w:highlight w:val="none"/>
        </w:rPr>
        <w:t>3</w:t>
      </w:r>
      <w:r>
        <w:rPr>
          <w:b/>
          <w:highlight w:val="none"/>
        </w:rPr>
        <w:t xml:space="preserve">. </w:t>
      </w:r>
      <w:r>
        <w:rPr>
          <w:rFonts w:hint="eastAsia"/>
          <w:b/>
          <w:highlight w:val="none"/>
        </w:rPr>
        <w:t>中部新丰江水库水源涵养区</w:t>
      </w:r>
    </w:p>
    <w:p>
      <w:pPr>
        <w:ind w:firstLine="480"/>
        <w:rPr>
          <w:highlight w:val="none"/>
        </w:rPr>
      </w:pPr>
      <w:r>
        <w:rPr>
          <w:rFonts w:hint="eastAsia"/>
          <w:highlight w:val="none"/>
        </w:rPr>
        <w:t>重点开展镇级集中式饮用水水源地规范化建设、大席河田源镇河戴屋段碧道、淡洞河田源镇田东村至水西村段碧道、茶新水油溪镇碧道、内莞蓝州水碧道、忠信河连平县段碧道、忠信河生态湿地及河岸生态缓冲带保护以及林分优化提升、森林抚育等工程建设。落实历史遗留矿山生态修复；河源连平西山自然保护区、河源连平朝天马地方级森林公园、河源连平金花洞地方级森林公园、河源九连山地方级森林公园等自然保护地生物多样性保护以及田源镇、油溪镇受污染耕地安全利用。</w:t>
      </w:r>
    </w:p>
    <w:tbl>
      <w:tblPr>
        <w:tblStyle w:val="1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2"/>
            <w:vAlign w:val="center"/>
          </w:tcPr>
          <w:p>
            <w:pPr>
              <w:spacing w:line="240" w:lineRule="auto"/>
              <w:ind w:firstLine="480" w:firstLineChars="0"/>
              <w:jc w:val="center"/>
              <w:rPr>
                <w:sz w:val="21"/>
                <w:highlight w:val="none"/>
              </w:rPr>
            </w:pPr>
            <w:r>
              <w:rPr>
                <w:sz w:val="21"/>
                <w:highlight w:val="none"/>
              </w:rPr>
              <w:t>专栏 6.2-</w:t>
            </w:r>
            <w:r>
              <w:rPr>
                <w:rFonts w:hint="eastAsia"/>
                <w:sz w:val="21"/>
                <w:highlight w:val="none"/>
              </w:rPr>
              <w:t>3中部新丰江水库水源涵养区</w:t>
            </w:r>
            <w:r>
              <w:rPr>
                <w:sz w:val="21"/>
                <w:highlight w:val="none"/>
              </w:rPr>
              <w:t>重点工程布局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restart"/>
            <w:vAlign w:val="center"/>
          </w:tcPr>
          <w:p>
            <w:pPr>
              <w:spacing w:line="240" w:lineRule="auto"/>
              <w:ind w:firstLine="0" w:firstLineChars="0"/>
              <w:jc w:val="center"/>
              <w:rPr>
                <w:sz w:val="21"/>
                <w:highlight w:val="none"/>
              </w:rPr>
            </w:pPr>
            <w:r>
              <w:rPr>
                <w:sz w:val="21"/>
                <w:highlight w:val="none"/>
              </w:rPr>
              <w:t>水生态环境保护修复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镇级集中式饮用水水源地规范化建设工程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大席河田源镇河戴屋段碧道工程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淡洞河田源镇田东村至水西村段碧道工程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茶新水油溪镇碧道工程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内莞蓝州水碧道工程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忠信河连平县段碧道工程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忠信河生态湿地及河岸生态缓冲带保护工程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森林生态系统保护修复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林分优化提升、森林抚育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矿山地质生态保护修复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历史遗留矿山生态修复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sz w:val="21"/>
                <w:highlight w:val="none"/>
              </w:rPr>
              <w:t>生物多样性保护</w:t>
            </w:r>
          </w:p>
        </w:tc>
        <w:tc>
          <w:tcPr>
            <w:tcW w:w="6702" w:type="dxa"/>
            <w:vAlign w:val="center"/>
          </w:tcPr>
          <w:p>
            <w:pPr>
              <w:spacing w:line="240" w:lineRule="auto"/>
              <w:ind w:firstLine="0" w:firstLineChars="0"/>
              <w:jc w:val="center"/>
              <w:rPr>
                <w:sz w:val="21"/>
                <w:highlight w:val="none"/>
              </w:rPr>
            </w:pPr>
            <w:r>
              <w:rPr>
                <w:rFonts w:hint="eastAsia"/>
                <w:sz w:val="21"/>
                <w:highlight w:val="none"/>
              </w:rPr>
              <w:t>河源连平西山自然保护区、河源连平朝天马地方级森林公园、河源连平金花洞地方级森林公园、河源九连山地方级森林公园等自然保护地边界和功能区划界线的调查、勘测、立标、综合考察和总体规划编制等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耕地保护与安全利用</w:t>
            </w:r>
          </w:p>
        </w:tc>
        <w:tc>
          <w:tcPr>
            <w:tcW w:w="6702" w:type="dxa"/>
            <w:vAlign w:val="center"/>
          </w:tcPr>
          <w:p>
            <w:pPr>
              <w:spacing w:line="240" w:lineRule="auto"/>
              <w:ind w:firstLine="0" w:firstLineChars="0"/>
              <w:jc w:val="center"/>
              <w:rPr>
                <w:sz w:val="21"/>
                <w:highlight w:val="none"/>
              </w:rPr>
            </w:pPr>
            <w:r>
              <w:rPr>
                <w:rFonts w:hint="eastAsia"/>
                <w:sz w:val="21"/>
                <w:highlight w:val="none"/>
              </w:rPr>
              <w:t>田源镇、油溪镇受污染耕地安全利用</w:t>
            </w:r>
          </w:p>
        </w:tc>
      </w:tr>
    </w:tbl>
    <w:p>
      <w:pPr>
        <w:ind w:firstLine="482"/>
        <w:rPr>
          <w:b/>
          <w:highlight w:val="none"/>
        </w:rPr>
      </w:pPr>
      <w:r>
        <w:rPr>
          <w:rFonts w:hint="eastAsia"/>
          <w:b/>
          <w:highlight w:val="none"/>
        </w:rPr>
        <w:t>4</w:t>
      </w:r>
      <w:r>
        <w:rPr>
          <w:b/>
          <w:highlight w:val="none"/>
        </w:rPr>
        <w:t xml:space="preserve">. </w:t>
      </w:r>
      <w:r>
        <w:rPr>
          <w:rFonts w:hint="eastAsia"/>
          <w:b/>
          <w:highlight w:val="none"/>
        </w:rPr>
        <w:t>东部水土保持功能维护区</w:t>
      </w:r>
    </w:p>
    <w:p>
      <w:pPr>
        <w:ind w:firstLine="480"/>
        <w:rPr>
          <w:highlight w:val="none"/>
        </w:rPr>
      </w:pPr>
      <w:r>
        <w:rPr>
          <w:rFonts w:hint="eastAsia"/>
          <w:highlight w:val="none"/>
        </w:rPr>
        <w:t>重点开展大湖水小流域综合治理、三角镇相对集中连片历史遗留矿山生态修复等工程建设。落实镇级集中式饮用水水源地规范化建设、五禾水绣缎镇金溪村段碧道工程、高陂水高莞镇段碧道工程、大湖河大湖镇段碧道工程、大湖水河口生态湿地建设工程、林分优化提升、森林抚育以及河源连平清沟水森林公园、河源连平瓮潭湿地公园等自然保护地生物多样性保护。</w:t>
      </w:r>
    </w:p>
    <w:tbl>
      <w:tblPr>
        <w:tblStyle w:val="1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2"/>
            <w:vAlign w:val="center"/>
          </w:tcPr>
          <w:p>
            <w:pPr>
              <w:spacing w:line="240" w:lineRule="auto"/>
              <w:ind w:firstLine="480" w:firstLineChars="0"/>
              <w:jc w:val="center"/>
              <w:rPr>
                <w:sz w:val="21"/>
                <w:highlight w:val="none"/>
              </w:rPr>
            </w:pPr>
            <w:r>
              <w:rPr>
                <w:sz w:val="21"/>
                <w:highlight w:val="none"/>
              </w:rPr>
              <w:t>专栏 6.2-</w:t>
            </w:r>
            <w:r>
              <w:rPr>
                <w:rFonts w:hint="eastAsia"/>
                <w:sz w:val="21"/>
                <w:highlight w:val="none"/>
              </w:rPr>
              <w:t>4东部水土保持功能维护区</w:t>
            </w:r>
            <w:r>
              <w:rPr>
                <w:sz w:val="21"/>
                <w:highlight w:val="none"/>
              </w:rPr>
              <w:t>重点工程布局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sz w:val="21"/>
                <w:highlight w:val="none"/>
              </w:rPr>
              <w:t>水土保持</w:t>
            </w:r>
          </w:p>
        </w:tc>
        <w:tc>
          <w:tcPr>
            <w:tcW w:w="6702" w:type="dxa"/>
            <w:vAlign w:val="center"/>
          </w:tcPr>
          <w:p>
            <w:pPr>
              <w:spacing w:line="240" w:lineRule="auto"/>
              <w:ind w:firstLine="0" w:firstLineChars="0"/>
              <w:jc w:val="center"/>
              <w:rPr>
                <w:sz w:val="21"/>
                <w:highlight w:val="none"/>
              </w:rPr>
            </w:pPr>
            <w:r>
              <w:rPr>
                <w:rFonts w:hint="eastAsia"/>
                <w:sz w:val="21"/>
                <w:highlight w:val="none"/>
              </w:rPr>
              <w:t>大湖水小流域综合治理工程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矿山地质生态保护修复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三角镇相对集中连片历史遗留矿山生态修复工程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restart"/>
            <w:vAlign w:val="center"/>
          </w:tcPr>
          <w:p>
            <w:pPr>
              <w:spacing w:line="240" w:lineRule="auto"/>
              <w:ind w:firstLine="0" w:firstLineChars="0"/>
              <w:jc w:val="center"/>
              <w:rPr>
                <w:sz w:val="21"/>
                <w:highlight w:val="none"/>
              </w:rPr>
            </w:pPr>
            <w:r>
              <w:rPr>
                <w:sz w:val="21"/>
                <w:highlight w:val="none"/>
              </w:rPr>
              <w:t>水生态环境保护修复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镇级集中式饮用水水源地规范化建设工程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五禾水绣缎镇金溪村段碧道工程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高陂水高莞镇段碧道工程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大湖河大湖镇段碧道工程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Merge w:val="continue"/>
            <w:vAlign w:val="center"/>
          </w:tcPr>
          <w:p>
            <w:pPr>
              <w:spacing w:line="240" w:lineRule="auto"/>
              <w:ind w:firstLine="480" w:firstLineChars="0"/>
              <w:jc w:val="center"/>
              <w:rPr>
                <w:sz w:val="21"/>
                <w:highlight w:val="none"/>
              </w:rPr>
            </w:pPr>
          </w:p>
        </w:tc>
        <w:tc>
          <w:tcPr>
            <w:tcW w:w="6702" w:type="dxa"/>
            <w:vAlign w:val="center"/>
          </w:tcPr>
          <w:p>
            <w:pPr>
              <w:spacing w:line="240" w:lineRule="auto"/>
              <w:ind w:firstLine="0" w:firstLineChars="0"/>
              <w:jc w:val="center"/>
              <w:rPr>
                <w:sz w:val="21"/>
                <w:highlight w:val="none"/>
              </w:rPr>
            </w:pPr>
            <w:r>
              <w:rPr>
                <w:rFonts w:hint="eastAsia"/>
                <w:sz w:val="21"/>
                <w:highlight w:val="none"/>
              </w:rPr>
              <w:t>大湖水河口生态湿地建设工程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rFonts w:hint="eastAsia"/>
                <w:sz w:val="21"/>
                <w:highlight w:val="none"/>
              </w:rPr>
              <w:t>森林生态系统保护修复</w:t>
            </w:r>
          </w:p>
        </w:tc>
        <w:tc>
          <w:tcPr>
            <w:tcW w:w="6702" w:type="dxa"/>
            <w:vAlign w:val="center"/>
          </w:tcPr>
          <w:p>
            <w:pPr>
              <w:spacing w:line="240" w:lineRule="auto"/>
              <w:ind w:firstLine="0" w:firstLineChars="0"/>
              <w:jc w:val="center"/>
              <w:rPr>
                <w:sz w:val="21"/>
                <w:highlight w:val="none"/>
              </w:rPr>
            </w:pPr>
            <w:r>
              <w:rPr>
                <w:rFonts w:hint="eastAsia"/>
                <w:sz w:val="21"/>
                <w:highlight w:val="none"/>
              </w:rPr>
              <w:t>林分优化提升、森林抚育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pPr>
              <w:spacing w:line="240" w:lineRule="auto"/>
              <w:ind w:firstLine="0" w:firstLineChars="0"/>
              <w:jc w:val="center"/>
              <w:rPr>
                <w:sz w:val="21"/>
                <w:highlight w:val="none"/>
              </w:rPr>
            </w:pPr>
            <w:r>
              <w:rPr>
                <w:sz w:val="21"/>
                <w:highlight w:val="none"/>
              </w:rPr>
              <w:t>生物多样性保护</w:t>
            </w:r>
          </w:p>
        </w:tc>
        <w:tc>
          <w:tcPr>
            <w:tcW w:w="6702" w:type="dxa"/>
            <w:vAlign w:val="center"/>
          </w:tcPr>
          <w:p>
            <w:pPr>
              <w:spacing w:line="240" w:lineRule="auto"/>
              <w:ind w:firstLine="0" w:firstLineChars="0"/>
              <w:jc w:val="center"/>
              <w:rPr>
                <w:sz w:val="21"/>
                <w:highlight w:val="none"/>
              </w:rPr>
            </w:pPr>
            <w:r>
              <w:rPr>
                <w:rFonts w:hint="eastAsia"/>
                <w:sz w:val="21"/>
                <w:highlight w:val="none"/>
              </w:rPr>
              <w:t>河源连平清沟水森林公园、河源连平瓮潭湿地公园等自然保护地边界和功能区划界线的调查、勘测、立标、综合考察和总体规划编制等</w:t>
            </w:r>
          </w:p>
        </w:tc>
      </w:tr>
    </w:tbl>
    <w:p>
      <w:pPr>
        <w:pStyle w:val="87"/>
        <w:ind w:left="0" w:firstLine="0"/>
        <w:rPr>
          <w:rFonts w:eastAsia="宋体"/>
          <w:color w:val="auto"/>
          <w:sz w:val="28"/>
          <w:szCs w:val="21"/>
          <w:highlight w:val="none"/>
        </w:rPr>
      </w:pPr>
      <w:bookmarkStart w:id="102" w:name="_Toc140764147"/>
      <w:r>
        <w:rPr>
          <w:rFonts w:hint="eastAsia" w:eastAsia="宋体"/>
          <w:color w:val="auto"/>
          <w:sz w:val="28"/>
          <w:szCs w:val="21"/>
          <w:highlight w:val="none"/>
        </w:rPr>
        <w:t>工程绩效</w:t>
      </w:r>
      <w:bookmarkEnd w:id="102"/>
    </w:p>
    <w:p>
      <w:pPr>
        <w:pStyle w:val="89"/>
        <w:numPr>
          <w:ilvl w:val="2"/>
          <w:numId w:val="1"/>
        </w:numPr>
        <w:ind w:left="0" w:firstLine="0"/>
        <w:rPr>
          <w:rFonts w:eastAsia="宋体"/>
          <w:highlight w:val="none"/>
        </w:rPr>
      </w:pPr>
      <w:bookmarkStart w:id="103" w:name="_Toc140764148"/>
      <w:r>
        <w:rPr>
          <w:rFonts w:eastAsia="宋体"/>
          <w:highlight w:val="none"/>
        </w:rPr>
        <w:t>生态效益</w:t>
      </w:r>
      <w:bookmarkEnd w:id="103"/>
    </w:p>
    <w:p>
      <w:pPr>
        <w:ind w:firstLine="480"/>
        <w:rPr>
          <w:color w:val="FF0000"/>
          <w:highlight w:val="none"/>
        </w:rPr>
      </w:pPr>
      <w:r>
        <w:rPr>
          <w:rFonts w:hint="eastAsia"/>
          <w:highlight w:val="none"/>
        </w:rPr>
        <w:t>本规划各项重点任务与重点工程的落实，将有助于连平县生态功能的恢复和保育，改善生态环境质量，提升重点生态功能区生态产品供给能力。通过统筹绿色矿山建设与历史遗留矿山地质环境问题治理，缓解陂头镇南岭山地生物多样性维护-水源涵养生态保护红线及一般生态空间等重点区域范围内历史遗留矿山生态影响，将有利于促进矿山开采利用与生态环境保护的可持续发展。通过实施饮用水源地、重要江河源头区等重要水源保护区域水土流失预防，以及大湖水、上坪水（大席河上坪段）、陂头水等小流域，沟道两岸、水库库周坡园地及火烧迹地水土流失治理，水土保持功能将进一步提升。通过实施饮用水源安全保障、重点断面水质提升、农村水系综合治理、水生态扩容修复等工程项目，控制重点河库氮磷浓度上升趋势，确保镇级河流水环境质量稳定达标，以维护河流生态系统健康。通过实施林分改造、森林抚育和有害生物防治等工程项目，提高森林总体质量，缓解有害生物影响等生态问题，提升森林生态系统服务功能。通过实施自然保护地整合优化、野生动植物物种保护以及生物多样性保护监管等工程措施，进一步摸清野生动植物分布空间格局和生态资源动态变化数据，解决自然保护地历史遗留问题，修复重点保护陆生野生动物受损栖息地，确保县内重要生态系统、生物物种和生物遗传资源得到保护。通过实施受污染耕地安全利用工程项目，精准落实受污染耕地安全利用和严格管控措施，将有效防范化解农用地土壤环境风险。</w:t>
      </w:r>
    </w:p>
    <w:p>
      <w:pPr>
        <w:pStyle w:val="89"/>
        <w:numPr>
          <w:ilvl w:val="2"/>
          <w:numId w:val="1"/>
        </w:numPr>
        <w:ind w:left="0" w:firstLine="0"/>
        <w:rPr>
          <w:rFonts w:eastAsia="宋体"/>
          <w:highlight w:val="none"/>
        </w:rPr>
      </w:pPr>
      <w:bookmarkStart w:id="104" w:name="_Toc140764149"/>
      <w:r>
        <w:rPr>
          <w:rFonts w:hint="eastAsia" w:eastAsia="宋体"/>
          <w:highlight w:val="none"/>
        </w:rPr>
        <w:t>经济效益</w:t>
      </w:r>
      <w:bookmarkEnd w:id="104"/>
    </w:p>
    <w:p>
      <w:pPr>
        <w:ind w:firstLine="480"/>
        <w:rPr>
          <w:highlight w:val="none"/>
        </w:rPr>
      </w:pPr>
      <w:r>
        <w:rPr>
          <w:rFonts w:hint="eastAsia"/>
          <w:highlight w:val="none"/>
        </w:rPr>
        <w:t>本规划提出了矿山地质生态保护修复、水土流失防治、水生态环境保护修复、森林生态系统保护修复、生物多样性保护、耕地保护与安全利用等一批工程项目，将充分挖掘当地劳动力发展潜力，拉动内需，对促进农村群众就地就近就业增收、增强贫困人口内生动力和自我发展能力、促进区域协调发展等方面发挥重要的作用。项目的实施有助于整体提升连平县城市形象，促进旅游热点陆续兴起，对拉动旅游、房地产、外来投资等具有重要作用。</w:t>
      </w:r>
    </w:p>
    <w:p>
      <w:pPr>
        <w:pStyle w:val="89"/>
        <w:numPr>
          <w:ilvl w:val="2"/>
          <w:numId w:val="1"/>
        </w:numPr>
        <w:ind w:left="0" w:firstLine="0"/>
        <w:rPr>
          <w:rFonts w:eastAsia="宋体"/>
          <w:highlight w:val="none"/>
        </w:rPr>
      </w:pPr>
      <w:bookmarkStart w:id="105" w:name="_Toc140764150"/>
      <w:r>
        <w:rPr>
          <w:rFonts w:hint="eastAsia" w:eastAsia="宋体"/>
          <w:highlight w:val="none"/>
        </w:rPr>
        <w:t>社会效益</w:t>
      </w:r>
      <w:bookmarkEnd w:id="105"/>
    </w:p>
    <w:p>
      <w:pPr>
        <w:ind w:firstLine="480"/>
        <w:rPr>
          <w:highlight w:val="none"/>
        </w:rPr>
      </w:pPr>
      <w:r>
        <w:rPr>
          <w:rFonts w:hint="eastAsia"/>
          <w:highlight w:val="none"/>
        </w:rPr>
        <w:t>本规划各项重点任务与重点工程的落实，将有助于改善连平县生态环境质量，促进生态文明建设，整体提升连平县城市形象。另外，自然保护区、森林公园、湿地公园、地质公园、万里碧道、河流湖库综合治理等建设为城乡群众搭建休闲娱乐平台，创造观光旅游、贴近自然、体验自然的良好环境，促进人与自然紧密联系，更好地满足人民群众日益增长、不断升级和个性化的生态环境需要。生态功能保护修复工程项目的建设，也能提高群众对生态保护的认知度和参与度，对普及生态保护理念，提升全社会生态文明意识也具有重要意义。</w:t>
      </w:r>
    </w:p>
    <w:p>
      <w:pPr>
        <w:ind w:firstLine="480"/>
        <w:rPr>
          <w:color w:val="FF0000"/>
          <w:highlight w:val="none"/>
        </w:rPr>
        <w:sectPr>
          <w:pgSz w:w="11907" w:h="16840"/>
          <w:pgMar w:top="1440" w:right="1803" w:bottom="1803" w:left="1803" w:header="851" w:footer="992" w:gutter="0"/>
          <w:cols w:space="0" w:num="1"/>
          <w:docGrid w:type="lines" w:linePitch="326" w:charSpace="0"/>
        </w:sectPr>
      </w:pPr>
    </w:p>
    <w:p>
      <w:pPr>
        <w:pStyle w:val="85"/>
        <w:spacing w:before="652" w:after="326"/>
        <w:rPr>
          <w:rFonts w:ascii="Times New Roman" w:hAnsi="Times New Roman" w:cs="Times New Roman"/>
          <w:highlight w:val="none"/>
        </w:rPr>
      </w:pPr>
      <w:bookmarkStart w:id="106" w:name="_Toc112253468"/>
      <w:bookmarkStart w:id="107" w:name="_Toc112253624"/>
      <w:bookmarkStart w:id="108" w:name="_Toc140764151"/>
      <w:r>
        <w:rPr>
          <w:rFonts w:hint="eastAsia" w:ascii="Times New Roman" w:hAnsi="Times New Roman" w:cs="Times New Roman"/>
          <w:highlight w:val="none"/>
        </w:rPr>
        <w:t>保障措施</w:t>
      </w:r>
      <w:bookmarkEnd w:id="106"/>
      <w:bookmarkEnd w:id="107"/>
      <w:bookmarkEnd w:id="108"/>
    </w:p>
    <w:p>
      <w:pPr>
        <w:pStyle w:val="87"/>
        <w:ind w:left="0" w:firstLine="0"/>
        <w:rPr>
          <w:rFonts w:eastAsia="宋体"/>
          <w:color w:val="auto"/>
          <w:sz w:val="28"/>
          <w:szCs w:val="21"/>
          <w:highlight w:val="none"/>
        </w:rPr>
      </w:pPr>
      <w:bookmarkStart w:id="109" w:name="_Toc13146"/>
      <w:bookmarkStart w:id="110" w:name="_Toc140764152"/>
      <w:bookmarkStart w:id="111" w:name="_Toc112253469"/>
      <w:bookmarkStart w:id="112" w:name="_Toc112253625"/>
      <w:bookmarkStart w:id="113" w:name="_Toc15491"/>
      <w:r>
        <w:rPr>
          <w:rFonts w:hint="eastAsia" w:eastAsia="宋体"/>
          <w:color w:val="auto"/>
          <w:sz w:val="28"/>
          <w:szCs w:val="21"/>
          <w:highlight w:val="none"/>
        </w:rPr>
        <w:t>组织领导</w:t>
      </w:r>
      <w:bookmarkEnd w:id="109"/>
      <w:bookmarkEnd w:id="110"/>
      <w:bookmarkEnd w:id="111"/>
      <w:bookmarkEnd w:id="112"/>
      <w:bookmarkEnd w:id="113"/>
    </w:p>
    <w:p>
      <w:pPr>
        <w:ind w:firstLine="480"/>
        <w:rPr>
          <w:rFonts w:ascii="宋体" w:hAnsi="宋体"/>
          <w:highlight w:val="none"/>
        </w:rPr>
      </w:pPr>
      <w:r>
        <w:rPr>
          <w:rFonts w:hint="eastAsia" w:ascii="宋体" w:hAnsi="宋体"/>
          <w:highlight w:val="none"/>
        </w:rPr>
        <w:t>加强组织领导。领导小组要充分认识生态保护修复的重要性、紧迫性和艰巨性，切实加强对本规划实施工作的组织领导，将规划中重点建设任务与重点工程列入本地区年度重点工作事项，及时研究解决本地区生态环境保护重大问题。有关部门应各负其责，加强沟通配合，采取强有力措施，推进本规划各项重点任务落实。</w:t>
      </w:r>
    </w:p>
    <w:p>
      <w:pPr>
        <w:ind w:firstLine="480"/>
        <w:rPr>
          <w:rFonts w:ascii="宋体" w:hAnsi="宋体"/>
          <w:highlight w:val="none"/>
        </w:rPr>
      </w:pPr>
      <w:r>
        <w:rPr>
          <w:rFonts w:hint="eastAsia" w:ascii="宋体" w:hAnsi="宋体"/>
          <w:highlight w:val="none"/>
        </w:rPr>
        <w:t>市生态环境局连平分局牵头组织协调规划的实施，监督落实规划目标、任务和措施，开展饮用水源安全保障、重点断面水质巩固提升、忠信河生态湿地及河岸生态缓冲带保护、大湖水河口生态湿地建设等工程；县自然资源局牵头落实历史遗留矿山生态修复，监督持证在采矿山创建绿色矿山等重点任务；县水务局牵头落实小流域综合治理、碧道建设等重点任务；县林业局牵头落实林分优化提升、森林抚育、有害生物防治、自然保护地整合优化、野生动植物物种保护、生物多样性保护监管等重点任务；县农业农村局牵头落实受污染耕地安全利用重点任务；县住房和城乡建设局牵头落实农村生活污水治理重点任务。</w:t>
      </w:r>
    </w:p>
    <w:p>
      <w:pPr>
        <w:pStyle w:val="87"/>
        <w:ind w:left="0" w:firstLine="0"/>
        <w:rPr>
          <w:rFonts w:eastAsia="宋体"/>
          <w:color w:val="auto"/>
          <w:sz w:val="28"/>
          <w:szCs w:val="21"/>
          <w:highlight w:val="none"/>
        </w:rPr>
      </w:pPr>
      <w:bookmarkStart w:id="114" w:name="_Toc30741"/>
      <w:bookmarkStart w:id="115" w:name="_Toc112253470"/>
      <w:bookmarkStart w:id="116" w:name="_Toc5381"/>
      <w:bookmarkStart w:id="117" w:name="_Toc140764153"/>
      <w:bookmarkStart w:id="118" w:name="_Toc112253626"/>
      <w:r>
        <w:rPr>
          <w:rFonts w:hint="eastAsia" w:eastAsia="宋体"/>
          <w:color w:val="auto"/>
          <w:sz w:val="28"/>
          <w:szCs w:val="21"/>
          <w:highlight w:val="none"/>
        </w:rPr>
        <w:t>资金保障</w:t>
      </w:r>
      <w:bookmarkEnd w:id="114"/>
      <w:bookmarkEnd w:id="115"/>
      <w:bookmarkEnd w:id="116"/>
      <w:bookmarkEnd w:id="117"/>
      <w:bookmarkEnd w:id="118"/>
    </w:p>
    <w:p>
      <w:pPr>
        <w:ind w:firstLine="480"/>
        <w:rPr>
          <w:rFonts w:ascii="宋体" w:hAnsi="宋体"/>
          <w:highlight w:val="none"/>
        </w:rPr>
      </w:pPr>
      <w:r>
        <w:rPr>
          <w:rFonts w:hint="eastAsia" w:ascii="宋体" w:hAnsi="宋体"/>
          <w:highlight w:val="none"/>
        </w:rPr>
        <w:t>加大财政投入，将生态功能保护修复列为公共财政支出的重点，加强资金保障，重点投向矿山地质生态保护修复、水土流失防治、水生态环境保护修复、森林生态系统保护修复、生物多样性保护、耕地保护与安全利用等重点工程，确保各项重点工程顺利推进。</w:t>
      </w:r>
    </w:p>
    <w:p>
      <w:pPr>
        <w:ind w:firstLine="480"/>
        <w:rPr>
          <w:rFonts w:ascii="宋体" w:hAnsi="宋体"/>
          <w:highlight w:val="none"/>
        </w:rPr>
      </w:pPr>
      <w:r>
        <w:rPr>
          <w:rFonts w:hint="eastAsia" w:ascii="宋体" w:hAnsi="宋体"/>
          <w:highlight w:val="none"/>
        </w:rPr>
        <w:t>坚持多渠道获取规划实施和运行经费的方针，建立多元化的融资机制，鼓励社会资金转向生态功能保护修复领域，确保资金足额投入。设立各项利于环保投资的优惠措施，打造融资平台，充分利用民间资本运作，吸引社会各方面资金进入环保产业，必要时也可以设立生态功能保护修复投资基金，通过基金的方式把个人、企业等多方面资金筹集起来用于生态功能保护修复。</w:t>
      </w:r>
    </w:p>
    <w:p>
      <w:pPr>
        <w:pStyle w:val="87"/>
        <w:ind w:left="0" w:firstLine="0"/>
        <w:rPr>
          <w:rFonts w:eastAsia="宋体"/>
          <w:color w:val="auto"/>
          <w:sz w:val="28"/>
          <w:szCs w:val="21"/>
          <w:highlight w:val="none"/>
        </w:rPr>
      </w:pPr>
      <w:bookmarkStart w:id="119" w:name="_Toc17645"/>
      <w:bookmarkStart w:id="120" w:name="_Toc112253471"/>
      <w:bookmarkStart w:id="121" w:name="_Toc24133"/>
      <w:bookmarkStart w:id="122" w:name="_Toc140764154"/>
      <w:bookmarkStart w:id="123" w:name="_Toc112253627"/>
      <w:r>
        <w:rPr>
          <w:rFonts w:hint="eastAsia" w:eastAsia="宋体"/>
          <w:color w:val="auto"/>
          <w:sz w:val="28"/>
          <w:szCs w:val="21"/>
          <w:highlight w:val="none"/>
        </w:rPr>
        <w:t>技术保障</w:t>
      </w:r>
      <w:bookmarkEnd w:id="119"/>
      <w:bookmarkEnd w:id="120"/>
      <w:bookmarkEnd w:id="121"/>
      <w:bookmarkEnd w:id="122"/>
      <w:bookmarkEnd w:id="123"/>
    </w:p>
    <w:p>
      <w:pPr>
        <w:ind w:firstLine="480"/>
        <w:rPr>
          <w:rFonts w:ascii="宋体" w:hAnsi="宋体"/>
          <w:highlight w:val="none"/>
        </w:rPr>
      </w:pPr>
      <w:r>
        <w:rPr>
          <w:rFonts w:ascii="宋体" w:hAnsi="宋体"/>
          <w:highlight w:val="none"/>
        </w:rPr>
        <w:t>重视和支持环境科学技术研究，将</w:t>
      </w:r>
      <w:r>
        <w:rPr>
          <w:rFonts w:hint="eastAsia" w:ascii="宋体" w:hAnsi="宋体"/>
          <w:highlight w:val="none"/>
        </w:rPr>
        <w:t>生态功能</w:t>
      </w:r>
      <w:r>
        <w:rPr>
          <w:rFonts w:ascii="宋体" w:hAnsi="宋体"/>
          <w:highlight w:val="none"/>
        </w:rPr>
        <w:t>保护修复科研开发和科技攻关纳入地方科技发展规划，加大投入，提高</w:t>
      </w:r>
      <w:r>
        <w:rPr>
          <w:rFonts w:hint="eastAsia" w:ascii="宋体" w:hAnsi="宋体"/>
          <w:highlight w:val="none"/>
        </w:rPr>
        <w:t>生态保护修复</w:t>
      </w:r>
      <w:r>
        <w:rPr>
          <w:rFonts w:ascii="宋体" w:hAnsi="宋体"/>
          <w:highlight w:val="none"/>
        </w:rPr>
        <w:t>科研水平。强化</w:t>
      </w:r>
      <w:r>
        <w:rPr>
          <w:rFonts w:hint="eastAsia" w:ascii="宋体" w:hAnsi="宋体"/>
          <w:highlight w:val="none"/>
        </w:rPr>
        <w:t>生态功能保护修复</w:t>
      </w:r>
      <w:r>
        <w:rPr>
          <w:rFonts w:ascii="宋体" w:hAnsi="宋体"/>
          <w:highlight w:val="none"/>
        </w:rPr>
        <w:t>科技基础平台建设，联合科研院所、高校和优势企业开展</w:t>
      </w:r>
      <w:r>
        <w:rPr>
          <w:rFonts w:hint="eastAsia" w:ascii="宋体" w:hAnsi="宋体"/>
          <w:highlight w:val="none"/>
        </w:rPr>
        <w:t>生态功能保护修复</w:t>
      </w:r>
      <w:r>
        <w:rPr>
          <w:rFonts w:ascii="宋体" w:hAnsi="宋体"/>
          <w:highlight w:val="none"/>
        </w:rPr>
        <w:t>技术合作与攻关。围绕突出的</w:t>
      </w:r>
      <w:r>
        <w:rPr>
          <w:rFonts w:hint="eastAsia" w:ascii="宋体" w:hAnsi="宋体"/>
          <w:highlight w:val="none"/>
        </w:rPr>
        <w:t>生态</w:t>
      </w:r>
      <w:r>
        <w:rPr>
          <w:rFonts w:ascii="宋体" w:hAnsi="宋体"/>
          <w:highlight w:val="none"/>
        </w:rPr>
        <w:t>环境问题和治理修复难点，组织开展科技攻关，研制开发环保适用技术。加快环保科技成果的引进、推广、转化和产业化进程，增强环境科技对生态保护的支持力度。</w:t>
      </w:r>
    </w:p>
    <w:p>
      <w:pPr>
        <w:ind w:firstLine="480"/>
        <w:rPr>
          <w:rFonts w:ascii="宋体" w:hAnsi="宋体"/>
          <w:highlight w:val="none"/>
        </w:rPr>
      </w:pPr>
      <w:r>
        <w:rPr>
          <w:rFonts w:ascii="宋体" w:hAnsi="宋体"/>
          <w:highlight w:val="none"/>
        </w:rPr>
        <w:t>积极参与广东省区域环境保护协作，积极</w:t>
      </w:r>
      <w:r>
        <w:rPr>
          <w:rFonts w:hint="eastAsia" w:ascii="宋体" w:hAnsi="宋体"/>
          <w:highlight w:val="none"/>
        </w:rPr>
        <w:t>与生态保护修复先进城市</w:t>
      </w:r>
      <w:r>
        <w:rPr>
          <w:rFonts w:ascii="宋体" w:hAnsi="宋体"/>
          <w:highlight w:val="none"/>
        </w:rPr>
        <w:t>交流，引进省内外先进技术和修复经验。积极</w:t>
      </w:r>
      <w:r>
        <w:rPr>
          <w:rFonts w:hint="eastAsia" w:ascii="宋体" w:hAnsi="宋体"/>
          <w:highlight w:val="none"/>
        </w:rPr>
        <w:t>参与</w:t>
      </w:r>
      <w:r>
        <w:rPr>
          <w:rFonts w:ascii="宋体" w:hAnsi="宋体"/>
          <w:highlight w:val="none"/>
        </w:rPr>
        <w:t>省内外合作培训，提高生态环境管理人员和专业技术人员的业务水平。</w:t>
      </w:r>
    </w:p>
    <w:p>
      <w:pPr>
        <w:pStyle w:val="87"/>
        <w:ind w:left="0" w:firstLine="0"/>
        <w:rPr>
          <w:rFonts w:eastAsia="宋体"/>
          <w:color w:val="auto"/>
          <w:sz w:val="28"/>
          <w:szCs w:val="21"/>
          <w:highlight w:val="none"/>
        </w:rPr>
      </w:pPr>
      <w:bookmarkStart w:id="124" w:name="_Toc112253628"/>
      <w:bookmarkStart w:id="125" w:name="_Toc29681"/>
      <w:bookmarkStart w:id="126" w:name="_Toc112253472"/>
      <w:bookmarkStart w:id="127" w:name="_Toc28141"/>
      <w:bookmarkStart w:id="128" w:name="_Toc140764155"/>
      <w:r>
        <w:rPr>
          <w:rFonts w:hint="eastAsia" w:eastAsia="宋体"/>
          <w:color w:val="auto"/>
          <w:sz w:val="28"/>
          <w:szCs w:val="21"/>
          <w:highlight w:val="none"/>
        </w:rPr>
        <w:t>评估考核</w:t>
      </w:r>
      <w:bookmarkEnd w:id="124"/>
      <w:bookmarkEnd w:id="125"/>
      <w:bookmarkEnd w:id="126"/>
      <w:bookmarkEnd w:id="127"/>
      <w:bookmarkEnd w:id="128"/>
    </w:p>
    <w:p>
      <w:pPr>
        <w:ind w:firstLine="480"/>
        <w:rPr>
          <w:rFonts w:ascii="宋体" w:hAnsi="宋体"/>
          <w:highlight w:val="none"/>
        </w:rPr>
      </w:pPr>
      <w:r>
        <w:rPr>
          <w:rFonts w:hint="eastAsia" w:ascii="宋体" w:hAnsi="宋体"/>
          <w:highlight w:val="none"/>
        </w:rPr>
        <w:t>建立规划实施情况年度调度机制，完善规划实施的考核评估机制。将本次各规划重点任务的目标纳入到领导班子和领导干部的综合考核体系中，确保</w:t>
      </w:r>
      <w:r>
        <w:rPr>
          <w:rFonts w:ascii="宋体" w:hAnsi="宋体"/>
          <w:highlight w:val="none"/>
        </w:rPr>
        <w:t>各级党委、政府</w:t>
      </w:r>
      <w:r>
        <w:rPr>
          <w:rFonts w:hint="eastAsia" w:ascii="宋体" w:hAnsi="宋体"/>
          <w:highlight w:val="none"/>
        </w:rPr>
        <w:t>能够</w:t>
      </w:r>
      <w:r>
        <w:rPr>
          <w:rFonts w:ascii="宋体" w:hAnsi="宋体"/>
          <w:highlight w:val="none"/>
        </w:rPr>
        <w:t>从思想上重视、在行动中落实</w:t>
      </w:r>
      <w:r>
        <w:rPr>
          <w:rFonts w:hint="eastAsia" w:ascii="宋体" w:hAnsi="宋体"/>
          <w:highlight w:val="none"/>
        </w:rPr>
        <w:t>。开展规划实施情况评估，鼓励建立第三方评估机制与方法，提高考核结果的客观性，保障规划考核的公平性。考核结果向社会公布并作为对领导班子和领导干部的综合考核评价的重要依据。</w:t>
      </w:r>
    </w:p>
    <w:p>
      <w:pPr>
        <w:ind w:firstLine="480"/>
        <w:rPr>
          <w:rFonts w:ascii="宋体" w:hAnsi="宋体"/>
          <w:highlight w:val="none"/>
        </w:rPr>
        <w:sectPr>
          <w:pgSz w:w="11907" w:h="16840"/>
          <w:pgMar w:top="1440" w:right="1803" w:bottom="1803" w:left="1803" w:header="851" w:footer="992" w:gutter="0"/>
          <w:cols w:space="0" w:num="1"/>
          <w:docGrid w:type="lines" w:linePitch="326" w:charSpace="0"/>
        </w:sectPr>
      </w:pPr>
      <w:r>
        <w:rPr>
          <w:rFonts w:hint="eastAsia" w:ascii="宋体" w:hAnsi="宋体"/>
          <w:highlight w:val="none"/>
        </w:rPr>
        <w:t>完善生态环境保护社会共治。建立公众参与本规划实施监督的有效渠道和合理机制，督促政府公开透明规划实施的过程信息，鼓励公众和第三方参与规划实施成效评估。</w:t>
      </w:r>
    </w:p>
    <w:p>
      <w:pPr>
        <w:ind w:firstLine="0" w:firstLineChars="0"/>
        <w:outlineLvl w:val="0"/>
        <w:rPr>
          <w:rFonts w:ascii="宋体" w:hAnsi="宋体"/>
          <w:b/>
          <w:sz w:val="28"/>
          <w:highlight w:val="none"/>
        </w:rPr>
      </w:pPr>
      <w:bookmarkStart w:id="129" w:name="_Toc22882"/>
      <w:bookmarkStart w:id="130" w:name="_Toc140764156"/>
      <w:r>
        <w:rPr>
          <w:rFonts w:hint="eastAsia" w:ascii="宋体" w:hAnsi="宋体"/>
          <w:b/>
          <w:sz w:val="28"/>
          <w:highlight w:val="none"/>
        </w:rPr>
        <w:t>附表</w:t>
      </w:r>
      <w:bookmarkEnd w:id="129"/>
      <w:bookmarkEnd w:id="130"/>
    </w:p>
    <w:p>
      <w:pPr>
        <w:ind w:firstLine="0" w:firstLineChars="0"/>
        <w:jc w:val="center"/>
        <w:outlineLvl w:val="1"/>
        <w:rPr>
          <w:b/>
          <w:highlight w:val="none"/>
        </w:rPr>
      </w:pPr>
      <w:bookmarkStart w:id="131" w:name="_Toc140764157"/>
      <w:r>
        <w:rPr>
          <w:rFonts w:hint="eastAsia"/>
          <w:b/>
          <w:highlight w:val="none"/>
        </w:rPr>
        <w:t>附表</w:t>
      </w:r>
      <w:r>
        <w:rPr>
          <w:b/>
          <w:highlight w:val="none"/>
        </w:rPr>
        <w:t>1</w:t>
      </w:r>
      <w:r>
        <w:rPr>
          <w:rFonts w:hint="eastAsia"/>
          <w:b/>
          <w:highlight w:val="none"/>
        </w:rPr>
        <w:t>连平县生态环境主要问题汇总表</w:t>
      </w:r>
      <w:bookmarkEnd w:id="131"/>
    </w:p>
    <w:tbl>
      <w:tblPr>
        <w:tblStyle w:val="182"/>
        <w:tblW w:w="20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997"/>
        <w:gridCol w:w="7182"/>
        <w:gridCol w:w="269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Align w:val="center"/>
          </w:tcPr>
          <w:p>
            <w:pPr>
              <w:spacing w:line="240" w:lineRule="auto"/>
              <w:ind w:firstLine="0" w:firstLineChars="0"/>
              <w:jc w:val="center"/>
              <w:rPr>
                <w:b/>
                <w:sz w:val="21"/>
                <w:highlight w:val="none"/>
              </w:rPr>
            </w:pPr>
            <w:r>
              <w:rPr>
                <w:b/>
                <w:sz w:val="21"/>
                <w:highlight w:val="none"/>
              </w:rPr>
              <w:t>序号</w:t>
            </w:r>
          </w:p>
        </w:tc>
        <w:tc>
          <w:tcPr>
            <w:tcW w:w="2997" w:type="dxa"/>
            <w:vAlign w:val="center"/>
          </w:tcPr>
          <w:p>
            <w:pPr>
              <w:spacing w:line="240" w:lineRule="auto"/>
              <w:ind w:firstLine="0" w:firstLineChars="0"/>
              <w:jc w:val="center"/>
              <w:rPr>
                <w:b/>
                <w:sz w:val="21"/>
                <w:highlight w:val="none"/>
              </w:rPr>
            </w:pPr>
            <w:r>
              <w:rPr>
                <w:b/>
                <w:sz w:val="21"/>
                <w:highlight w:val="none"/>
              </w:rPr>
              <w:t>类型</w:t>
            </w:r>
          </w:p>
        </w:tc>
        <w:tc>
          <w:tcPr>
            <w:tcW w:w="7182" w:type="dxa"/>
            <w:vAlign w:val="center"/>
          </w:tcPr>
          <w:p>
            <w:pPr>
              <w:spacing w:line="240" w:lineRule="auto"/>
              <w:ind w:firstLine="0" w:firstLineChars="0"/>
              <w:jc w:val="center"/>
              <w:rPr>
                <w:b/>
                <w:sz w:val="21"/>
                <w:highlight w:val="none"/>
              </w:rPr>
            </w:pPr>
            <w:r>
              <w:rPr>
                <w:b/>
                <w:sz w:val="21"/>
                <w:highlight w:val="none"/>
              </w:rPr>
              <w:t>主要问题</w:t>
            </w:r>
          </w:p>
        </w:tc>
        <w:tc>
          <w:tcPr>
            <w:tcW w:w="2693" w:type="dxa"/>
            <w:vAlign w:val="center"/>
          </w:tcPr>
          <w:p>
            <w:pPr>
              <w:spacing w:line="240" w:lineRule="auto"/>
              <w:ind w:firstLine="0" w:firstLineChars="0"/>
              <w:jc w:val="center"/>
              <w:rPr>
                <w:b/>
                <w:sz w:val="21"/>
                <w:highlight w:val="none"/>
              </w:rPr>
            </w:pPr>
            <w:r>
              <w:rPr>
                <w:b/>
                <w:sz w:val="21"/>
                <w:highlight w:val="none"/>
              </w:rPr>
              <w:t>重点区域</w:t>
            </w:r>
          </w:p>
        </w:tc>
        <w:tc>
          <w:tcPr>
            <w:tcW w:w="6306" w:type="dxa"/>
            <w:vAlign w:val="center"/>
          </w:tcPr>
          <w:p>
            <w:pPr>
              <w:spacing w:line="240" w:lineRule="auto"/>
              <w:ind w:firstLine="0" w:firstLineChars="0"/>
              <w:jc w:val="center"/>
              <w:rPr>
                <w:b/>
                <w:sz w:val="21"/>
                <w:highlight w:val="none"/>
              </w:rPr>
            </w:pPr>
            <w:r>
              <w:rPr>
                <w:b/>
                <w:sz w:val="21"/>
                <w:highlight w:val="none"/>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134" w:type="dxa"/>
            <w:vAlign w:val="center"/>
          </w:tcPr>
          <w:p>
            <w:pPr>
              <w:spacing w:line="240" w:lineRule="auto"/>
              <w:ind w:firstLine="0" w:firstLineChars="0"/>
              <w:jc w:val="center"/>
              <w:rPr>
                <w:sz w:val="21"/>
                <w:highlight w:val="none"/>
              </w:rPr>
            </w:pPr>
            <w:r>
              <w:rPr>
                <w:sz w:val="21"/>
                <w:highlight w:val="none"/>
              </w:rPr>
              <w:t>1</w:t>
            </w:r>
          </w:p>
        </w:tc>
        <w:tc>
          <w:tcPr>
            <w:tcW w:w="2997" w:type="dxa"/>
            <w:vMerge w:val="restart"/>
            <w:vAlign w:val="center"/>
          </w:tcPr>
          <w:p>
            <w:pPr>
              <w:spacing w:line="240" w:lineRule="auto"/>
              <w:ind w:firstLine="0" w:firstLineChars="0"/>
              <w:jc w:val="center"/>
              <w:rPr>
                <w:sz w:val="21"/>
                <w:highlight w:val="none"/>
              </w:rPr>
            </w:pPr>
            <w:r>
              <w:rPr>
                <w:sz w:val="21"/>
                <w:highlight w:val="none"/>
              </w:rPr>
              <w:t>矿山地质环境</w:t>
            </w:r>
          </w:p>
        </w:tc>
        <w:tc>
          <w:tcPr>
            <w:tcW w:w="7182" w:type="dxa"/>
            <w:vAlign w:val="center"/>
          </w:tcPr>
          <w:p>
            <w:pPr>
              <w:spacing w:line="240" w:lineRule="auto"/>
              <w:ind w:firstLine="0" w:firstLineChars="0"/>
              <w:jc w:val="center"/>
              <w:rPr>
                <w:sz w:val="21"/>
                <w:highlight w:val="none"/>
              </w:rPr>
            </w:pPr>
            <w:r>
              <w:rPr>
                <w:b/>
                <w:sz w:val="21"/>
                <w:highlight w:val="none"/>
              </w:rPr>
              <w:t>生产矿山绿色发展势能不高。</w:t>
            </w:r>
            <w:r>
              <w:rPr>
                <w:sz w:val="21"/>
                <w:highlight w:val="none"/>
              </w:rPr>
              <w:t>6家持证矿山未达到绿色矿山标准，存在矿区复绿、矿区开矿条件未完善等问题。规划期矿山数量及矿产资源开采总量将进一步提升，在新形势发展要求下生产矿山绿色发展形势严峻。</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420"/>
              <w:jc w:val="left"/>
              <w:rPr>
                <w:sz w:val="21"/>
                <w:highlight w:val="none"/>
              </w:rPr>
            </w:pPr>
            <w:r>
              <w:rPr>
                <w:rFonts w:hint="eastAsia"/>
                <w:sz w:val="21"/>
                <w:highlight w:val="none"/>
              </w:rPr>
              <w:t>全面推进绿色矿山建设，至2023年底，全县持证在采矿山100%达到绿色矿山建设标准。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1134" w:type="dxa"/>
            <w:vAlign w:val="center"/>
          </w:tcPr>
          <w:p>
            <w:pPr>
              <w:spacing w:line="240" w:lineRule="auto"/>
              <w:ind w:firstLine="0" w:firstLineChars="0"/>
              <w:jc w:val="center"/>
              <w:rPr>
                <w:sz w:val="21"/>
                <w:highlight w:val="none"/>
              </w:rPr>
            </w:pPr>
            <w:r>
              <w:rPr>
                <w:sz w:val="21"/>
                <w:highlight w:val="none"/>
              </w:rPr>
              <w:t>2</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历史遗留矿山修复治理任务重。</w:t>
            </w:r>
            <w:r>
              <w:rPr>
                <w:sz w:val="21"/>
                <w:highlight w:val="none"/>
              </w:rPr>
              <w:t>历史遗留矿山点多、面广且呈现分散状态，面积达130.78公顷，矿山无序开采造成地表植被破坏、土壤酸化、弃土无序堆填、土地压占与损毁、水源涵养功能下降、水土流失等历史遗留问题有待治理，尤其是陂头镇南岭山地生物多样性维护-水源涵养生态保护红线及一般生态空间范围内历史遗留矿山生态影响问题。</w:t>
            </w:r>
          </w:p>
        </w:tc>
        <w:tc>
          <w:tcPr>
            <w:tcW w:w="2693" w:type="dxa"/>
            <w:vAlign w:val="center"/>
          </w:tcPr>
          <w:p>
            <w:pPr>
              <w:spacing w:line="240" w:lineRule="auto"/>
              <w:ind w:firstLine="0" w:firstLineChars="0"/>
              <w:jc w:val="center"/>
              <w:rPr>
                <w:sz w:val="21"/>
                <w:highlight w:val="none"/>
              </w:rPr>
            </w:pPr>
            <w:r>
              <w:rPr>
                <w:sz w:val="21"/>
                <w:highlight w:val="none"/>
              </w:rPr>
              <w:t>陂头镇南岭山地生物多样性维护-水源涵养生态保护红线及一般生态空间</w:t>
            </w:r>
          </w:p>
        </w:tc>
        <w:tc>
          <w:tcPr>
            <w:tcW w:w="6306" w:type="dxa"/>
            <w:vAlign w:val="center"/>
          </w:tcPr>
          <w:p>
            <w:pPr>
              <w:spacing w:line="240" w:lineRule="auto"/>
              <w:ind w:firstLine="420"/>
              <w:jc w:val="left"/>
              <w:rPr>
                <w:sz w:val="21"/>
                <w:highlight w:val="none"/>
              </w:rPr>
            </w:pPr>
            <w:r>
              <w:rPr>
                <w:rFonts w:hint="eastAsia"/>
                <w:sz w:val="21"/>
                <w:highlight w:val="none"/>
              </w:rPr>
              <w:t>采用自然恢复与土地整治、裸露地复绿等人工修复措施相结合的方式，重点对陂头镇南岭山地生物多样性维护-水源涵养生态保护红线及一般生态空间范围内的历史遗留矿山进行生态修复。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line="240" w:lineRule="auto"/>
              <w:ind w:firstLine="0" w:firstLineChars="0"/>
              <w:jc w:val="center"/>
              <w:rPr>
                <w:sz w:val="21"/>
                <w:highlight w:val="none"/>
              </w:rPr>
            </w:pPr>
            <w:r>
              <w:rPr>
                <w:sz w:val="21"/>
                <w:highlight w:val="none"/>
              </w:rPr>
              <w:t>3</w:t>
            </w:r>
          </w:p>
        </w:tc>
        <w:tc>
          <w:tcPr>
            <w:tcW w:w="2997" w:type="dxa"/>
            <w:vAlign w:val="center"/>
          </w:tcPr>
          <w:p>
            <w:pPr>
              <w:spacing w:line="240" w:lineRule="auto"/>
              <w:ind w:firstLine="0" w:firstLineChars="0"/>
              <w:jc w:val="center"/>
              <w:rPr>
                <w:sz w:val="21"/>
                <w:highlight w:val="none"/>
              </w:rPr>
            </w:pPr>
            <w:r>
              <w:rPr>
                <w:sz w:val="21"/>
                <w:highlight w:val="none"/>
              </w:rPr>
              <w:t>水土流失</w:t>
            </w:r>
          </w:p>
        </w:tc>
        <w:tc>
          <w:tcPr>
            <w:tcW w:w="7182" w:type="dxa"/>
            <w:vAlign w:val="center"/>
          </w:tcPr>
          <w:p>
            <w:pPr>
              <w:spacing w:line="240" w:lineRule="auto"/>
              <w:ind w:firstLine="0" w:firstLineChars="0"/>
              <w:jc w:val="center"/>
              <w:rPr>
                <w:sz w:val="21"/>
                <w:highlight w:val="none"/>
              </w:rPr>
            </w:pPr>
            <w:r>
              <w:rPr>
                <w:sz w:val="21"/>
                <w:highlight w:val="none"/>
              </w:rPr>
              <w:t>坡耕地水土流失、自然侵蚀、工程侵蚀</w:t>
            </w:r>
          </w:p>
        </w:tc>
        <w:tc>
          <w:tcPr>
            <w:tcW w:w="2693" w:type="dxa"/>
            <w:vAlign w:val="center"/>
          </w:tcPr>
          <w:p>
            <w:pPr>
              <w:spacing w:line="240" w:lineRule="auto"/>
              <w:ind w:firstLine="0" w:firstLineChars="0"/>
              <w:jc w:val="center"/>
              <w:rPr>
                <w:sz w:val="21"/>
                <w:highlight w:val="none"/>
              </w:rPr>
            </w:pPr>
            <w:r>
              <w:rPr>
                <w:sz w:val="21"/>
                <w:highlight w:val="none"/>
              </w:rPr>
              <w:t>连平中部连平河与大席河流域；东</w:t>
            </w:r>
            <w:r>
              <w:rPr>
                <w:rFonts w:hint="eastAsia"/>
                <w:sz w:val="21"/>
                <w:highlight w:val="none"/>
              </w:rPr>
              <w:t>部</w:t>
            </w:r>
            <w:r>
              <w:rPr>
                <w:sz w:val="21"/>
                <w:highlight w:val="none"/>
              </w:rPr>
              <w:t>忠信河、大湖河、五禾水流域；油溪镇南部和三角镇西部</w:t>
            </w:r>
          </w:p>
        </w:tc>
        <w:tc>
          <w:tcPr>
            <w:tcW w:w="6306" w:type="dxa"/>
            <w:vAlign w:val="center"/>
          </w:tcPr>
          <w:p>
            <w:pPr>
              <w:spacing w:line="240" w:lineRule="auto"/>
              <w:ind w:firstLine="420"/>
              <w:jc w:val="left"/>
              <w:rPr>
                <w:sz w:val="21"/>
                <w:highlight w:val="none"/>
              </w:rPr>
            </w:pPr>
            <w:r>
              <w:rPr>
                <w:rFonts w:hint="eastAsia"/>
                <w:sz w:val="21"/>
                <w:highlight w:val="none"/>
              </w:rPr>
              <w:t>①采取封育、水土保持林草等措施对高莞水库、三角称沟水水库、鹤湖河、高莞甘坑水、内莞大塘缺水、田源船洞水、溪山石坑河、忠信桥南岗水等饮用水源地进行水土流失预防保护；</w:t>
            </w:r>
          </w:p>
          <w:p>
            <w:pPr>
              <w:spacing w:line="240" w:lineRule="auto"/>
              <w:ind w:firstLine="420"/>
              <w:jc w:val="left"/>
              <w:rPr>
                <w:sz w:val="21"/>
                <w:highlight w:val="none"/>
              </w:rPr>
            </w:pPr>
            <w:r>
              <w:rPr>
                <w:rFonts w:hint="eastAsia"/>
                <w:sz w:val="21"/>
                <w:highlight w:val="none"/>
              </w:rPr>
              <w:t>②重点开展大湖水、上坪水（大席河上坪段）、陂头水等小流域水土流失综合治理。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134" w:type="dxa"/>
            <w:vAlign w:val="center"/>
          </w:tcPr>
          <w:p>
            <w:pPr>
              <w:spacing w:line="240" w:lineRule="auto"/>
              <w:ind w:firstLine="0" w:firstLineChars="0"/>
              <w:jc w:val="center"/>
              <w:rPr>
                <w:sz w:val="21"/>
                <w:highlight w:val="none"/>
              </w:rPr>
            </w:pPr>
            <w:r>
              <w:rPr>
                <w:sz w:val="21"/>
                <w:highlight w:val="none"/>
              </w:rPr>
              <w:t>4</w:t>
            </w:r>
          </w:p>
        </w:tc>
        <w:tc>
          <w:tcPr>
            <w:tcW w:w="2997" w:type="dxa"/>
            <w:vMerge w:val="restart"/>
            <w:vAlign w:val="center"/>
          </w:tcPr>
          <w:p>
            <w:pPr>
              <w:spacing w:line="240" w:lineRule="auto"/>
              <w:ind w:firstLine="0" w:firstLineChars="0"/>
              <w:jc w:val="center"/>
              <w:rPr>
                <w:sz w:val="21"/>
                <w:highlight w:val="none"/>
              </w:rPr>
            </w:pPr>
            <w:r>
              <w:rPr>
                <w:sz w:val="21"/>
                <w:highlight w:val="none"/>
              </w:rPr>
              <w:t>水生态环境</w:t>
            </w:r>
          </w:p>
        </w:tc>
        <w:tc>
          <w:tcPr>
            <w:tcW w:w="7182" w:type="dxa"/>
            <w:vAlign w:val="center"/>
          </w:tcPr>
          <w:p>
            <w:pPr>
              <w:spacing w:line="240" w:lineRule="auto"/>
              <w:ind w:firstLine="0" w:firstLineChars="0"/>
              <w:jc w:val="center"/>
              <w:rPr>
                <w:sz w:val="21"/>
                <w:highlight w:val="none"/>
              </w:rPr>
            </w:pPr>
            <w:r>
              <w:rPr>
                <w:b/>
                <w:sz w:val="21"/>
                <w:highlight w:val="none"/>
              </w:rPr>
              <w:t>重点河库氮磷浓度呈现上升趋势。</w:t>
            </w:r>
            <w:r>
              <w:rPr>
                <w:sz w:val="21"/>
                <w:highlight w:val="none"/>
              </w:rPr>
              <w:t>2016~2022年，省考隆街大桥断面总氮浓度增长1.88倍；合水桥、连中桥、黄潭寺等县控/生态县考核断面总磷浓度增长0.22~0.42倍，总氮浓度增长0.56~1.15倍；县级鹤湖水水库饮用水源地氨氮和总氮浓度增长0.34倍和0.56倍，县级密溪河饮用水源地总氮增长0.24倍。氮磷浓度上升对新丰江水库产生较大的水质安全隐患。</w:t>
            </w:r>
          </w:p>
        </w:tc>
        <w:tc>
          <w:tcPr>
            <w:tcW w:w="2693" w:type="dxa"/>
            <w:vAlign w:val="center"/>
          </w:tcPr>
          <w:p>
            <w:pPr>
              <w:spacing w:line="240" w:lineRule="auto"/>
              <w:ind w:firstLine="0" w:firstLineChars="0"/>
              <w:jc w:val="center"/>
              <w:rPr>
                <w:sz w:val="21"/>
                <w:highlight w:val="none"/>
              </w:rPr>
            </w:pPr>
            <w:r>
              <w:rPr>
                <w:sz w:val="21"/>
                <w:highlight w:val="none"/>
              </w:rPr>
              <w:t>连平河、鹤湖水、鹤湖水水库饮用水源地、密溪河饮用水源地</w:t>
            </w:r>
          </w:p>
        </w:tc>
        <w:tc>
          <w:tcPr>
            <w:tcW w:w="6306" w:type="dxa"/>
            <w:vAlign w:val="center"/>
          </w:tcPr>
          <w:p>
            <w:pPr>
              <w:spacing w:line="240" w:lineRule="auto"/>
              <w:ind w:firstLine="420"/>
              <w:jc w:val="left"/>
              <w:rPr>
                <w:sz w:val="21"/>
                <w:highlight w:val="none"/>
              </w:rPr>
            </w:pPr>
            <w:r>
              <w:rPr>
                <w:rFonts w:hint="eastAsia"/>
                <w:sz w:val="21"/>
                <w:highlight w:val="none"/>
              </w:rPr>
              <w:t>对连平河、大席河、密溪河以及流域范围内元善镇、溪山镇等超标断面所在水体，以降氮控磷为目的，以入河污染负荷总量削减为抓手，巩固提升重点断面水质。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134" w:type="dxa"/>
            <w:vAlign w:val="center"/>
          </w:tcPr>
          <w:p>
            <w:pPr>
              <w:spacing w:line="240" w:lineRule="auto"/>
              <w:ind w:firstLine="0" w:firstLineChars="0"/>
              <w:jc w:val="center"/>
              <w:rPr>
                <w:sz w:val="21"/>
                <w:highlight w:val="none"/>
              </w:rPr>
            </w:pPr>
            <w:r>
              <w:rPr>
                <w:sz w:val="21"/>
                <w:highlight w:val="none"/>
              </w:rPr>
              <w:t>5</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镇级河流水环境质量未能稳定达标。</w:t>
            </w:r>
            <w:r>
              <w:rPr>
                <w:sz w:val="21"/>
                <w:highlight w:val="none"/>
              </w:rPr>
              <w:t>2022年22个镇水环境综合整治考核断面中7个断面超标，超标率达31.82%，其中工业园管委会（工业园污水处理厂排污口下游200米）和小水河（连平五禾与东源交界）断面为Ⅳ类，大湖镇的大寨水（连平与东源交界）断面为劣Ⅴ类。</w:t>
            </w:r>
          </w:p>
        </w:tc>
        <w:tc>
          <w:tcPr>
            <w:tcW w:w="2693" w:type="dxa"/>
            <w:vAlign w:val="center"/>
          </w:tcPr>
          <w:p>
            <w:pPr>
              <w:spacing w:line="240" w:lineRule="auto"/>
              <w:ind w:firstLine="0" w:firstLineChars="0"/>
              <w:jc w:val="center"/>
              <w:rPr>
                <w:sz w:val="21"/>
                <w:highlight w:val="none"/>
              </w:rPr>
            </w:pPr>
            <w:r>
              <w:rPr>
                <w:sz w:val="21"/>
                <w:highlight w:val="none"/>
              </w:rPr>
              <w:t>元善镇、溪山镇、忠信镇、三角镇、工业园管委会、大湖镇</w:t>
            </w:r>
          </w:p>
        </w:tc>
        <w:tc>
          <w:tcPr>
            <w:tcW w:w="6306" w:type="dxa"/>
            <w:vAlign w:val="center"/>
          </w:tcPr>
          <w:p>
            <w:pPr>
              <w:spacing w:line="240" w:lineRule="auto"/>
              <w:ind w:firstLine="420"/>
              <w:jc w:val="left"/>
              <w:rPr>
                <w:sz w:val="21"/>
                <w:highlight w:val="none"/>
              </w:rPr>
            </w:pPr>
            <w:r>
              <w:rPr>
                <w:rFonts w:hint="eastAsia"/>
                <w:sz w:val="21"/>
                <w:highlight w:val="none"/>
              </w:rPr>
              <w:t>以忠信镇（新下村合水桥老桥）、三角镇（新村村鳌岭三个垇）、工业园管委会（工业园污水处理厂排污口下游200米）等乡镇断面所在水体以及大湖镇大寨水（连平与东源交界）、大湖镇小水河（连平五禾与东源交界）等超标乡镇水系综合治理为重点，结合美丽宜居村庄建设等工作，推进农村水系综合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1134" w:type="dxa"/>
            <w:vAlign w:val="center"/>
          </w:tcPr>
          <w:p>
            <w:pPr>
              <w:spacing w:line="240" w:lineRule="auto"/>
              <w:ind w:firstLine="0" w:firstLineChars="0"/>
              <w:jc w:val="center"/>
              <w:rPr>
                <w:sz w:val="21"/>
                <w:highlight w:val="none"/>
              </w:rPr>
            </w:pPr>
            <w:r>
              <w:rPr>
                <w:sz w:val="21"/>
                <w:highlight w:val="none"/>
              </w:rPr>
              <w:t>6</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河流生态健康安全面临威胁。</w:t>
            </w:r>
            <w:r>
              <w:rPr>
                <w:sz w:val="21"/>
                <w:highlight w:val="none"/>
              </w:rPr>
              <w:t>河湖管理体制尚未完善，由于沿河两岸的开发和人口增长及历史等因素，河湖管理范围内乱占、乱采、乱堆、乱建等“四乱”问题难以根除，主要河流河滩地被占用情况比较严重，另外，部分地区出现不同程度的河床淤积、河床下切、河岸企陡等问题。沿河水电站多、蓄水量大，电站生态流量保障设施建设不足，导致部分河段水体流动性差，河道自净能力下降，水生态功能有所退化。</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420"/>
              <w:jc w:val="left"/>
              <w:rPr>
                <w:sz w:val="21"/>
                <w:highlight w:val="none"/>
              </w:rPr>
            </w:pPr>
            <w:r>
              <w:rPr>
                <w:rFonts w:hint="eastAsia"/>
                <w:sz w:val="21"/>
                <w:highlight w:val="none"/>
              </w:rPr>
              <w:t>①强化水域岸线空间管制，实施河湖管理范围划界立桩；</w:t>
            </w:r>
          </w:p>
          <w:p>
            <w:pPr>
              <w:spacing w:line="240" w:lineRule="auto"/>
              <w:ind w:firstLine="420"/>
              <w:jc w:val="left"/>
              <w:rPr>
                <w:sz w:val="21"/>
                <w:highlight w:val="none"/>
              </w:rPr>
            </w:pPr>
            <w:r>
              <w:rPr>
                <w:rFonts w:hint="eastAsia"/>
                <w:sz w:val="21"/>
                <w:highlight w:val="none"/>
              </w:rPr>
              <w:t>②做好河湖划界与国土空间“三区三线”划定等工作的衔接，对现状存在的涉水违建问题，依法依规分类处理。</w:t>
            </w:r>
          </w:p>
          <w:p>
            <w:pPr>
              <w:spacing w:line="240" w:lineRule="auto"/>
              <w:ind w:firstLine="420"/>
              <w:jc w:val="left"/>
              <w:rPr>
                <w:sz w:val="21"/>
                <w:highlight w:val="none"/>
              </w:rPr>
            </w:pPr>
            <w:r>
              <w:rPr>
                <w:rFonts w:hint="eastAsia"/>
                <w:sz w:val="21"/>
                <w:highlight w:val="none"/>
              </w:rPr>
              <w:t>③针对中小河流存在的淤积、河堤侵蚀、水毁农田房屋等问题，高质量推进全县中小河流治理任务；</w:t>
            </w:r>
          </w:p>
          <w:p>
            <w:pPr>
              <w:spacing w:line="240" w:lineRule="auto"/>
              <w:ind w:firstLine="420"/>
              <w:jc w:val="left"/>
              <w:rPr>
                <w:sz w:val="21"/>
                <w:highlight w:val="none"/>
              </w:rPr>
            </w:pPr>
            <w:r>
              <w:rPr>
                <w:rFonts w:hint="eastAsia"/>
                <w:sz w:val="21"/>
                <w:highlight w:val="none"/>
              </w:rPr>
              <w:t>④统筹考虑经济社会发展、能源需求、社会稳定、生态环境影响、电站布局优化、整改修复可行性等，开展小水电问题核查及综合评估，提出退出、整改或保留的评估意见，落实分类整改措施；</w:t>
            </w:r>
          </w:p>
          <w:p>
            <w:pPr>
              <w:spacing w:line="240" w:lineRule="auto"/>
              <w:ind w:firstLine="420"/>
              <w:jc w:val="left"/>
              <w:rPr>
                <w:sz w:val="21"/>
                <w:highlight w:val="none"/>
              </w:rPr>
            </w:pPr>
            <w:r>
              <w:rPr>
                <w:rFonts w:hint="eastAsia"/>
                <w:sz w:val="21"/>
                <w:highlight w:val="none"/>
              </w:rPr>
              <w:t>⑤建设连平河、忠信河、大湖河、五禾水、高陂水、茶新水、大坪水等碧道工程，打造生态活力滨水经济带；</w:t>
            </w:r>
          </w:p>
          <w:p>
            <w:pPr>
              <w:spacing w:line="240" w:lineRule="auto"/>
              <w:ind w:firstLine="420"/>
              <w:jc w:val="left"/>
              <w:rPr>
                <w:sz w:val="21"/>
                <w:highlight w:val="none"/>
              </w:rPr>
            </w:pPr>
            <w:r>
              <w:rPr>
                <w:rFonts w:hint="eastAsia"/>
                <w:sz w:val="21"/>
                <w:highlight w:val="none"/>
              </w:rPr>
              <w:t>⑥开展水生态环境调查评估，完成新丰江流域重点江河湖库水生态环境调查评估工作，掌握江河湖库生态环境现状，建立健全水生态环境数据档案；</w:t>
            </w:r>
          </w:p>
          <w:p>
            <w:pPr>
              <w:spacing w:line="240" w:lineRule="auto"/>
              <w:ind w:firstLine="420"/>
              <w:jc w:val="left"/>
              <w:rPr>
                <w:sz w:val="21"/>
                <w:highlight w:val="none"/>
              </w:rPr>
            </w:pPr>
            <w:r>
              <w:rPr>
                <w:rFonts w:hint="eastAsia"/>
                <w:sz w:val="21"/>
                <w:highlight w:val="none"/>
              </w:rPr>
              <w:t>⑦强化湿地系统保护，同步推进退化湿地修复、水生态治理、滨水景观营造，大力推进湿地公园建设。打造忠信河生态湿地及河岸生态缓冲带保护工程、大湖水河口生态湿地及河岸农田缓冲带建设工程，全面提升河湖湿地生态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1134" w:type="dxa"/>
            <w:vAlign w:val="center"/>
          </w:tcPr>
          <w:p>
            <w:pPr>
              <w:spacing w:line="240" w:lineRule="auto"/>
              <w:ind w:firstLine="0" w:firstLineChars="0"/>
              <w:jc w:val="center"/>
              <w:rPr>
                <w:sz w:val="21"/>
                <w:highlight w:val="none"/>
              </w:rPr>
            </w:pPr>
            <w:r>
              <w:rPr>
                <w:sz w:val="21"/>
                <w:highlight w:val="none"/>
              </w:rPr>
              <w:t>7</w:t>
            </w:r>
          </w:p>
        </w:tc>
        <w:tc>
          <w:tcPr>
            <w:tcW w:w="2997" w:type="dxa"/>
            <w:vMerge w:val="restart"/>
            <w:vAlign w:val="center"/>
          </w:tcPr>
          <w:p>
            <w:pPr>
              <w:spacing w:line="240" w:lineRule="auto"/>
              <w:ind w:firstLine="0" w:firstLineChars="0"/>
              <w:jc w:val="center"/>
              <w:rPr>
                <w:sz w:val="21"/>
                <w:highlight w:val="none"/>
              </w:rPr>
            </w:pPr>
            <w:r>
              <w:rPr>
                <w:sz w:val="21"/>
                <w:highlight w:val="none"/>
              </w:rPr>
              <w:t>森林生态环境</w:t>
            </w:r>
          </w:p>
        </w:tc>
        <w:tc>
          <w:tcPr>
            <w:tcW w:w="7182" w:type="dxa"/>
            <w:vAlign w:val="center"/>
          </w:tcPr>
          <w:p>
            <w:pPr>
              <w:spacing w:line="240" w:lineRule="auto"/>
              <w:ind w:firstLine="0" w:firstLineChars="0"/>
              <w:jc w:val="center"/>
              <w:rPr>
                <w:sz w:val="21"/>
                <w:highlight w:val="none"/>
              </w:rPr>
            </w:pPr>
            <w:r>
              <w:rPr>
                <w:b/>
                <w:sz w:val="21"/>
                <w:highlight w:val="none"/>
              </w:rPr>
              <w:t>森林质量总体不高。</w:t>
            </w:r>
            <w:r>
              <w:rPr>
                <w:sz w:val="21"/>
                <w:highlight w:val="none"/>
              </w:rPr>
              <w:t>中幼龄林所占比例过大，影响公益林生态效益的发挥；纯林多、混交林少，公益林林分组成中纯林比重大，其中以其他软阔、马尾松、杉木、桉树、湿地松为主，合占公益林蓄积量的65.34%；树种结构较单一，以其它软阔、针阔混交林和马尾松（广东松）为主，合占森林总蓄积量的75.81%。人为干扰大，全县处于原始状态的森林类型占比很低，仅为0.38%，Ⅴ级自然度占比达40.36%，尤其是东南部忠信河、大湖河、五禾水流域，包括三角镇、绣缎镇、大湖镇、忠信镇、高莞镇、莲塘茶场等，Ⅴ级自然度面积比例64.87%~100%。</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420"/>
              <w:jc w:val="left"/>
              <w:rPr>
                <w:sz w:val="21"/>
                <w:highlight w:val="none"/>
              </w:rPr>
            </w:pPr>
            <w:r>
              <w:rPr>
                <w:rFonts w:hint="eastAsia"/>
                <w:sz w:val="21"/>
                <w:highlight w:val="none"/>
              </w:rPr>
              <w:t>落实森林质量精准提升工程：①根据绿美河源生态建设工作部署，落实林分优化提升，逐步恢复地带性森林群落；②对连平河、大席河和忠信河流域范围内立地条件较好，为其他软阔、其他硬阔、针阔混交林、阔叶混交林等林分总体生长状况尚好的幼龄林和中龄林，通过采取修枝、割灌除草、施肥、补植、抚育伐等措施，调整林分生长空间，促进林分生长发育。</w:t>
            </w:r>
          </w:p>
          <w:p>
            <w:pPr>
              <w:spacing w:line="240" w:lineRule="auto"/>
              <w:ind w:firstLine="420"/>
              <w:jc w:val="left"/>
              <w:rPr>
                <w:sz w:val="21"/>
                <w:highlight w:val="none"/>
              </w:rPr>
            </w:pPr>
            <w:r>
              <w:rPr>
                <w:rFonts w:hint="eastAsia"/>
                <w:sz w:val="21"/>
                <w:highlight w:val="none"/>
              </w:rPr>
              <w:t>强化森林资源精细管护，完成天然林、生态公益林调查、核定和定界工作。全面保护天然林，对生态脆弱区及珍稀物种区，采用封禁管理、以自然恢复为主、人工促进更新为辅的生态修复措施，积极保护具有典型地带性特色的天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34" w:type="dxa"/>
            <w:vAlign w:val="center"/>
          </w:tcPr>
          <w:p>
            <w:pPr>
              <w:spacing w:line="240" w:lineRule="auto"/>
              <w:ind w:firstLine="0" w:firstLineChars="0"/>
              <w:jc w:val="center"/>
              <w:rPr>
                <w:sz w:val="21"/>
                <w:highlight w:val="none"/>
              </w:rPr>
            </w:pPr>
            <w:r>
              <w:rPr>
                <w:sz w:val="21"/>
                <w:highlight w:val="none"/>
              </w:rPr>
              <w:t>8</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松材线虫病等林业有害生物威胁大。</w:t>
            </w:r>
            <w:r>
              <w:rPr>
                <w:sz w:val="21"/>
                <w:highlight w:val="none"/>
              </w:rPr>
              <w:t>松林面积达54多万亩，全县松材线虫病发生疫情面积达13.07万亩，枯死松树18375株（含普查前已除治1487株），尤其是105国道、粤赣高速、大广</w:t>
            </w:r>
            <w:r>
              <w:rPr>
                <w:rFonts w:hint="eastAsia"/>
                <w:sz w:val="21"/>
                <w:highlight w:val="none"/>
                <w:lang w:eastAsia="zh-CN"/>
              </w:rPr>
              <w:t>高速</w:t>
            </w:r>
            <w:r>
              <w:rPr>
                <w:sz w:val="21"/>
                <w:highlight w:val="none"/>
              </w:rPr>
              <w:t>、昆汕</w:t>
            </w:r>
            <w:r>
              <w:rPr>
                <w:rFonts w:hint="eastAsia"/>
                <w:sz w:val="21"/>
                <w:highlight w:val="none"/>
                <w:lang w:eastAsia="zh-CN"/>
              </w:rPr>
              <w:t>高速</w:t>
            </w:r>
            <w:r>
              <w:rPr>
                <w:sz w:val="21"/>
                <w:highlight w:val="none"/>
              </w:rPr>
              <w:t>、武深高速、341线省道沿线两旁松林及县城、镇周边均分布着松材线虫病枯死树，疫区相互传播蔓延，严重威胁连平森林资源安全，松材线虫病防控压力重。另外，全县林地内红火蚁发生面积达1019亩，群众对红火蚁的危害认识不足，存在除治不及时、用药不得法、除治不彻底现象。</w:t>
            </w:r>
          </w:p>
        </w:tc>
        <w:tc>
          <w:tcPr>
            <w:tcW w:w="2693" w:type="dxa"/>
            <w:vAlign w:val="center"/>
          </w:tcPr>
          <w:p>
            <w:pPr>
              <w:spacing w:line="240" w:lineRule="auto"/>
              <w:ind w:firstLine="0" w:firstLineChars="0"/>
              <w:jc w:val="center"/>
              <w:rPr>
                <w:sz w:val="21"/>
                <w:highlight w:val="none"/>
              </w:rPr>
            </w:pPr>
            <w:r>
              <w:rPr>
                <w:sz w:val="21"/>
                <w:highlight w:val="none"/>
              </w:rPr>
              <w:t>105国道、粤赣高速、大广</w:t>
            </w:r>
            <w:r>
              <w:rPr>
                <w:rFonts w:hint="eastAsia"/>
                <w:sz w:val="21"/>
                <w:highlight w:val="none"/>
                <w:lang w:eastAsia="zh-CN"/>
              </w:rPr>
              <w:t>高速</w:t>
            </w:r>
            <w:r>
              <w:rPr>
                <w:sz w:val="21"/>
                <w:highlight w:val="none"/>
              </w:rPr>
              <w:t>、昆汕</w:t>
            </w:r>
            <w:r>
              <w:rPr>
                <w:rFonts w:hint="eastAsia"/>
                <w:sz w:val="21"/>
                <w:highlight w:val="none"/>
                <w:lang w:eastAsia="zh-CN"/>
              </w:rPr>
              <w:t>高速</w:t>
            </w:r>
            <w:r>
              <w:rPr>
                <w:sz w:val="21"/>
                <w:highlight w:val="none"/>
              </w:rPr>
              <w:t>、武深高速、341线省道沿线两旁松林及县城、镇周边</w:t>
            </w:r>
          </w:p>
        </w:tc>
        <w:tc>
          <w:tcPr>
            <w:tcW w:w="6306" w:type="dxa"/>
            <w:vAlign w:val="center"/>
          </w:tcPr>
          <w:p>
            <w:pPr>
              <w:spacing w:line="240" w:lineRule="auto"/>
              <w:ind w:firstLine="0" w:firstLineChars="0"/>
              <w:jc w:val="left"/>
              <w:rPr>
                <w:sz w:val="21"/>
                <w:highlight w:val="none"/>
              </w:rPr>
            </w:pPr>
            <w:r>
              <w:rPr>
                <w:rFonts w:hint="eastAsia"/>
                <w:sz w:val="21"/>
                <w:highlight w:val="none"/>
              </w:rPr>
              <w:t>以105国道、粤赣高速、大广</w:t>
            </w:r>
            <w:r>
              <w:rPr>
                <w:rFonts w:hint="eastAsia"/>
                <w:sz w:val="21"/>
                <w:highlight w:val="none"/>
                <w:lang w:eastAsia="zh-CN"/>
              </w:rPr>
              <w:t>高速</w:t>
            </w:r>
            <w:r>
              <w:rPr>
                <w:rFonts w:hint="eastAsia"/>
                <w:sz w:val="21"/>
                <w:highlight w:val="none"/>
              </w:rPr>
              <w:t>、昆汕</w:t>
            </w:r>
            <w:r>
              <w:rPr>
                <w:rFonts w:hint="eastAsia"/>
                <w:sz w:val="21"/>
                <w:highlight w:val="none"/>
                <w:lang w:eastAsia="zh-CN"/>
              </w:rPr>
              <w:t>高速</w:t>
            </w:r>
            <w:r>
              <w:rPr>
                <w:rFonts w:hint="eastAsia"/>
                <w:sz w:val="21"/>
                <w:highlight w:val="none"/>
              </w:rPr>
              <w:t>、武深高速、341线省道沿线两旁松林及县城、镇周边区域为重点，实施松材线虫病防控攻坚行动。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134" w:type="dxa"/>
            <w:vAlign w:val="center"/>
          </w:tcPr>
          <w:p>
            <w:pPr>
              <w:spacing w:line="240" w:lineRule="auto"/>
              <w:ind w:firstLine="0" w:firstLineChars="0"/>
              <w:jc w:val="center"/>
              <w:rPr>
                <w:sz w:val="21"/>
                <w:highlight w:val="none"/>
              </w:rPr>
            </w:pPr>
            <w:r>
              <w:rPr>
                <w:sz w:val="21"/>
                <w:highlight w:val="none"/>
              </w:rPr>
              <w:t>9</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土壤侵蚀、石漠化等土地退化问题仍较突出。</w:t>
            </w:r>
            <w:r>
              <w:rPr>
                <w:sz w:val="21"/>
                <w:highlight w:val="none"/>
              </w:rPr>
              <w:t>森林生态系统土壤侵蚀面积达2622.28公顷，石漠化面积达760.71公顷，土壤侵蚀、石漠化等土地退化问题分布范围广，生态敏感性等级脆弱。</w:t>
            </w:r>
          </w:p>
        </w:tc>
        <w:tc>
          <w:tcPr>
            <w:tcW w:w="2693" w:type="dxa"/>
            <w:vAlign w:val="center"/>
          </w:tcPr>
          <w:p>
            <w:pPr>
              <w:spacing w:line="240" w:lineRule="auto"/>
              <w:ind w:firstLine="0" w:firstLineChars="0"/>
              <w:jc w:val="center"/>
              <w:rPr>
                <w:sz w:val="21"/>
                <w:highlight w:val="none"/>
              </w:rPr>
            </w:pPr>
            <w:r>
              <w:rPr>
                <w:sz w:val="21"/>
                <w:highlight w:val="none"/>
              </w:rPr>
              <w:t>九连山林场、上坪镇、隆街镇、溪山镇、陂头镇</w:t>
            </w:r>
          </w:p>
        </w:tc>
        <w:tc>
          <w:tcPr>
            <w:tcW w:w="6306" w:type="dxa"/>
            <w:vAlign w:val="center"/>
          </w:tcPr>
          <w:p>
            <w:pPr>
              <w:spacing w:line="240" w:lineRule="auto"/>
              <w:ind w:firstLine="0" w:firstLineChars="0"/>
              <w:jc w:val="left"/>
              <w:rPr>
                <w:sz w:val="21"/>
                <w:highlight w:val="none"/>
              </w:rPr>
            </w:pPr>
            <w:r>
              <w:rPr>
                <w:rFonts w:hint="eastAsia"/>
                <w:sz w:val="21"/>
                <w:highlight w:val="none"/>
              </w:rPr>
              <w:t>选择适宜造林的土壤侵蚀、石漠化等土地退化问题突出的区域开展人工造林。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134" w:type="dxa"/>
            <w:vAlign w:val="center"/>
          </w:tcPr>
          <w:p>
            <w:pPr>
              <w:spacing w:line="240" w:lineRule="auto"/>
              <w:ind w:firstLine="0" w:firstLineChars="0"/>
              <w:jc w:val="center"/>
              <w:rPr>
                <w:sz w:val="21"/>
                <w:highlight w:val="none"/>
              </w:rPr>
            </w:pPr>
            <w:r>
              <w:rPr>
                <w:sz w:val="21"/>
                <w:highlight w:val="none"/>
              </w:rPr>
              <w:t>10</w:t>
            </w:r>
          </w:p>
        </w:tc>
        <w:tc>
          <w:tcPr>
            <w:tcW w:w="2997" w:type="dxa"/>
            <w:vMerge w:val="restart"/>
            <w:vAlign w:val="center"/>
          </w:tcPr>
          <w:p>
            <w:pPr>
              <w:spacing w:line="240" w:lineRule="auto"/>
              <w:ind w:firstLine="0" w:firstLineChars="0"/>
              <w:jc w:val="center"/>
              <w:rPr>
                <w:sz w:val="21"/>
                <w:highlight w:val="none"/>
              </w:rPr>
            </w:pPr>
            <w:r>
              <w:rPr>
                <w:sz w:val="21"/>
                <w:highlight w:val="none"/>
              </w:rPr>
              <w:t>生物多样性</w:t>
            </w:r>
          </w:p>
        </w:tc>
        <w:tc>
          <w:tcPr>
            <w:tcW w:w="7182" w:type="dxa"/>
            <w:vAlign w:val="center"/>
          </w:tcPr>
          <w:p>
            <w:pPr>
              <w:spacing w:line="240" w:lineRule="auto"/>
              <w:ind w:firstLine="0" w:firstLineChars="0"/>
              <w:jc w:val="center"/>
              <w:rPr>
                <w:sz w:val="21"/>
                <w:highlight w:val="none"/>
              </w:rPr>
            </w:pPr>
            <w:r>
              <w:rPr>
                <w:b/>
                <w:sz w:val="21"/>
                <w:highlight w:val="none"/>
              </w:rPr>
              <w:t>生物多样性本底未清。</w:t>
            </w:r>
            <w:r>
              <w:rPr>
                <w:sz w:val="21"/>
                <w:highlight w:val="none"/>
              </w:rPr>
              <w:t>全县系统性的生物多样性本底调查等基础工作尚未开展，对野生动植物分布空间格局和生态资源动态变化数据掌握不全面，从而制约野生动植物及其栖息地保护、生态廊道恢复等生物多样性保护工作。</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0" w:firstLineChars="0"/>
              <w:jc w:val="left"/>
              <w:rPr>
                <w:sz w:val="21"/>
                <w:highlight w:val="none"/>
              </w:rPr>
            </w:pPr>
            <w:r>
              <w:rPr>
                <w:rFonts w:hint="eastAsia"/>
                <w:sz w:val="21"/>
                <w:highlight w:val="none"/>
              </w:rPr>
              <w:t>以国家南岭生物多样性保护优先区、自然保护区和自然公园为重点，有条件的情况下，开展森林、湿地、河流、湖库等生态系统生物多样性调查，分析全县野生动植物种类、种群状况、生境、威胁状况、开发利用价值等，摸清野生动植物空间分布状况，构建涵盖物种分布数据库，建立物种资源调查及收集信息平台，掌握生物多样性总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34" w:type="dxa"/>
            <w:vAlign w:val="center"/>
          </w:tcPr>
          <w:p>
            <w:pPr>
              <w:spacing w:line="240" w:lineRule="auto"/>
              <w:ind w:firstLine="0" w:firstLineChars="0"/>
              <w:jc w:val="center"/>
              <w:rPr>
                <w:sz w:val="21"/>
                <w:highlight w:val="none"/>
              </w:rPr>
            </w:pPr>
            <w:r>
              <w:rPr>
                <w:sz w:val="21"/>
                <w:highlight w:val="none"/>
              </w:rPr>
              <w:t>11</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生物多样性保护体系尚未完善。</w:t>
            </w:r>
            <w:r>
              <w:rPr>
                <w:sz w:val="21"/>
                <w:highlight w:val="none"/>
              </w:rPr>
              <w:t>自然保护地累积了很多历史遗留问题，存在大量城镇、村庄、耕地（含永久基本农田）、矿业权、人工商品林等空间矛盾冲突，城乡发展、基础设施建设、工农业生产、居民生活与保护管理矛盾冲突。部分典型生态系统的分布区域、野生植物关键生境、野生动物重要栖息地，以及具有重要科学、科普教育价值的地质遗迹等尚未纳入自然保护地范围受到保护。</w:t>
            </w:r>
          </w:p>
        </w:tc>
        <w:tc>
          <w:tcPr>
            <w:tcW w:w="2693" w:type="dxa"/>
            <w:vAlign w:val="center"/>
          </w:tcPr>
          <w:p>
            <w:pPr>
              <w:spacing w:line="240" w:lineRule="auto"/>
              <w:ind w:firstLine="0" w:firstLineChars="0"/>
              <w:jc w:val="center"/>
              <w:rPr>
                <w:sz w:val="21"/>
                <w:highlight w:val="none"/>
              </w:rPr>
            </w:pPr>
            <w:r>
              <w:rPr>
                <w:sz w:val="21"/>
                <w:highlight w:val="none"/>
              </w:rPr>
              <w:t>14处自然保护地</w:t>
            </w:r>
          </w:p>
        </w:tc>
        <w:tc>
          <w:tcPr>
            <w:tcW w:w="6306" w:type="dxa"/>
            <w:vAlign w:val="center"/>
          </w:tcPr>
          <w:p>
            <w:pPr>
              <w:spacing w:line="240" w:lineRule="auto"/>
              <w:ind w:firstLine="0" w:firstLineChars="0"/>
              <w:jc w:val="left"/>
              <w:rPr>
                <w:sz w:val="21"/>
                <w:highlight w:val="none"/>
              </w:rPr>
            </w:pPr>
            <w:r>
              <w:rPr>
                <w:rFonts w:hint="eastAsia"/>
                <w:sz w:val="21"/>
                <w:highlight w:val="none"/>
              </w:rPr>
              <w:t>①持续推进自然保护地整合优化预案成果落地，确定自然保护地体系结构，形成以自然保护区为基础、各类自然公园为补充的自然保护地体系；</w:t>
            </w:r>
          </w:p>
          <w:p>
            <w:pPr>
              <w:spacing w:line="240" w:lineRule="auto"/>
              <w:ind w:firstLine="0" w:firstLineChars="0"/>
              <w:jc w:val="left"/>
              <w:rPr>
                <w:sz w:val="21"/>
                <w:highlight w:val="none"/>
              </w:rPr>
            </w:pPr>
            <w:r>
              <w:rPr>
                <w:rFonts w:hint="eastAsia"/>
                <w:sz w:val="21"/>
                <w:highlight w:val="none"/>
              </w:rPr>
              <w:t>②结合自然生态空间格局状况、国土空间规划，衔接三条控制线划定，按照自然保护地整合优化工作部署，遵循自然生态系统完整性和生态廊道连通性原则，解决自然保护地交叉、空间重叠等城镇、村庄、耕地（含永久基本农田）、矿业权、人工商品林等空间矛盾冲突问题，将典型生态系统分布区、野生植物关键生境、野生动物重要栖息地，以及具有重要科学、科普教育价值的地质遗迹等保护空缺纳入自然保护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1" w:hRule="atLeast"/>
          <w:jc w:val="center"/>
        </w:trPr>
        <w:tc>
          <w:tcPr>
            <w:tcW w:w="1134" w:type="dxa"/>
            <w:vAlign w:val="center"/>
          </w:tcPr>
          <w:p>
            <w:pPr>
              <w:spacing w:line="240" w:lineRule="auto"/>
              <w:ind w:firstLine="0" w:firstLineChars="0"/>
              <w:jc w:val="center"/>
              <w:rPr>
                <w:sz w:val="21"/>
                <w:highlight w:val="none"/>
              </w:rPr>
            </w:pPr>
            <w:r>
              <w:rPr>
                <w:sz w:val="21"/>
                <w:highlight w:val="none"/>
              </w:rPr>
              <w:t>12</w:t>
            </w:r>
          </w:p>
        </w:tc>
        <w:tc>
          <w:tcPr>
            <w:tcW w:w="2997" w:type="dxa"/>
            <w:vMerge w:val="continue"/>
            <w:vAlign w:val="center"/>
          </w:tcPr>
          <w:p>
            <w:pPr>
              <w:spacing w:line="240" w:lineRule="auto"/>
              <w:ind w:firstLine="0" w:firstLineChars="0"/>
              <w:jc w:val="center"/>
              <w:rPr>
                <w:sz w:val="21"/>
                <w:highlight w:val="none"/>
              </w:rPr>
            </w:pPr>
          </w:p>
        </w:tc>
        <w:tc>
          <w:tcPr>
            <w:tcW w:w="7182" w:type="dxa"/>
            <w:vAlign w:val="center"/>
          </w:tcPr>
          <w:p>
            <w:pPr>
              <w:spacing w:line="240" w:lineRule="auto"/>
              <w:ind w:firstLine="0" w:firstLineChars="0"/>
              <w:jc w:val="center"/>
              <w:rPr>
                <w:sz w:val="21"/>
                <w:highlight w:val="none"/>
              </w:rPr>
            </w:pPr>
            <w:r>
              <w:rPr>
                <w:b/>
                <w:sz w:val="21"/>
                <w:highlight w:val="none"/>
              </w:rPr>
              <w:t>生物多样性保护形势严峻。</w:t>
            </w:r>
            <w:r>
              <w:rPr>
                <w:sz w:val="21"/>
                <w:highlight w:val="none"/>
              </w:rPr>
              <w:t>连平所在区域为国家南岭生物多样性保护优先区域，粤北生态发展区，生物多样性丰富，区域内拥有我国重要生物物种基因库，被列入国际生物多样性热点地区和国家生物多样性保护优先区。现状生物多样性本底未清，历史遗留矿山数量多、分布广，地质灾害敏感性较高，水土流失、石漠化等土地退化问题仍较突出，尤其是陂头、内莞喀斯特（岩溶）地区地貌发育的生态脆弱地区，野生动植物栖息地受损，入侵物种威胁本地物种生存，生物多样性保护形势严峻。</w:t>
            </w:r>
          </w:p>
        </w:tc>
        <w:tc>
          <w:tcPr>
            <w:tcW w:w="2693" w:type="dxa"/>
            <w:vAlign w:val="center"/>
          </w:tcPr>
          <w:p>
            <w:pPr>
              <w:spacing w:line="240" w:lineRule="auto"/>
              <w:ind w:firstLine="0" w:firstLineChars="0"/>
              <w:jc w:val="center"/>
              <w:rPr>
                <w:sz w:val="21"/>
                <w:highlight w:val="none"/>
              </w:rPr>
            </w:pPr>
            <w:r>
              <w:rPr>
                <w:sz w:val="21"/>
                <w:highlight w:val="none"/>
              </w:rPr>
              <w:t>连平县</w:t>
            </w:r>
          </w:p>
        </w:tc>
        <w:tc>
          <w:tcPr>
            <w:tcW w:w="6306" w:type="dxa"/>
            <w:vAlign w:val="center"/>
          </w:tcPr>
          <w:p>
            <w:pPr>
              <w:spacing w:line="240" w:lineRule="auto"/>
              <w:ind w:firstLine="0" w:firstLineChars="0"/>
              <w:jc w:val="left"/>
              <w:rPr>
                <w:sz w:val="21"/>
                <w:highlight w:val="none"/>
              </w:rPr>
            </w:pPr>
            <w:r>
              <w:rPr>
                <w:rFonts w:hint="eastAsia"/>
                <w:sz w:val="21"/>
                <w:highlight w:val="none"/>
              </w:rPr>
              <w:t>①以国家南岭生物多样性保护优先区、自然保护区和自然公园为重点，有条件的情况下，开展森林、湿地、河流、湖库等生态系统生物多样性调查，分析全县野生动植物种类、种群状况、生境、威胁状况、开发利用价值等，摸清野生动植物空间分布状况，构建涵盖物种分布数据库，建立物种资源调查及收集信息平台，掌握生物多样性总体情况。</w:t>
            </w:r>
          </w:p>
          <w:p>
            <w:pPr>
              <w:spacing w:line="240" w:lineRule="auto"/>
              <w:ind w:firstLine="0" w:firstLineChars="0"/>
              <w:jc w:val="left"/>
              <w:rPr>
                <w:sz w:val="21"/>
                <w:highlight w:val="none"/>
              </w:rPr>
            </w:pPr>
            <w:r>
              <w:rPr>
                <w:rFonts w:hint="eastAsia"/>
                <w:sz w:val="21"/>
                <w:highlight w:val="none"/>
              </w:rPr>
              <w:t>②结合历史遗留矿山生态修复、水土流失防治、森林质量精准提升等工作，开展野生动植物保护及栖息地修复；</w:t>
            </w:r>
          </w:p>
          <w:p>
            <w:pPr>
              <w:spacing w:line="240" w:lineRule="auto"/>
              <w:ind w:firstLine="0" w:firstLineChars="0"/>
              <w:jc w:val="left"/>
              <w:rPr>
                <w:sz w:val="21"/>
                <w:highlight w:val="none"/>
              </w:rPr>
            </w:pPr>
            <w:r>
              <w:rPr>
                <w:rFonts w:hint="eastAsia"/>
                <w:sz w:val="21"/>
                <w:highlight w:val="none"/>
              </w:rPr>
              <w:t>③完善野生动植物资源监测体系，掌握物种种群和生境状况，特别是黄腹角雉、穿山甲、金斑喙凤蝶、白鹇、南方红豆杉、金线兰、金毛狗、桫椤、樟树（香樟）、华南栲（锥）、半枫荷、花榈木、伞花木、榉树等国家重点保护物种、珍稀濒危物种数量、分布及动态变化情况；</w:t>
            </w:r>
          </w:p>
          <w:p>
            <w:pPr>
              <w:spacing w:line="240" w:lineRule="auto"/>
              <w:ind w:firstLine="0" w:firstLineChars="0"/>
              <w:jc w:val="left"/>
              <w:rPr>
                <w:sz w:val="21"/>
                <w:highlight w:val="none"/>
              </w:rPr>
            </w:pPr>
            <w:r>
              <w:rPr>
                <w:rFonts w:hint="eastAsia"/>
                <w:sz w:val="21"/>
                <w:highlight w:val="none"/>
              </w:rPr>
              <w:t>④结合国土空间规划成果，根据生物多样性调查评价及监测结果，对分布重点保护陆生野生动物受损栖息地，分布重点保护野生植物和极小种群野生植物的关键生境，采用以自然恢复为主、人工促进为辅的方法进行保护恢复；</w:t>
            </w:r>
          </w:p>
          <w:p>
            <w:pPr>
              <w:spacing w:line="240" w:lineRule="auto"/>
              <w:ind w:firstLine="0" w:firstLineChars="0"/>
              <w:jc w:val="left"/>
              <w:rPr>
                <w:sz w:val="21"/>
                <w:highlight w:val="none"/>
              </w:rPr>
            </w:pPr>
            <w:r>
              <w:rPr>
                <w:rFonts w:hint="eastAsia"/>
                <w:sz w:val="21"/>
                <w:highlight w:val="none"/>
              </w:rPr>
              <w:t>⑤加强外来物种和有害生物监测能力，提高对重要野生动植物和重要生态系统构成威胁的外来物种和有害生物的治理水平；</w:t>
            </w:r>
          </w:p>
          <w:p>
            <w:pPr>
              <w:spacing w:line="240" w:lineRule="auto"/>
              <w:ind w:firstLine="0" w:firstLineChars="0"/>
              <w:jc w:val="left"/>
              <w:rPr>
                <w:sz w:val="21"/>
                <w:highlight w:val="none"/>
              </w:rPr>
            </w:pPr>
            <w:r>
              <w:rPr>
                <w:rFonts w:hint="eastAsia"/>
                <w:sz w:val="21"/>
                <w:highlight w:val="none"/>
              </w:rPr>
              <w:t>⑥制定生物多样性保护的中长期规划和行动计划，建立健全野生动植物及其栖息地保护管理长效机制；加强生物多样性保护监察执法。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1134" w:type="dxa"/>
            <w:vAlign w:val="center"/>
          </w:tcPr>
          <w:p>
            <w:pPr>
              <w:spacing w:line="240" w:lineRule="auto"/>
              <w:ind w:firstLine="0" w:firstLineChars="0"/>
              <w:jc w:val="center"/>
              <w:rPr>
                <w:sz w:val="21"/>
                <w:highlight w:val="none"/>
              </w:rPr>
            </w:pPr>
            <w:r>
              <w:rPr>
                <w:sz w:val="21"/>
                <w:highlight w:val="none"/>
              </w:rPr>
              <w:t>13</w:t>
            </w:r>
          </w:p>
        </w:tc>
        <w:tc>
          <w:tcPr>
            <w:tcW w:w="2997" w:type="dxa"/>
            <w:vAlign w:val="center"/>
          </w:tcPr>
          <w:p>
            <w:pPr>
              <w:spacing w:line="240" w:lineRule="auto"/>
              <w:ind w:firstLine="0" w:firstLineChars="0"/>
              <w:jc w:val="center"/>
              <w:rPr>
                <w:sz w:val="21"/>
                <w:highlight w:val="none"/>
              </w:rPr>
            </w:pPr>
            <w:r>
              <w:rPr>
                <w:sz w:val="21"/>
                <w:highlight w:val="none"/>
              </w:rPr>
              <w:t>农田生态环境</w:t>
            </w:r>
          </w:p>
        </w:tc>
        <w:tc>
          <w:tcPr>
            <w:tcW w:w="7182" w:type="dxa"/>
            <w:vAlign w:val="center"/>
          </w:tcPr>
          <w:p>
            <w:pPr>
              <w:spacing w:line="240" w:lineRule="auto"/>
              <w:ind w:firstLine="0" w:firstLineChars="0"/>
              <w:jc w:val="center"/>
              <w:rPr>
                <w:sz w:val="21"/>
                <w:highlight w:val="none"/>
              </w:rPr>
            </w:pPr>
            <w:r>
              <w:rPr>
                <w:sz w:val="21"/>
                <w:highlight w:val="none"/>
              </w:rPr>
              <w:t>耕地土壤受</w:t>
            </w:r>
            <w:r>
              <w:rPr>
                <w:rFonts w:hint="eastAsia"/>
                <w:sz w:val="21"/>
                <w:highlight w:val="none"/>
              </w:rPr>
              <w:t>镉</w:t>
            </w:r>
            <w:r>
              <w:rPr>
                <w:sz w:val="21"/>
                <w:highlight w:val="none"/>
              </w:rPr>
              <w:t>、汞污染，重金属超标问题需进一步采取适宜的安全利用措施，对措施落地区域农产品重金属含量情况进行持续跟踪监测。</w:t>
            </w:r>
          </w:p>
        </w:tc>
        <w:tc>
          <w:tcPr>
            <w:tcW w:w="2693" w:type="dxa"/>
            <w:vAlign w:val="center"/>
          </w:tcPr>
          <w:p>
            <w:pPr>
              <w:spacing w:line="240" w:lineRule="auto"/>
              <w:ind w:firstLine="0" w:firstLineChars="0"/>
              <w:jc w:val="center"/>
              <w:rPr>
                <w:sz w:val="21"/>
                <w:highlight w:val="none"/>
              </w:rPr>
            </w:pPr>
            <w:r>
              <w:rPr>
                <w:sz w:val="21"/>
                <w:highlight w:val="none"/>
              </w:rPr>
              <w:t>元善镇、溪山镇、陂头镇、田源镇和油溪镇</w:t>
            </w:r>
          </w:p>
        </w:tc>
        <w:tc>
          <w:tcPr>
            <w:tcW w:w="6306" w:type="dxa"/>
            <w:vAlign w:val="center"/>
          </w:tcPr>
          <w:p>
            <w:pPr>
              <w:spacing w:line="240" w:lineRule="auto"/>
              <w:ind w:firstLine="0" w:firstLineChars="0"/>
              <w:jc w:val="left"/>
              <w:rPr>
                <w:sz w:val="21"/>
                <w:highlight w:val="none"/>
              </w:rPr>
            </w:pPr>
            <w:r>
              <w:rPr>
                <w:rFonts w:hint="eastAsia"/>
                <w:sz w:val="21"/>
                <w:highlight w:val="none"/>
              </w:rPr>
              <w:t>以市下达耕地土壤环境质量分类成果数据以及受污染耕地安全利用区域排查结果为依据，系统梳理元善镇、溪山镇、陂头镇、田源镇和油溪镇等乡镇存在的突出问题与问题区域，优化调整各年度耕地分类管理实施方案，因地制宜落实受污染耕地安全利用措施，持续开展耕地土壤及农产品协同监测评价。</w:t>
            </w:r>
          </w:p>
        </w:tc>
      </w:tr>
    </w:tbl>
    <w:p>
      <w:pPr>
        <w:ind w:firstLine="0" w:firstLineChars="0"/>
        <w:rPr>
          <w:rFonts w:ascii="宋体" w:hAnsi="宋体"/>
          <w:b/>
          <w:sz w:val="28"/>
          <w:highlight w:val="none"/>
        </w:rPr>
      </w:pPr>
    </w:p>
    <w:p>
      <w:pPr>
        <w:ind w:firstLine="0" w:firstLineChars="0"/>
        <w:jc w:val="center"/>
        <w:rPr>
          <w:b/>
          <w:highlight w:val="none"/>
        </w:rPr>
        <w:sectPr>
          <w:pgSz w:w="23814" w:h="16839" w:orient="landscape"/>
          <w:pgMar w:top="1803" w:right="1440" w:bottom="1803" w:left="1803" w:header="851" w:footer="992" w:gutter="0"/>
          <w:cols w:space="0" w:num="1"/>
          <w:docGrid w:type="lines" w:linePitch="326" w:charSpace="0"/>
        </w:sectPr>
      </w:pPr>
    </w:p>
    <w:p>
      <w:pPr>
        <w:ind w:firstLine="0" w:firstLineChars="0"/>
        <w:jc w:val="center"/>
        <w:outlineLvl w:val="1"/>
        <w:rPr>
          <w:b/>
          <w:highlight w:val="none"/>
        </w:rPr>
      </w:pPr>
      <w:bookmarkStart w:id="132" w:name="_Toc140764158"/>
      <w:r>
        <w:rPr>
          <w:rFonts w:hint="eastAsia"/>
          <w:b/>
          <w:highlight w:val="none"/>
        </w:rPr>
        <w:t>附表2</w:t>
      </w:r>
      <w:r>
        <w:rPr>
          <w:b/>
          <w:highlight w:val="none"/>
        </w:rPr>
        <w:t xml:space="preserve"> </w:t>
      </w:r>
      <w:r>
        <w:rPr>
          <w:rFonts w:hint="eastAsia"/>
          <w:b/>
          <w:highlight w:val="none"/>
        </w:rPr>
        <w:t>连平县</w:t>
      </w:r>
      <w:r>
        <w:rPr>
          <w:b/>
          <w:highlight w:val="none"/>
        </w:rPr>
        <w:t>生态功能保护修复指标与目标</w:t>
      </w:r>
      <w:bookmarkEnd w:id="132"/>
    </w:p>
    <w:tbl>
      <w:tblPr>
        <w:tblStyle w:val="33"/>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079"/>
        <w:gridCol w:w="3018"/>
        <w:gridCol w:w="850"/>
        <w:gridCol w:w="1276"/>
        <w:gridCol w:w="1283"/>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b/>
                <w:sz w:val="21"/>
                <w:szCs w:val="21"/>
                <w:highlight w:val="none"/>
              </w:rPr>
            </w:pPr>
            <w:r>
              <w:rPr>
                <w:b/>
                <w:sz w:val="21"/>
                <w:szCs w:val="21"/>
                <w:highlight w:val="none"/>
              </w:rPr>
              <w:t>序号</w:t>
            </w:r>
          </w:p>
        </w:tc>
        <w:tc>
          <w:tcPr>
            <w:tcW w:w="1079"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类别</w:t>
            </w:r>
          </w:p>
        </w:tc>
        <w:tc>
          <w:tcPr>
            <w:tcW w:w="3018"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指标名称</w:t>
            </w:r>
          </w:p>
        </w:tc>
        <w:tc>
          <w:tcPr>
            <w:tcW w:w="850"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单位</w:t>
            </w:r>
          </w:p>
        </w:tc>
        <w:tc>
          <w:tcPr>
            <w:tcW w:w="1276" w:type="dxa"/>
            <w:vAlign w:val="center"/>
          </w:tcPr>
          <w:p>
            <w:pPr>
              <w:spacing w:line="240" w:lineRule="auto"/>
              <w:ind w:firstLine="0" w:firstLineChars="0"/>
              <w:jc w:val="center"/>
              <w:rPr>
                <w:b/>
                <w:sz w:val="21"/>
                <w:szCs w:val="21"/>
                <w:highlight w:val="none"/>
              </w:rPr>
            </w:pPr>
            <w:r>
              <w:rPr>
                <w:b/>
                <w:sz w:val="21"/>
                <w:szCs w:val="21"/>
                <w:highlight w:val="none"/>
              </w:rPr>
              <w:t>现状</w:t>
            </w:r>
          </w:p>
          <w:p>
            <w:pPr>
              <w:spacing w:line="240" w:lineRule="auto"/>
              <w:ind w:firstLine="0" w:firstLineChars="0"/>
              <w:jc w:val="center"/>
              <w:rPr>
                <w:b/>
                <w:sz w:val="21"/>
                <w:szCs w:val="21"/>
                <w:highlight w:val="none"/>
              </w:rPr>
            </w:pPr>
            <w:r>
              <w:rPr>
                <w:rFonts w:hint="eastAsia"/>
                <w:b/>
                <w:sz w:val="21"/>
                <w:szCs w:val="21"/>
                <w:highlight w:val="none"/>
              </w:rPr>
              <w:t>（2021年）</w:t>
            </w:r>
          </w:p>
        </w:tc>
        <w:tc>
          <w:tcPr>
            <w:tcW w:w="1283"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目标</w:t>
            </w:r>
          </w:p>
          <w:p>
            <w:pPr>
              <w:spacing w:line="240" w:lineRule="auto"/>
              <w:ind w:firstLine="0" w:firstLineChars="0"/>
              <w:jc w:val="center"/>
              <w:rPr>
                <w:b/>
                <w:sz w:val="21"/>
                <w:szCs w:val="21"/>
                <w:highlight w:val="none"/>
              </w:rPr>
            </w:pPr>
            <w:r>
              <w:rPr>
                <w:rFonts w:hint="eastAsia"/>
                <w:b/>
                <w:sz w:val="21"/>
                <w:szCs w:val="21"/>
                <w:highlight w:val="none"/>
              </w:rPr>
              <w:t>（2025年）</w:t>
            </w:r>
          </w:p>
        </w:tc>
        <w:tc>
          <w:tcPr>
            <w:tcW w:w="949" w:type="dxa"/>
            <w:shd w:val="clear" w:color="auto" w:fill="auto"/>
            <w:vAlign w:val="center"/>
          </w:tcPr>
          <w:p>
            <w:pPr>
              <w:spacing w:line="240" w:lineRule="auto"/>
              <w:ind w:firstLine="0" w:firstLineChars="0"/>
              <w:jc w:val="center"/>
              <w:rPr>
                <w:b/>
                <w:sz w:val="21"/>
                <w:szCs w:val="21"/>
                <w:highlight w:val="none"/>
              </w:rPr>
            </w:pPr>
            <w:r>
              <w:rPr>
                <w:b/>
                <w:sz w:val="21"/>
                <w:szCs w:val="21"/>
                <w:highlight w:val="none"/>
              </w:rPr>
              <w:t>指标</w:t>
            </w:r>
          </w:p>
          <w:p>
            <w:pPr>
              <w:spacing w:line="240" w:lineRule="auto"/>
              <w:ind w:firstLine="0" w:firstLineChars="0"/>
              <w:jc w:val="center"/>
              <w:rPr>
                <w:b/>
                <w:sz w:val="21"/>
                <w:szCs w:val="21"/>
                <w:highlight w:val="none"/>
              </w:rPr>
            </w:pPr>
            <w:r>
              <w:rPr>
                <w:b/>
                <w:sz w:val="21"/>
                <w:szCs w:val="21"/>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sz w:val="21"/>
                <w:szCs w:val="21"/>
                <w:highlight w:val="none"/>
              </w:rPr>
              <w:t>1</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矿山地质环境</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持证在采矿山达到绿色矿山建设标准比例</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100</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100</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历史遗留矿山生态修复</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公顷</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8.11</w:t>
            </w:r>
            <w:r>
              <w:rPr>
                <w:sz w:val="18"/>
                <w:highlight w:val="none"/>
                <w:vertAlign w:val="superscript"/>
              </w:rPr>
              <w:t>[1]</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按市下达</w:t>
            </w:r>
          </w:p>
          <w:p>
            <w:pPr>
              <w:spacing w:line="240" w:lineRule="auto"/>
              <w:ind w:firstLine="0" w:firstLineChars="0"/>
              <w:jc w:val="center"/>
              <w:rPr>
                <w:sz w:val="21"/>
                <w:szCs w:val="21"/>
                <w:highlight w:val="none"/>
              </w:rPr>
            </w:pPr>
            <w:r>
              <w:rPr>
                <w:sz w:val="21"/>
                <w:szCs w:val="21"/>
                <w:highlight w:val="none"/>
              </w:rPr>
              <w:t>指标</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1079" w:type="dxa"/>
            <w:shd w:val="clear" w:color="auto" w:fill="auto"/>
            <w:vAlign w:val="center"/>
          </w:tcPr>
          <w:p>
            <w:pPr>
              <w:spacing w:line="240" w:lineRule="auto"/>
              <w:ind w:firstLine="0" w:firstLineChars="0"/>
              <w:jc w:val="center"/>
              <w:rPr>
                <w:sz w:val="21"/>
                <w:szCs w:val="21"/>
                <w:highlight w:val="none"/>
              </w:rPr>
            </w:pPr>
            <w:r>
              <w:rPr>
                <w:sz w:val="21"/>
                <w:szCs w:val="21"/>
                <w:highlight w:val="none"/>
              </w:rPr>
              <w:t>水土流失防治</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新增水土流失治理面积</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平方公里</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40.31</w:t>
            </w:r>
            <w:r>
              <w:rPr>
                <w:sz w:val="18"/>
                <w:highlight w:val="none"/>
                <w:vertAlign w:val="superscript"/>
              </w:rPr>
              <w:t>[</w:t>
            </w:r>
            <w:r>
              <w:rPr>
                <w:rFonts w:hint="eastAsia"/>
                <w:sz w:val="18"/>
                <w:highlight w:val="none"/>
                <w:vertAlign w:val="superscript"/>
              </w:rPr>
              <w:t>2</w:t>
            </w:r>
            <w:r>
              <w:rPr>
                <w:sz w:val="18"/>
                <w:highlight w:val="none"/>
                <w:vertAlign w:val="superscript"/>
              </w:rPr>
              <w:t>]</w:t>
            </w:r>
          </w:p>
        </w:tc>
        <w:tc>
          <w:tcPr>
            <w:tcW w:w="1283"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67.46</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水生态环境</w:t>
            </w:r>
          </w:p>
        </w:tc>
        <w:tc>
          <w:tcPr>
            <w:tcW w:w="3018"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县控以上</w:t>
            </w:r>
            <w:r>
              <w:rPr>
                <w:sz w:val="21"/>
                <w:szCs w:val="21"/>
                <w:highlight w:val="none"/>
              </w:rPr>
              <w:t>地表水水质达到或优于Ⅲ类水体的比例</w:t>
            </w:r>
            <w:r>
              <w:rPr>
                <w:sz w:val="18"/>
                <w:highlight w:val="none"/>
                <w:vertAlign w:val="superscript"/>
              </w:rPr>
              <w:t>[</w:t>
            </w:r>
            <w:r>
              <w:rPr>
                <w:rFonts w:hint="eastAsia"/>
                <w:sz w:val="18"/>
                <w:highlight w:val="none"/>
                <w:vertAlign w:val="superscript"/>
              </w:rPr>
              <w:t>3</w:t>
            </w:r>
            <w:r>
              <w:rPr>
                <w:sz w:val="18"/>
                <w:highlight w:val="none"/>
                <w:vertAlign w:val="superscript"/>
              </w:rPr>
              <w:t>]</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sz w:val="21"/>
                <w:szCs w:val="21"/>
                <w:highlight w:val="none"/>
              </w:rPr>
              <w:t>100</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100</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县级以上</w:t>
            </w:r>
            <w:r>
              <w:rPr>
                <w:sz w:val="21"/>
                <w:szCs w:val="21"/>
                <w:highlight w:val="none"/>
              </w:rPr>
              <w:t>集中式饮用水源地水质达标率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sz w:val="21"/>
                <w:szCs w:val="21"/>
                <w:highlight w:val="none"/>
              </w:rPr>
              <w:t>100</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100</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湿地保有量</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公顷</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75.24</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r>
              <w:rPr>
                <w:rFonts w:hint="eastAsia"/>
                <w:sz w:val="21"/>
                <w:szCs w:val="21"/>
                <w:highlight w:val="none"/>
              </w:rPr>
              <w:t>75.24</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森林生态环境</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森林覆盖率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74.82</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r>
              <w:rPr>
                <w:rFonts w:hint="eastAsia"/>
                <w:sz w:val="21"/>
                <w:szCs w:val="21"/>
                <w:highlight w:val="none"/>
              </w:rPr>
              <w:t>74.82</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新增森林质量精准提升面积</w:t>
            </w:r>
          </w:p>
        </w:tc>
        <w:tc>
          <w:tcPr>
            <w:tcW w:w="850"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万</w:t>
            </w:r>
            <w:r>
              <w:rPr>
                <w:sz w:val="21"/>
                <w:szCs w:val="21"/>
                <w:highlight w:val="none"/>
              </w:rPr>
              <w:t>亩</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53.87</w:t>
            </w:r>
            <w:r>
              <w:rPr>
                <w:sz w:val="18"/>
                <w:highlight w:val="none"/>
                <w:vertAlign w:val="superscript"/>
              </w:rPr>
              <w:t>[</w:t>
            </w:r>
            <w:r>
              <w:rPr>
                <w:rFonts w:hint="eastAsia"/>
                <w:sz w:val="18"/>
                <w:highlight w:val="none"/>
                <w:vertAlign w:val="superscript"/>
              </w:rPr>
              <w:t>4</w:t>
            </w:r>
            <w:r>
              <w:rPr>
                <w:sz w:val="18"/>
                <w:highlight w:val="none"/>
                <w:vertAlign w:val="superscript"/>
              </w:rPr>
              <w:t>]</w:t>
            </w:r>
          </w:p>
        </w:tc>
        <w:tc>
          <w:tcPr>
            <w:tcW w:w="1283" w:type="dxa"/>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25.19</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rFonts w:hint="eastAsia"/>
                <w:sz w:val="21"/>
                <w:szCs w:val="21"/>
                <w:highlight w:val="none"/>
              </w:rPr>
              <w:t>9</w:t>
            </w:r>
          </w:p>
        </w:tc>
        <w:tc>
          <w:tcPr>
            <w:tcW w:w="1079" w:type="dxa"/>
            <w:vMerge w:val="restart"/>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rPr>
              <w:t>生物多样性</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自然保护地面积占国土面积比例</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12.27</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按市下达</w:t>
            </w:r>
          </w:p>
          <w:p>
            <w:pPr>
              <w:spacing w:line="240" w:lineRule="auto"/>
              <w:ind w:firstLine="0" w:firstLineChars="0"/>
              <w:jc w:val="center"/>
              <w:rPr>
                <w:sz w:val="21"/>
                <w:szCs w:val="21"/>
                <w:highlight w:val="none"/>
              </w:rPr>
            </w:pPr>
            <w:r>
              <w:rPr>
                <w:sz w:val="21"/>
                <w:szCs w:val="21"/>
                <w:highlight w:val="none"/>
              </w:rPr>
              <w:t>指标</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8" w:type="dxa"/>
            <w:vAlign w:val="center"/>
          </w:tcPr>
          <w:p>
            <w:pPr>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0</w:t>
            </w:r>
          </w:p>
        </w:tc>
        <w:tc>
          <w:tcPr>
            <w:tcW w:w="1079" w:type="dxa"/>
            <w:vMerge w:val="continue"/>
            <w:shd w:val="clear" w:color="auto" w:fill="auto"/>
            <w:vAlign w:val="center"/>
          </w:tcPr>
          <w:p>
            <w:pPr>
              <w:spacing w:line="240" w:lineRule="auto"/>
              <w:ind w:firstLine="0" w:firstLineChars="0"/>
              <w:jc w:val="center"/>
              <w:rPr>
                <w:sz w:val="21"/>
                <w:szCs w:val="21"/>
                <w:highlight w:val="none"/>
              </w:rPr>
            </w:pP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国家重点保护野生动植物保护率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95</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8" w:type="dxa"/>
            <w:vAlign w:val="center"/>
          </w:tcPr>
          <w:p>
            <w:pPr>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1</w:t>
            </w:r>
          </w:p>
        </w:tc>
        <w:tc>
          <w:tcPr>
            <w:tcW w:w="1079" w:type="dxa"/>
            <w:shd w:val="clear" w:color="auto" w:fill="auto"/>
            <w:vAlign w:val="center"/>
          </w:tcPr>
          <w:p>
            <w:pPr>
              <w:spacing w:line="240" w:lineRule="auto"/>
              <w:ind w:firstLine="0" w:firstLineChars="0"/>
              <w:jc w:val="center"/>
              <w:rPr>
                <w:sz w:val="21"/>
                <w:szCs w:val="21"/>
                <w:highlight w:val="none"/>
              </w:rPr>
            </w:pPr>
            <w:r>
              <w:rPr>
                <w:sz w:val="21"/>
                <w:szCs w:val="21"/>
                <w:highlight w:val="none"/>
              </w:rPr>
              <w:t>农田生态环境</w:t>
            </w:r>
          </w:p>
        </w:tc>
        <w:tc>
          <w:tcPr>
            <w:tcW w:w="3018" w:type="dxa"/>
            <w:shd w:val="clear" w:color="auto" w:fill="auto"/>
            <w:vAlign w:val="center"/>
          </w:tcPr>
          <w:p>
            <w:pPr>
              <w:spacing w:line="240" w:lineRule="auto"/>
              <w:ind w:firstLine="0" w:firstLineChars="0"/>
              <w:jc w:val="center"/>
              <w:rPr>
                <w:sz w:val="21"/>
                <w:szCs w:val="21"/>
                <w:highlight w:val="none"/>
              </w:rPr>
            </w:pPr>
            <w:r>
              <w:rPr>
                <w:sz w:val="21"/>
                <w:szCs w:val="21"/>
                <w:highlight w:val="none"/>
              </w:rPr>
              <w:t>受污染耕地安全利用率</w:t>
            </w:r>
          </w:p>
        </w:tc>
        <w:tc>
          <w:tcPr>
            <w:tcW w:w="850" w:type="dxa"/>
            <w:shd w:val="clear" w:color="auto" w:fill="auto"/>
            <w:vAlign w:val="center"/>
          </w:tcPr>
          <w:p>
            <w:pPr>
              <w:spacing w:line="240" w:lineRule="auto"/>
              <w:ind w:firstLine="0" w:firstLineChars="0"/>
              <w:jc w:val="center"/>
              <w:rPr>
                <w:sz w:val="21"/>
                <w:szCs w:val="21"/>
                <w:highlight w:val="none"/>
              </w:rPr>
            </w:pPr>
            <w:r>
              <w:rPr>
                <w:sz w:val="21"/>
                <w:szCs w:val="21"/>
                <w:highlight w:val="none"/>
              </w:rPr>
              <w:t>%</w:t>
            </w:r>
          </w:p>
        </w:tc>
        <w:tc>
          <w:tcPr>
            <w:tcW w:w="1276" w:type="dxa"/>
            <w:vAlign w:val="center"/>
          </w:tcPr>
          <w:p>
            <w:pPr>
              <w:spacing w:line="240" w:lineRule="auto"/>
              <w:ind w:firstLine="0" w:firstLineChars="0"/>
              <w:jc w:val="center"/>
              <w:rPr>
                <w:sz w:val="21"/>
                <w:szCs w:val="21"/>
                <w:highlight w:val="none"/>
              </w:rPr>
            </w:pPr>
            <w:r>
              <w:rPr>
                <w:rFonts w:hint="eastAsia"/>
                <w:sz w:val="21"/>
                <w:szCs w:val="21"/>
                <w:highlight w:val="none"/>
              </w:rPr>
              <w:t>97.7</w:t>
            </w:r>
          </w:p>
        </w:tc>
        <w:tc>
          <w:tcPr>
            <w:tcW w:w="1283" w:type="dxa"/>
            <w:shd w:val="clear" w:color="auto" w:fill="auto"/>
            <w:vAlign w:val="center"/>
          </w:tcPr>
          <w:p>
            <w:pPr>
              <w:spacing w:line="240" w:lineRule="auto"/>
              <w:ind w:firstLine="0" w:firstLineChars="0"/>
              <w:jc w:val="center"/>
              <w:rPr>
                <w:sz w:val="21"/>
                <w:szCs w:val="21"/>
                <w:highlight w:val="none"/>
              </w:rPr>
            </w:pPr>
            <w:r>
              <w:rPr>
                <w:sz w:val="21"/>
                <w:szCs w:val="21"/>
                <w:highlight w:val="none"/>
              </w:rPr>
              <w:t>≥97.7</w:t>
            </w:r>
          </w:p>
        </w:tc>
        <w:tc>
          <w:tcPr>
            <w:tcW w:w="949" w:type="dxa"/>
            <w:shd w:val="clear" w:color="auto" w:fill="auto"/>
            <w:vAlign w:val="center"/>
          </w:tcPr>
          <w:p>
            <w:pPr>
              <w:spacing w:line="240" w:lineRule="auto"/>
              <w:ind w:firstLine="0" w:firstLineChars="0"/>
              <w:jc w:val="center"/>
              <w:rPr>
                <w:sz w:val="21"/>
                <w:szCs w:val="21"/>
                <w:highlight w:val="none"/>
              </w:rPr>
            </w:pPr>
            <w:r>
              <w:rPr>
                <w:sz w:val="21"/>
                <w:szCs w:val="21"/>
                <w:highlight w:val="none"/>
              </w:rPr>
              <w:t>预期性</w:t>
            </w:r>
          </w:p>
        </w:tc>
      </w:tr>
    </w:tbl>
    <w:p>
      <w:pPr>
        <w:spacing w:line="240" w:lineRule="auto"/>
        <w:ind w:firstLine="0" w:firstLineChars="0"/>
        <w:rPr>
          <w:sz w:val="18"/>
          <w:highlight w:val="none"/>
        </w:rPr>
      </w:pPr>
      <w:r>
        <w:rPr>
          <w:sz w:val="18"/>
          <w:highlight w:val="none"/>
        </w:rPr>
        <w:t>[1]：为</w:t>
      </w:r>
      <w:r>
        <w:rPr>
          <w:rFonts w:hint="eastAsia"/>
          <w:sz w:val="18"/>
          <w:highlight w:val="none"/>
        </w:rPr>
        <w:t>2022年对应指标数值；</w:t>
      </w:r>
    </w:p>
    <w:p>
      <w:pPr>
        <w:spacing w:line="240" w:lineRule="auto"/>
        <w:ind w:firstLine="0" w:firstLineChars="0"/>
        <w:rPr>
          <w:rFonts w:ascii="Calibri" w:hAnsi="Calibri"/>
          <w:sz w:val="21"/>
          <w:highlight w:val="none"/>
        </w:rPr>
      </w:pPr>
      <w:r>
        <w:rPr>
          <w:sz w:val="18"/>
          <w:highlight w:val="none"/>
        </w:rPr>
        <w:t>[</w:t>
      </w:r>
      <w:r>
        <w:rPr>
          <w:rFonts w:hint="eastAsia"/>
          <w:sz w:val="18"/>
          <w:highlight w:val="none"/>
        </w:rPr>
        <w:t>2</w:t>
      </w:r>
      <w:r>
        <w:rPr>
          <w:sz w:val="18"/>
          <w:highlight w:val="none"/>
        </w:rPr>
        <w:t>]：</w:t>
      </w:r>
      <w:r>
        <w:rPr>
          <w:rFonts w:hint="eastAsia"/>
          <w:sz w:val="18"/>
          <w:highlight w:val="none"/>
        </w:rPr>
        <w:t>为2016~2019年期间对应指标数值；</w:t>
      </w:r>
    </w:p>
    <w:p>
      <w:pPr>
        <w:spacing w:line="240" w:lineRule="auto"/>
        <w:ind w:firstLine="0" w:firstLineChars="0"/>
        <w:rPr>
          <w:sz w:val="18"/>
          <w:highlight w:val="none"/>
        </w:rPr>
      </w:pPr>
      <w:r>
        <w:rPr>
          <w:sz w:val="18"/>
          <w:highlight w:val="none"/>
        </w:rPr>
        <w:t>[</w:t>
      </w:r>
      <w:r>
        <w:rPr>
          <w:rFonts w:hint="eastAsia"/>
          <w:sz w:val="18"/>
          <w:highlight w:val="none"/>
        </w:rPr>
        <w:t>3</w:t>
      </w:r>
      <w:r>
        <w:rPr>
          <w:sz w:val="18"/>
          <w:highlight w:val="none"/>
        </w:rPr>
        <w:t>]：包括规划范围内</w:t>
      </w:r>
      <w:r>
        <w:rPr>
          <w:rFonts w:hint="eastAsia"/>
          <w:sz w:val="18"/>
          <w:highlight w:val="none"/>
        </w:rPr>
        <w:t>隆街大桥、合水桥、连中桥、黄潭寺和大席水共五个</w:t>
      </w:r>
      <w:r>
        <w:rPr>
          <w:sz w:val="18"/>
          <w:highlight w:val="none"/>
        </w:rPr>
        <w:t>断面；</w:t>
      </w:r>
    </w:p>
    <w:p>
      <w:pPr>
        <w:spacing w:line="240" w:lineRule="auto"/>
        <w:ind w:firstLine="0" w:firstLineChars="0"/>
        <w:rPr>
          <w:rFonts w:ascii="Calibri" w:hAnsi="Calibri"/>
          <w:color w:val="FF0000"/>
          <w:sz w:val="21"/>
          <w:highlight w:val="none"/>
        </w:rPr>
      </w:pPr>
      <w:r>
        <w:rPr>
          <w:sz w:val="18"/>
          <w:highlight w:val="none"/>
        </w:rPr>
        <w:t>[</w:t>
      </w:r>
      <w:r>
        <w:rPr>
          <w:rFonts w:hint="eastAsia"/>
          <w:sz w:val="18"/>
          <w:highlight w:val="none"/>
        </w:rPr>
        <w:t>4</w:t>
      </w:r>
      <w:r>
        <w:rPr>
          <w:sz w:val="18"/>
          <w:highlight w:val="none"/>
        </w:rPr>
        <w:t>]：</w:t>
      </w:r>
      <w:r>
        <w:rPr>
          <w:rFonts w:hint="eastAsia"/>
          <w:sz w:val="18"/>
          <w:highlight w:val="none"/>
        </w:rPr>
        <w:t>为“十三五”期间对应指标数值。</w:t>
      </w:r>
    </w:p>
    <w:p>
      <w:pPr>
        <w:ind w:firstLine="0" w:firstLineChars="0"/>
        <w:jc w:val="center"/>
        <w:rPr>
          <w:b/>
          <w:color w:val="FF0000"/>
          <w:highlight w:val="none"/>
        </w:rPr>
      </w:pPr>
    </w:p>
    <w:p>
      <w:pPr>
        <w:ind w:firstLine="0" w:firstLineChars="0"/>
        <w:rPr>
          <w:color w:val="FF0000"/>
          <w:highlight w:val="none"/>
        </w:rPr>
        <w:sectPr>
          <w:pgSz w:w="11907" w:h="16840"/>
          <w:pgMar w:top="1440" w:right="1803" w:bottom="1803" w:left="1803" w:header="851" w:footer="992" w:gutter="0"/>
          <w:cols w:space="0" w:num="1"/>
          <w:docGrid w:type="lines" w:linePitch="326" w:charSpace="0"/>
        </w:sectPr>
      </w:pPr>
    </w:p>
    <w:p>
      <w:pPr>
        <w:ind w:firstLine="0" w:firstLineChars="0"/>
        <w:jc w:val="center"/>
        <w:outlineLvl w:val="1"/>
        <w:rPr>
          <w:b/>
          <w:highlight w:val="none"/>
        </w:rPr>
      </w:pPr>
      <w:bookmarkStart w:id="133" w:name="_Toc140764159"/>
      <w:r>
        <w:rPr>
          <w:rFonts w:hint="eastAsia"/>
          <w:b/>
          <w:highlight w:val="none"/>
        </w:rPr>
        <w:t>附表3</w:t>
      </w:r>
      <w:r>
        <w:rPr>
          <w:b/>
          <w:highlight w:val="none"/>
        </w:rPr>
        <w:t xml:space="preserve"> </w:t>
      </w:r>
      <w:r>
        <w:rPr>
          <w:rFonts w:hint="eastAsia"/>
          <w:b/>
          <w:highlight w:val="none"/>
        </w:rPr>
        <w:t>连平</w:t>
      </w:r>
      <w:r>
        <w:rPr>
          <w:b/>
          <w:highlight w:val="none"/>
        </w:rPr>
        <w:t>县生态功能保护修复重点工程</w:t>
      </w:r>
      <w:bookmarkEnd w:id="133"/>
      <w:r>
        <w:rPr>
          <w:b/>
          <w:highlight w:val="none"/>
        </w:rPr>
        <w:t>项目</w:t>
      </w:r>
    </w:p>
    <w:tbl>
      <w:tblPr>
        <w:tblStyle w:val="33"/>
        <w:tblW w:w="13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031"/>
        <w:gridCol w:w="1536"/>
        <w:gridCol w:w="6379"/>
        <w:gridCol w:w="1559"/>
        <w:gridCol w:w="143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blHeader/>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b/>
                <w:bCs/>
                <w:kern w:val="0"/>
                <w:sz w:val="21"/>
                <w:szCs w:val="21"/>
                <w:highlight w:val="none"/>
              </w:rPr>
            </w:pPr>
            <w:r>
              <w:rPr>
                <w:rFonts w:hint="eastAsia"/>
                <w:b/>
                <w:bCs/>
                <w:sz w:val="21"/>
                <w:szCs w:val="21"/>
                <w:highlight w:val="none"/>
              </w:rPr>
              <w:t>序号</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项目</w:t>
            </w:r>
          </w:p>
          <w:p>
            <w:pPr>
              <w:spacing w:line="300" w:lineRule="exact"/>
              <w:ind w:firstLine="0" w:firstLineChars="0"/>
              <w:jc w:val="center"/>
              <w:rPr>
                <w:b/>
                <w:bCs/>
                <w:kern w:val="0"/>
                <w:sz w:val="21"/>
                <w:szCs w:val="21"/>
                <w:highlight w:val="none"/>
              </w:rPr>
            </w:pPr>
            <w:r>
              <w:rPr>
                <w:rFonts w:hint="eastAsia"/>
                <w:b/>
                <w:bCs/>
                <w:sz w:val="21"/>
                <w:szCs w:val="21"/>
                <w:highlight w:val="none"/>
              </w:rPr>
              <w:t>类别</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kern w:val="0"/>
                <w:sz w:val="21"/>
                <w:szCs w:val="21"/>
                <w:highlight w:val="none"/>
              </w:rPr>
            </w:pPr>
            <w:r>
              <w:rPr>
                <w:rFonts w:hint="eastAsia"/>
                <w:b/>
                <w:bCs/>
                <w:sz w:val="21"/>
                <w:szCs w:val="21"/>
                <w:highlight w:val="none"/>
              </w:rPr>
              <w:t>工程名称</w:t>
            </w: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工程建设规模与内容</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负责单位</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kern w:val="0"/>
                <w:sz w:val="21"/>
                <w:szCs w:val="21"/>
                <w:highlight w:val="none"/>
              </w:rPr>
            </w:pPr>
            <w:r>
              <w:rPr>
                <w:rFonts w:hint="eastAsia"/>
                <w:b/>
                <w:bCs/>
                <w:sz w:val="21"/>
                <w:szCs w:val="21"/>
                <w:highlight w:val="none"/>
              </w:rPr>
              <w:t>建设年限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
                <w:bCs/>
                <w:sz w:val="21"/>
                <w:szCs w:val="21"/>
                <w:highlight w:val="none"/>
              </w:rPr>
            </w:pPr>
            <w:r>
              <w:rPr>
                <w:rFonts w:hint="eastAsia"/>
                <w:b/>
                <w:bCs/>
                <w:sz w:val="21"/>
                <w:szCs w:val="21"/>
                <w:highlight w:val="none"/>
              </w:rPr>
              <w:t>投资估算</w:t>
            </w:r>
          </w:p>
          <w:p>
            <w:pPr>
              <w:spacing w:line="300" w:lineRule="exact"/>
              <w:ind w:firstLine="0" w:firstLineChars="0"/>
              <w:jc w:val="center"/>
              <w:rPr>
                <w:b/>
                <w:bCs/>
                <w:sz w:val="21"/>
                <w:szCs w:val="21"/>
                <w:highlight w:val="none"/>
              </w:rPr>
            </w:pPr>
            <w:r>
              <w:rPr>
                <w:rFonts w:hint="eastAsia"/>
                <w:b/>
                <w:bCs/>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1</w:t>
            </w:r>
          </w:p>
        </w:tc>
        <w:tc>
          <w:tcPr>
            <w:tcW w:w="1031"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矿山地质生态保护修复</w:t>
            </w:r>
          </w:p>
        </w:tc>
        <w:tc>
          <w:tcPr>
            <w:tcW w:w="1536"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历史遗留矿山生态修复工程</w:t>
            </w: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陂头镇、三角镇相对集中连片的4个项目共24个图斑生态修复工程，总面积43.24公顷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县自然资源局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2022-2023年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464.64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2</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p>
        </w:tc>
        <w:tc>
          <w:tcPr>
            <w:tcW w:w="15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按省市下达指标，完成2023-2025年历史遗留矿山生态修复工程，总面积达40公顷以上。</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县自然资源局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1031"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r>
              <w:rPr>
                <w:bCs/>
                <w:sz w:val="21"/>
                <w:szCs w:val="21"/>
                <w:highlight w:val="none"/>
              </w:rPr>
              <w:t>水土保持</w:t>
            </w:r>
          </w:p>
        </w:tc>
        <w:tc>
          <w:tcPr>
            <w:tcW w:w="1536"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r>
              <w:rPr>
                <w:bCs/>
                <w:sz w:val="21"/>
                <w:szCs w:val="21"/>
                <w:highlight w:val="none"/>
              </w:rPr>
              <w:t>小流域综合治理工程</w:t>
            </w: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大湖水小流域综合治理工程，工程内容包括坡改梯田18.18公顷，谷坊69座，拦沙坝17座，沟洫36.36公里，水土保持林63.27公顷，种草29.45公顷，封育治理282.73公顷。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bCs/>
                <w:sz w:val="21"/>
                <w:szCs w:val="21"/>
                <w:highlight w:val="none"/>
              </w:rPr>
              <w:t>县水务局</w:t>
            </w:r>
            <w:r>
              <w:rPr>
                <w:rFonts w:hint="eastAsia"/>
                <w:bCs/>
                <w:sz w:val="21"/>
                <w:szCs w:val="21"/>
                <w:highlight w:val="none"/>
              </w:rPr>
              <w:t>、</w:t>
            </w:r>
            <w:r>
              <w:rPr>
                <w:bCs/>
                <w:sz w:val="21"/>
                <w:szCs w:val="21"/>
                <w:highlight w:val="none"/>
              </w:rPr>
              <w:t>大湖镇</w:t>
            </w:r>
            <w:r>
              <w:rPr>
                <w:rFonts w:hint="eastAsia"/>
                <w:bCs/>
                <w:sz w:val="21"/>
                <w:szCs w:val="21"/>
                <w:highlight w:val="none"/>
              </w:rPr>
              <w:t>、</w:t>
            </w:r>
            <w:r>
              <w:rPr>
                <w:bCs/>
                <w:sz w:val="21"/>
                <w:szCs w:val="21"/>
                <w:highlight w:val="none"/>
              </w:rPr>
              <w:t>三角镇</w:t>
            </w:r>
            <w:r>
              <w:rPr>
                <w:rFonts w:hint="eastAsia"/>
                <w:bCs/>
                <w:sz w:val="21"/>
                <w:szCs w:val="21"/>
                <w:highlight w:val="none"/>
              </w:rPr>
              <w:t>、</w:t>
            </w:r>
            <w:r>
              <w:rPr>
                <w:bCs/>
                <w:sz w:val="21"/>
                <w:szCs w:val="21"/>
                <w:highlight w:val="none"/>
              </w:rPr>
              <w:t>绣缎镇</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1031" w:type="dxa"/>
            <w:vMerge w:val="continue"/>
            <w:tcBorders>
              <w:left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上坪水（大席河上坪段）小流域综合治理工程，工程内容包括坡改梯田41.82公顷，谷坊71座，拦沙坝17座，沟洫37.45公里，水土保持林69.09公顷，种草21.64公顷，封育治理237.64公顷。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县水务局、上坪镇</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103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bCs/>
                <w:sz w:val="21"/>
                <w:szCs w:val="21"/>
                <w:highlight w:val="none"/>
              </w:rPr>
            </w:pPr>
          </w:p>
        </w:tc>
        <w:tc>
          <w:tcPr>
            <w:tcW w:w="1536"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bCs/>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陂头水小流域综合治理工程，工程内容包括坡改梯田48公顷，谷坊28座，拦沙坝7座，沟洫14.55公里，水土保持林89.27公顷，种草21.27公顷，封育治理264.91公顷。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县水务局、陂头镇</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1031"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水生态环境保护修复</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饮用水源安全保障工程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河源市连平县镇级集中式饮用水水源地规范化建设工程，工程内容包括隔离防护网、标志牌、道路警示牌、宣传牌、记事碑、视频监控平台等。</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2023-2024年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重点断面水质巩固提升工程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隆街段）水环境综合整治项目，内容包括：①对连平河流域开展城镇截污管网建设工作，建设DN400截污管网1000m；配套截污井、检查井20座；②对连平河流域开展农村污水收集处理与资源化利用；③对连平河流域开展农业面源治理工作，建设改造嵌草生态沟渠14144m，三面光沟渠改造14144m。</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农村生活污水治理工程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高莞镇太平村（11个自然村）、上坪镇中村村（11个自然村）、元善镇醒狮村（9个自然村）的农村生活污水治理及相关配套管网建设。</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县住房和城乡建设局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2022-2024年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9</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水生态扩容修复工程</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连平河连平县段碧道工程，新建碧道3.8公里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2022-2023年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10</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连平河隆街镇龙埔村段碧道工程，新建碧道5公里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11</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连平河溪山镇段碧道工程，新建碧道10公里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12</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五禾水绣缎镇金溪村段碧道工程，新建碧道2公里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13</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大席河田源镇河戴屋段碧道工程，新建碧道2公里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14</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淡洞河田源镇田东村至水西村段碧道工程，新建碧道4公里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15</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高陂水高莞镇段碧道工程，新建碧道24公里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16</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大湖河大湖镇段碧道工程，新建碧道11.1公里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17</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大坪水陂头镇段碧道工程，新建碧道6.2公里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6040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18</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茶新水油溪镇碧道工程，新建碧道6公里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19</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内莞蓝州水碧道工程，新建碧道5公里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2021-2025年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忠信河连平县段碧道工程，新建碧道11公里</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县水务局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21</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忠信河生态湿地及河岸生态缓冲带保护工程，工程内容包括：河岸生态缓冲带3.9公里和河道滩涂整治工程1.5公顷，生态岸坡和河道滩涂种植植被1.2公顷。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4439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22</w:t>
            </w: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p>
        </w:tc>
        <w:tc>
          <w:tcPr>
            <w:tcW w:w="1536"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大湖水河口生态湿地建设工程，规模约38000平方米，建设内容包括：土方开挖及清运，湿地植物种植面积约30400平方米，新建梯级曝气坝2座。</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市生态环境局连平分局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23</w:t>
            </w:r>
          </w:p>
        </w:tc>
        <w:tc>
          <w:tcPr>
            <w:tcW w:w="1031" w:type="dxa"/>
            <w:vMerge w:val="restart"/>
            <w:tcBorders>
              <w:left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森林生态系统保护修复</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林分优化提升</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完成人工造林0.3万亩、低质低效及松材线虫危害松林优化改造9.55万亩、低质低效及分布不合理桉树林优化改造1.07万亩、自然保护地林分优化改造0.01万亩、封山育林2.95万亩。</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县林业局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17300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24</w:t>
            </w:r>
          </w:p>
        </w:tc>
        <w:tc>
          <w:tcPr>
            <w:tcW w:w="1031" w:type="dxa"/>
            <w:vMerge w:val="continue"/>
            <w:tcBorders>
              <w:left w:val="single" w:color="auto" w:sz="4" w:space="0"/>
              <w:right w:val="single" w:color="auto" w:sz="4" w:space="0"/>
            </w:tcBorders>
            <w:vAlign w:val="center"/>
          </w:tcPr>
          <w:p>
            <w:pPr>
              <w:spacing w:line="300" w:lineRule="exact"/>
              <w:ind w:firstLine="0" w:firstLineChars="0"/>
              <w:jc w:val="center"/>
              <w:rPr>
                <w:bCs/>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森林抚育</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完成中幼林改造10.51万亩、低产油茶林抚育0.82万亩。</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县林业局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5050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25</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生物多样性保护</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自然保护地整合优化</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自然保护地边界和功能区划界线的调查、勘测、立标、综合考察和总体规划编制等。</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县林业局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2023-2025年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26</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bCs/>
                <w:sz w:val="21"/>
                <w:szCs w:val="21"/>
                <w:highlight w:val="none"/>
              </w:rPr>
            </w:pPr>
            <w:r>
              <w:rPr>
                <w:rFonts w:hint="eastAsia"/>
                <w:bCs/>
                <w:sz w:val="21"/>
                <w:szCs w:val="21"/>
                <w:highlight w:val="none"/>
              </w:rPr>
              <w:t>耕地保护与安全利用</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受污染耕地安全利用</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highlight w:val="none"/>
              </w:rPr>
            </w:pPr>
            <w:r>
              <w:rPr>
                <w:rFonts w:hint="eastAsia"/>
                <w:sz w:val="21"/>
                <w:szCs w:val="21"/>
                <w:highlight w:val="none"/>
              </w:rPr>
              <w:t>按市下达任务，实施元善镇、溪山镇、陂头镇、田源镇和油溪镇重点区域受污染耕地安全利用。</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县农业农村局</w:t>
            </w:r>
          </w:p>
        </w:tc>
        <w:tc>
          <w:tcPr>
            <w:tcW w:w="1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2022-2025年</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330</w:t>
            </w:r>
          </w:p>
        </w:tc>
      </w:tr>
    </w:tbl>
    <w:p>
      <w:pPr>
        <w:ind w:firstLine="0" w:firstLineChars="0"/>
        <w:rPr>
          <w:b/>
          <w:color w:val="FF0000"/>
          <w:highlight w:val="none"/>
        </w:rPr>
      </w:pPr>
    </w:p>
    <w:sectPr>
      <w:pgSz w:w="16840" w:h="11907" w:orient="landscape"/>
      <w:pgMar w:top="1803" w:right="1440" w:bottom="1803" w:left="1803" w:header="851" w:footer="992" w:gutter="0"/>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p>
  </w:endnote>
  <w:endnote w:type="continuationSeparator" w:id="1">
    <w:p>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roman"/>
    <w:pitch w:val=""/>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15461728"/>
                          </w:sdtPr>
                          <w:sdtContent>
                            <w:p>
                              <w:pPr>
                                <w:pStyle w:val="21"/>
                                <w:ind w:firstLine="360"/>
                                <w:jc w:val="center"/>
                              </w:pPr>
                              <w:r>
                                <w:fldChar w:fldCharType="begin"/>
                              </w:r>
                              <w:r>
                                <w:instrText xml:space="preserve">PAGE   \* MERGEFORMAT</w:instrText>
                              </w:r>
                              <w:r>
                                <w:fldChar w:fldCharType="separate"/>
                              </w:r>
                              <w:r>
                                <w:rPr>
                                  <w:lang w:val="zh-CN"/>
                                </w:rPr>
                                <w:t>II</w:t>
                              </w:r>
                              <w:r>
                                <w:fldChar w:fldCharType="end"/>
                              </w:r>
                            </w:p>
                          </w:sdtContent>
                        </w:sdt>
                        <w:p>
                          <w:pPr>
                            <w:pStyle w:val="4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j4t8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Pi3ywCAABXBAAADgAAAAAAAAABACAAAAAfAQAAZHJzL2Uyb0RvYy54bWxQSwUGAAAAAAYA&#10;BgBZAQAAvQUAAAAA&#10;">
              <v:fill on="f" focussize="0,0"/>
              <v:stroke on="f" weight="0.5pt"/>
              <v:imagedata o:title=""/>
              <o:lock v:ext="edit" aspectratio="f"/>
              <v:textbox inset="0mm,0mm,0mm,0mm" style="mso-fit-shape-to-text:t;">
                <w:txbxContent>
                  <w:sdt>
                    <w:sdtPr>
                      <w:id w:val="1715461728"/>
                    </w:sdtPr>
                    <w:sdtContent>
                      <w:p>
                        <w:pPr>
                          <w:pStyle w:val="21"/>
                          <w:ind w:firstLine="360"/>
                          <w:jc w:val="center"/>
                        </w:pPr>
                        <w:r>
                          <w:fldChar w:fldCharType="begin"/>
                        </w:r>
                        <w:r>
                          <w:instrText xml:space="preserve">PAGE   \* MERGEFORMAT</w:instrText>
                        </w:r>
                        <w:r>
                          <w:fldChar w:fldCharType="separate"/>
                        </w:r>
                        <w:r>
                          <w:rPr>
                            <w:lang w:val="zh-CN"/>
                          </w:rPr>
                          <w:t>II</w:t>
                        </w:r>
                        <w:r>
                          <w:fldChar w:fldCharType="end"/>
                        </w:r>
                      </w:p>
                    </w:sdtContent>
                  </w:sdt>
                  <w:p>
                    <w:pPr>
                      <w:pStyle w:val="42"/>
                      <w:ind w:firstLine="480"/>
                    </w:pPr>
                  </w:p>
                </w:txbxContent>
              </v:textbox>
            </v:shape>
          </w:pict>
        </mc:Fallback>
      </mc:AlternateContent>
    </w:r>
  </w:p>
  <w:p>
    <w:pPr>
      <w:ind w:firstLine="420"/>
      <w:jc w:val="center"/>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22993259"/>
                          </w:sdtPr>
                          <w:sdtContent>
                            <w:p>
                              <w:pPr>
                                <w:pStyle w:val="21"/>
                                <w:ind w:firstLine="360"/>
                                <w:jc w:val="center"/>
                              </w:pPr>
                              <w:r>
                                <w:fldChar w:fldCharType="begin"/>
                              </w:r>
                              <w:r>
                                <w:instrText xml:space="preserve">PAGE   \* MERGEFORMAT</w:instrText>
                              </w:r>
                              <w:r>
                                <w:fldChar w:fldCharType="separate"/>
                              </w:r>
                              <w:r>
                                <w:rPr>
                                  <w:lang w:val="zh-CN"/>
                                </w:rPr>
                                <w:t>107</w:t>
                              </w:r>
                              <w:r>
                                <w:fldChar w:fldCharType="end"/>
                              </w:r>
                            </w:p>
                          </w:sdtContent>
                        </w:sdt>
                        <w:p>
                          <w:pPr>
                            <w:pStyle w:val="4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v:fill on="f" focussize="0,0"/>
              <v:stroke on="f" weight="0.5pt"/>
              <v:imagedata o:title=""/>
              <o:lock v:ext="edit" aspectratio="f"/>
              <v:textbox inset="0mm,0mm,0mm,0mm" style="mso-fit-shape-to-text:t;">
                <w:txbxContent>
                  <w:sdt>
                    <w:sdtPr>
                      <w:id w:val="922993259"/>
                    </w:sdtPr>
                    <w:sdtContent>
                      <w:p>
                        <w:pPr>
                          <w:pStyle w:val="21"/>
                          <w:ind w:firstLine="360"/>
                          <w:jc w:val="center"/>
                        </w:pPr>
                        <w:r>
                          <w:fldChar w:fldCharType="begin"/>
                        </w:r>
                        <w:r>
                          <w:instrText xml:space="preserve">PAGE   \* MERGEFORMAT</w:instrText>
                        </w:r>
                        <w:r>
                          <w:fldChar w:fldCharType="separate"/>
                        </w:r>
                        <w:r>
                          <w:rPr>
                            <w:lang w:val="zh-CN"/>
                          </w:rPr>
                          <w:t>107</w:t>
                        </w:r>
                        <w:r>
                          <w:fldChar w:fldCharType="end"/>
                        </w:r>
                      </w:p>
                    </w:sdtContent>
                  </w:sdt>
                  <w:p>
                    <w:pPr>
                      <w:pStyle w:val="42"/>
                      <w:ind w:firstLine="480"/>
                    </w:pPr>
                  </w:p>
                </w:txbxContent>
              </v:textbox>
            </v:shape>
          </w:pict>
        </mc:Fallback>
      </mc:AlternateContent>
    </w:r>
  </w:p>
  <w:p>
    <w:pPr>
      <w:ind w:firstLine="420"/>
      <w:jc w:val="center"/>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0170894"/>
      <w:docPartObj>
        <w:docPartGallery w:val="autotext"/>
      </w:docPartObj>
    </w:sdtPr>
    <w:sdtContent>
      <w:p>
        <w:pPr>
          <w:pStyle w:val="21"/>
          <w:ind w:firstLine="360"/>
          <w:jc w:val="center"/>
        </w:pPr>
        <w:r>
          <w:fldChar w:fldCharType="begin"/>
        </w:r>
        <w:r>
          <w:instrText xml:space="preserve">PAGE   \* MERGEFORMAT</w:instrText>
        </w:r>
        <w:r>
          <w:fldChar w:fldCharType="separate"/>
        </w:r>
        <w:r>
          <w:rPr>
            <w:lang w:val="zh-CN"/>
          </w:rPr>
          <w:t>134</w:t>
        </w:r>
        <w:r>
          <w:fldChar w:fldCharType="end"/>
        </w:r>
      </w:p>
    </w:sdtContent>
  </w:sdt>
  <w:p>
    <w:pPr>
      <w:ind w:firstLine="0" w:firstLineChars="0"/>
      <w:jc w:val="center"/>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p>
  </w:footnote>
  <w:footnote w:type="continuationSeparator" w:id="1">
    <w:p>
      <w:pPr>
        <w:spacing w:line="360" w:lineRule="auto"/>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jc w:val="left"/>
    </w:pPr>
    <w:r>
      <w:rPr>
        <w:rFonts w:hint="eastAsia"/>
      </w:rPr>
      <w:t>连平县“十四五”生态功能保护修复规划（评审稿）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A5FDA"/>
    <w:multiLevelType w:val="multilevel"/>
    <w:tmpl w:val="02FA5FDA"/>
    <w:lvl w:ilvl="0" w:tentative="0">
      <w:start w:val="1"/>
      <w:numFmt w:val="decimal"/>
      <w:lvlText w:val="（%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575D05"/>
    <w:multiLevelType w:val="multilevel"/>
    <w:tmpl w:val="1C575D05"/>
    <w:lvl w:ilvl="0" w:tentative="0">
      <w:start w:val="1"/>
      <w:numFmt w:val="decimal"/>
      <w:pStyle w:val="85"/>
      <w:suff w:val="space"/>
      <w:lvlText w:val="%1"/>
      <w:lvlJc w:val="left"/>
      <w:pPr>
        <w:ind w:left="425" w:hanging="425"/>
      </w:pPr>
      <w:rPr>
        <w:rFonts w:hint="default" w:ascii="Times New Roman" w:hAnsi="Times New Roman" w:cs="Times New Roman"/>
      </w:rPr>
    </w:lvl>
    <w:lvl w:ilvl="1" w:tentative="0">
      <w:start w:val="1"/>
      <w:numFmt w:val="decimal"/>
      <w:pStyle w:val="87"/>
      <w:suff w:val="space"/>
      <w:lvlText w:val="%1.%2"/>
      <w:lvlJc w:val="left"/>
      <w:pPr>
        <w:ind w:left="851" w:hanging="567"/>
      </w:pPr>
      <w:rPr>
        <w:rFonts w:hint="default" w:ascii="Times New Roman" w:hAnsi="Times New Roman" w:cs="Times New Roman"/>
        <w:bCs w:val="0"/>
        <w:i w:val="0"/>
        <w:iCs w:val="0"/>
        <w:caps w:val="0"/>
        <w:smallCaps w:val="0"/>
        <w:strike w:val="0"/>
        <w:dstrike w:val="0"/>
        <w:vanish w:val="0"/>
        <w:color w:val="auto"/>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418" w:hanging="567"/>
      </w:pPr>
      <w:rPr>
        <w:rFonts w:hint="default" w:ascii="Times New Roman" w:hAnsi="Times New Roman" w:cs="Times New Roman"/>
      </w:rPr>
    </w:lvl>
    <w:lvl w:ilvl="3" w:tentative="0">
      <w:start w:val="1"/>
      <w:numFmt w:val="decimal"/>
      <w:pStyle w:val="89"/>
      <w:suff w:val="space"/>
      <w:lvlText w:val="%1.%2.%3.%4"/>
      <w:lvlJc w:val="left"/>
      <w:pPr>
        <w:ind w:left="1984" w:hanging="708"/>
      </w:pPr>
      <w:rPr>
        <w:rFonts w:hint="default" w:ascii="Times New Roman" w:hAnsi="Times New Roman" w:cs="Times New Roman"/>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27D0691"/>
    <w:multiLevelType w:val="multilevel"/>
    <w:tmpl w:val="427D0691"/>
    <w:lvl w:ilvl="0" w:tentative="0">
      <w:start w:val="1"/>
      <w:numFmt w:val="decimal"/>
      <w:lvlText w:val="%1"/>
      <w:lvlJc w:val="left"/>
      <w:pPr>
        <w:tabs>
          <w:tab w:val="left" w:pos="432"/>
        </w:tabs>
        <w:ind w:left="432" w:hanging="432"/>
      </w:pPr>
      <w:rPr>
        <w:rFonts w:hint="eastAsia"/>
      </w:rPr>
    </w:lvl>
    <w:lvl w:ilvl="1" w:tentative="0">
      <w:start w:val="1"/>
      <w:numFmt w:val="decimal"/>
      <w:pStyle w:val="130"/>
      <w:lvlText w:val="%1.%2"/>
      <w:lvlJc w:val="left"/>
      <w:pPr>
        <w:tabs>
          <w:tab w:val="left" w:pos="576"/>
        </w:tabs>
        <w:ind w:left="576" w:hanging="576"/>
      </w:pPr>
      <w:rPr>
        <w:rFonts w:hint="default" w:ascii="Times New Roman" w:hAnsi="Times New Roman" w:eastAsia="黑体"/>
      </w:rPr>
    </w:lvl>
    <w:lvl w:ilvl="2" w:tentative="0">
      <w:start w:val="1"/>
      <w:numFmt w:val="decimal"/>
      <w:pStyle w:val="131"/>
      <w:lvlText w:val="%1.%2.%3"/>
      <w:lvlJc w:val="left"/>
      <w:pPr>
        <w:tabs>
          <w:tab w:val="left" w:pos="1080"/>
        </w:tabs>
        <w:ind w:left="720" w:hanging="720"/>
      </w:pPr>
      <w:rPr>
        <w:rFonts w:hint="default" w:ascii="Times New Roman" w:hAnsi="Times New Roman" w:eastAsia="黑体"/>
      </w:rPr>
    </w:lvl>
    <w:lvl w:ilvl="3" w:tentative="0">
      <w:start w:val="1"/>
      <w:numFmt w:val="decimal"/>
      <w:pStyle w:val="132"/>
      <w:isLgl/>
      <w:lvlText w:val="%1.%2.%3.%4"/>
      <w:lvlJc w:val="left"/>
      <w:pPr>
        <w:tabs>
          <w:tab w:val="left" w:pos="864"/>
        </w:tabs>
        <w:ind w:left="864" w:hanging="864"/>
      </w:pPr>
      <w:rPr>
        <w:rFonts w:hint="eastAsia"/>
      </w:rPr>
    </w:lvl>
    <w:lvl w:ilvl="4" w:tentative="0">
      <w:start w:val="1"/>
      <w:numFmt w:val="decimal"/>
      <w:pStyle w:val="133"/>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48B47600"/>
    <w:multiLevelType w:val="multilevel"/>
    <w:tmpl w:val="48B47600"/>
    <w:lvl w:ilvl="0" w:tentative="0">
      <w:start w:val="1"/>
      <w:numFmt w:val="decimal"/>
      <w:lvlText w:val="（%1）"/>
      <w:lvlJc w:val="left"/>
      <w:pPr>
        <w:ind w:left="846"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EF"/>
    <w:rsid w:val="000004FA"/>
    <w:rsid w:val="0000051A"/>
    <w:rsid w:val="00000531"/>
    <w:rsid w:val="0000075E"/>
    <w:rsid w:val="0000080B"/>
    <w:rsid w:val="00000C9F"/>
    <w:rsid w:val="00000D92"/>
    <w:rsid w:val="00000F2F"/>
    <w:rsid w:val="00001111"/>
    <w:rsid w:val="00001149"/>
    <w:rsid w:val="00001594"/>
    <w:rsid w:val="00001A54"/>
    <w:rsid w:val="00001EA6"/>
    <w:rsid w:val="00001F01"/>
    <w:rsid w:val="00002715"/>
    <w:rsid w:val="00002781"/>
    <w:rsid w:val="000029D8"/>
    <w:rsid w:val="00002D19"/>
    <w:rsid w:val="00002D85"/>
    <w:rsid w:val="00002DF5"/>
    <w:rsid w:val="0000300C"/>
    <w:rsid w:val="00003034"/>
    <w:rsid w:val="000031D6"/>
    <w:rsid w:val="00003319"/>
    <w:rsid w:val="000034C2"/>
    <w:rsid w:val="000034CF"/>
    <w:rsid w:val="00003665"/>
    <w:rsid w:val="0000371B"/>
    <w:rsid w:val="0000393C"/>
    <w:rsid w:val="00003AC4"/>
    <w:rsid w:val="00003E5C"/>
    <w:rsid w:val="000044E0"/>
    <w:rsid w:val="000046A1"/>
    <w:rsid w:val="00004C9A"/>
    <w:rsid w:val="000053DE"/>
    <w:rsid w:val="00005402"/>
    <w:rsid w:val="00005B8A"/>
    <w:rsid w:val="00005C22"/>
    <w:rsid w:val="00005D39"/>
    <w:rsid w:val="00005D7A"/>
    <w:rsid w:val="00005D88"/>
    <w:rsid w:val="00005D8C"/>
    <w:rsid w:val="000062B6"/>
    <w:rsid w:val="000063A3"/>
    <w:rsid w:val="00006AB8"/>
    <w:rsid w:val="00006BA4"/>
    <w:rsid w:val="0000706F"/>
    <w:rsid w:val="00007492"/>
    <w:rsid w:val="00007F1D"/>
    <w:rsid w:val="00007FC1"/>
    <w:rsid w:val="00010229"/>
    <w:rsid w:val="000105D2"/>
    <w:rsid w:val="00010EF8"/>
    <w:rsid w:val="00010FF1"/>
    <w:rsid w:val="000115F0"/>
    <w:rsid w:val="0001246C"/>
    <w:rsid w:val="00012533"/>
    <w:rsid w:val="00012C50"/>
    <w:rsid w:val="00012DC7"/>
    <w:rsid w:val="00012FB2"/>
    <w:rsid w:val="00013023"/>
    <w:rsid w:val="0001328F"/>
    <w:rsid w:val="000133BF"/>
    <w:rsid w:val="000136BA"/>
    <w:rsid w:val="000138BB"/>
    <w:rsid w:val="00013BF4"/>
    <w:rsid w:val="00013D3D"/>
    <w:rsid w:val="000142F7"/>
    <w:rsid w:val="000146D7"/>
    <w:rsid w:val="000146ED"/>
    <w:rsid w:val="00014720"/>
    <w:rsid w:val="0001480E"/>
    <w:rsid w:val="000148F4"/>
    <w:rsid w:val="000149B4"/>
    <w:rsid w:val="00014A70"/>
    <w:rsid w:val="00014C5B"/>
    <w:rsid w:val="00014C71"/>
    <w:rsid w:val="00014CCB"/>
    <w:rsid w:val="000151D2"/>
    <w:rsid w:val="0001524F"/>
    <w:rsid w:val="00015536"/>
    <w:rsid w:val="000156BF"/>
    <w:rsid w:val="00015FA0"/>
    <w:rsid w:val="00016002"/>
    <w:rsid w:val="00016320"/>
    <w:rsid w:val="0001664F"/>
    <w:rsid w:val="00016A6F"/>
    <w:rsid w:val="000172A1"/>
    <w:rsid w:val="0001794E"/>
    <w:rsid w:val="00017C74"/>
    <w:rsid w:val="00017E59"/>
    <w:rsid w:val="00020441"/>
    <w:rsid w:val="000206AB"/>
    <w:rsid w:val="00020855"/>
    <w:rsid w:val="00020B5D"/>
    <w:rsid w:val="0002126E"/>
    <w:rsid w:val="00021765"/>
    <w:rsid w:val="00021831"/>
    <w:rsid w:val="00021A85"/>
    <w:rsid w:val="00022191"/>
    <w:rsid w:val="00022EA5"/>
    <w:rsid w:val="0002306D"/>
    <w:rsid w:val="000233AA"/>
    <w:rsid w:val="00023BF6"/>
    <w:rsid w:val="00024439"/>
    <w:rsid w:val="000244EB"/>
    <w:rsid w:val="000246D1"/>
    <w:rsid w:val="0002499F"/>
    <w:rsid w:val="00024FE1"/>
    <w:rsid w:val="000251CB"/>
    <w:rsid w:val="00025408"/>
    <w:rsid w:val="00025573"/>
    <w:rsid w:val="00025681"/>
    <w:rsid w:val="000257ED"/>
    <w:rsid w:val="000259EA"/>
    <w:rsid w:val="000262E2"/>
    <w:rsid w:val="00026396"/>
    <w:rsid w:val="00026A1A"/>
    <w:rsid w:val="00026BBD"/>
    <w:rsid w:val="00026CBF"/>
    <w:rsid w:val="00026DB6"/>
    <w:rsid w:val="00027190"/>
    <w:rsid w:val="0002755F"/>
    <w:rsid w:val="0002770E"/>
    <w:rsid w:val="00027964"/>
    <w:rsid w:val="00027AF8"/>
    <w:rsid w:val="00027E3B"/>
    <w:rsid w:val="00027EEC"/>
    <w:rsid w:val="000301CD"/>
    <w:rsid w:val="000302B8"/>
    <w:rsid w:val="00030776"/>
    <w:rsid w:val="00030B03"/>
    <w:rsid w:val="00031178"/>
    <w:rsid w:val="00031181"/>
    <w:rsid w:val="0003145A"/>
    <w:rsid w:val="00031A39"/>
    <w:rsid w:val="00032158"/>
    <w:rsid w:val="000322F8"/>
    <w:rsid w:val="0003280C"/>
    <w:rsid w:val="00032A7E"/>
    <w:rsid w:val="00032E4A"/>
    <w:rsid w:val="00032F0F"/>
    <w:rsid w:val="000337CF"/>
    <w:rsid w:val="0003398A"/>
    <w:rsid w:val="00033CDF"/>
    <w:rsid w:val="00033F51"/>
    <w:rsid w:val="000340FB"/>
    <w:rsid w:val="00034507"/>
    <w:rsid w:val="000347B1"/>
    <w:rsid w:val="0003555F"/>
    <w:rsid w:val="000355C3"/>
    <w:rsid w:val="00035685"/>
    <w:rsid w:val="00035713"/>
    <w:rsid w:val="00035998"/>
    <w:rsid w:val="0003624E"/>
    <w:rsid w:val="00036812"/>
    <w:rsid w:val="00036851"/>
    <w:rsid w:val="00036947"/>
    <w:rsid w:val="00036963"/>
    <w:rsid w:val="0003775B"/>
    <w:rsid w:val="00037797"/>
    <w:rsid w:val="00037B49"/>
    <w:rsid w:val="000409B7"/>
    <w:rsid w:val="00040CC3"/>
    <w:rsid w:val="00040E05"/>
    <w:rsid w:val="00041A5D"/>
    <w:rsid w:val="00041CA9"/>
    <w:rsid w:val="00041D96"/>
    <w:rsid w:val="00041DEE"/>
    <w:rsid w:val="00041E00"/>
    <w:rsid w:val="00042176"/>
    <w:rsid w:val="000422B2"/>
    <w:rsid w:val="000427BA"/>
    <w:rsid w:val="000429FC"/>
    <w:rsid w:val="00042D3E"/>
    <w:rsid w:val="0004302E"/>
    <w:rsid w:val="00043198"/>
    <w:rsid w:val="000433DC"/>
    <w:rsid w:val="00044770"/>
    <w:rsid w:val="000447EA"/>
    <w:rsid w:val="000448D8"/>
    <w:rsid w:val="000449D2"/>
    <w:rsid w:val="00044B1C"/>
    <w:rsid w:val="00045169"/>
    <w:rsid w:val="000451E3"/>
    <w:rsid w:val="0004554E"/>
    <w:rsid w:val="00045618"/>
    <w:rsid w:val="00045697"/>
    <w:rsid w:val="00045C7E"/>
    <w:rsid w:val="00046169"/>
    <w:rsid w:val="000464FA"/>
    <w:rsid w:val="00046CAB"/>
    <w:rsid w:val="00046DC3"/>
    <w:rsid w:val="00047228"/>
    <w:rsid w:val="00047DE6"/>
    <w:rsid w:val="00047F2D"/>
    <w:rsid w:val="0005012A"/>
    <w:rsid w:val="00050378"/>
    <w:rsid w:val="000505BF"/>
    <w:rsid w:val="000508A3"/>
    <w:rsid w:val="00050A34"/>
    <w:rsid w:val="00050C08"/>
    <w:rsid w:val="00050DE6"/>
    <w:rsid w:val="0005119E"/>
    <w:rsid w:val="000517A3"/>
    <w:rsid w:val="00051E41"/>
    <w:rsid w:val="00052118"/>
    <w:rsid w:val="0005213C"/>
    <w:rsid w:val="0005248C"/>
    <w:rsid w:val="00052708"/>
    <w:rsid w:val="00052903"/>
    <w:rsid w:val="000529B1"/>
    <w:rsid w:val="00052B5D"/>
    <w:rsid w:val="00052DD9"/>
    <w:rsid w:val="00052E30"/>
    <w:rsid w:val="00052E81"/>
    <w:rsid w:val="00052F40"/>
    <w:rsid w:val="000530B6"/>
    <w:rsid w:val="000539B5"/>
    <w:rsid w:val="00054250"/>
    <w:rsid w:val="00054291"/>
    <w:rsid w:val="000543FD"/>
    <w:rsid w:val="00054968"/>
    <w:rsid w:val="00055061"/>
    <w:rsid w:val="00055B48"/>
    <w:rsid w:val="00055D31"/>
    <w:rsid w:val="00055F1A"/>
    <w:rsid w:val="0005620C"/>
    <w:rsid w:val="000562AE"/>
    <w:rsid w:val="00056502"/>
    <w:rsid w:val="00056FAA"/>
    <w:rsid w:val="0005713F"/>
    <w:rsid w:val="000572D6"/>
    <w:rsid w:val="00057E63"/>
    <w:rsid w:val="00057F6D"/>
    <w:rsid w:val="00060873"/>
    <w:rsid w:val="00060945"/>
    <w:rsid w:val="00060A0A"/>
    <w:rsid w:val="00060BE7"/>
    <w:rsid w:val="0006167A"/>
    <w:rsid w:val="00061700"/>
    <w:rsid w:val="00061897"/>
    <w:rsid w:val="0006191B"/>
    <w:rsid w:val="000619A7"/>
    <w:rsid w:val="00061FD3"/>
    <w:rsid w:val="0006207F"/>
    <w:rsid w:val="0006237D"/>
    <w:rsid w:val="000628F8"/>
    <w:rsid w:val="00062A2E"/>
    <w:rsid w:val="00062A6B"/>
    <w:rsid w:val="00062DF9"/>
    <w:rsid w:val="000631DA"/>
    <w:rsid w:val="000633EF"/>
    <w:rsid w:val="000635E7"/>
    <w:rsid w:val="00063C32"/>
    <w:rsid w:val="00063C5B"/>
    <w:rsid w:val="00063C77"/>
    <w:rsid w:val="00063EFB"/>
    <w:rsid w:val="00064136"/>
    <w:rsid w:val="0006496A"/>
    <w:rsid w:val="00064E17"/>
    <w:rsid w:val="00065EBD"/>
    <w:rsid w:val="00066429"/>
    <w:rsid w:val="00066476"/>
    <w:rsid w:val="000668FE"/>
    <w:rsid w:val="00066D39"/>
    <w:rsid w:val="00066EA6"/>
    <w:rsid w:val="00066FE2"/>
    <w:rsid w:val="00067179"/>
    <w:rsid w:val="0006774E"/>
    <w:rsid w:val="00067B79"/>
    <w:rsid w:val="000700B7"/>
    <w:rsid w:val="00070592"/>
    <w:rsid w:val="000706F0"/>
    <w:rsid w:val="000710BB"/>
    <w:rsid w:val="0007119B"/>
    <w:rsid w:val="00071377"/>
    <w:rsid w:val="000718E8"/>
    <w:rsid w:val="00071DC0"/>
    <w:rsid w:val="00071F43"/>
    <w:rsid w:val="0007233F"/>
    <w:rsid w:val="00072B0A"/>
    <w:rsid w:val="00072C3F"/>
    <w:rsid w:val="00072FB1"/>
    <w:rsid w:val="00073114"/>
    <w:rsid w:val="000731D0"/>
    <w:rsid w:val="0007386F"/>
    <w:rsid w:val="00073E26"/>
    <w:rsid w:val="0007464C"/>
    <w:rsid w:val="0007489D"/>
    <w:rsid w:val="00074AB5"/>
    <w:rsid w:val="00074C43"/>
    <w:rsid w:val="00074FA9"/>
    <w:rsid w:val="00075331"/>
    <w:rsid w:val="00075789"/>
    <w:rsid w:val="000757F7"/>
    <w:rsid w:val="00075935"/>
    <w:rsid w:val="00075DF5"/>
    <w:rsid w:val="00075E06"/>
    <w:rsid w:val="00076384"/>
    <w:rsid w:val="00077044"/>
    <w:rsid w:val="000770FE"/>
    <w:rsid w:val="000774AC"/>
    <w:rsid w:val="000774FE"/>
    <w:rsid w:val="00077533"/>
    <w:rsid w:val="0007762B"/>
    <w:rsid w:val="00077989"/>
    <w:rsid w:val="00077AD1"/>
    <w:rsid w:val="00080007"/>
    <w:rsid w:val="00080364"/>
    <w:rsid w:val="00080434"/>
    <w:rsid w:val="00080ABE"/>
    <w:rsid w:val="00080B33"/>
    <w:rsid w:val="00080E29"/>
    <w:rsid w:val="00080FBC"/>
    <w:rsid w:val="000810AE"/>
    <w:rsid w:val="00081273"/>
    <w:rsid w:val="000812E8"/>
    <w:rsid w:val="0008157B"/>
    <w:rsid w:val="00081FB5"/>
    <w:rsid w:val="0008247D"/>
    <w:rsid w:val="0008274A"/>
    <w:rsid w:val="00082769"/>
    <w:rsid w:val="000829A2"/>
    <w:rsid w:val="00082BC2"/>
    <w:rsid w:val="00083738"/>
    <w:rsid w:val="00083AF7"/>
    <w:rsid w:val="00083B4B"/>
    <w:rsid w:val="00083C10"/>
    <w:rsid w:val="00083D2F"/>
    <w:rsid w:val="00083F4D"/>
    <w:rsid w:val="0008492B"/>
    <w:rsid w:val="00084AF9"/>
    <w:rsid w:val="00084BFD"/>
    <w:rsid w:val="00084D7C"/>
    <w:rsid w:val="0008503B"/>
    <w:rsid w:val="0008504A"/>
    <w:rsid w:val="00085691"/>
    <w:rsid w:val="00085D5C"/>
    <w:rsid w:val="000860F8"/>
    <w:rsid w:val="0008627C"/>
    <w:rsid w:val="000862F2"/>
    <w:rsid w:val="000864F0"/>
    <w:rsid w:val="00086A17"/>
    <w:rsid w:val="00086A4B"/>
    <w:rsid w:val="00086C2E"/>
    <w:rsid w:val="00086CDB"/>
    <w:rsid w:val="000879AD"/>
    <w:rsid w:val="000879B1"/>
    <w:rsid w:val="00090566"/>
    <w:rsid w:val="0009074F"/>
    <w:rsid w:val="0009089E"/>
    <w:rsid w:val="000908BA"/>
    <w:rsid w:val="00090DDF"/>
    <w:rsid w:val="00090EB9"/>
    <w:rsid w:val="00090F30"/>
    <w:rsid w:val="000910CA"/>
    <w:rsid w:val="0009127C"/>
    <w:rsid w:val="00091A3B"/>
    <w:rsid w:val="00091AC0"/>
    <w:rsid w:val="00091DA2"/>
    <w:rsid w:val="000921BC"/>
    <w:rsid w:val="00092588"/>
    <w:rsid w:val="000926FA"/>
    <w:rsid w:val="00092BBD"/>
    <w:rsid w:val="00092BD5"/>
    <w:rsid w:val="00092EA6"/>
    <w:rsid w:val="000932D5"/>
    <w:rsid w:val="0009338D"/>
    <w:rsid w:val="000934F4"/>
    <w:rsid w:val="00093847"/>
    <w:rsid w:val="00093AC0"/>
    <w:rsid w:val="00093BE9"/>
    <w:rsid w:val="00093DF2"/>
    <w:rsid w:val="000940C9"/>
    <w:rsid w:val="000946EA"/>
    <w:rsid w:val="000951CE"/>
    <w:rsid w:val="000953B1"/>
    <w:rsid w:val="0009545C"/>
    <w:rsid w:val="0009560B"/>
    <w:rsid w:val="00095669"/>
    <w:rsid w:val="0009596E"/>
    <w:rsid w:val="00095B97"/>
    <w:rsid w:val="00095C36"/>
    <w:rsid w:val="00095D10"/>
    <w:rsid w:val="00095D3B"/>
    <w:rsid w:val="000961CF"/>
    <w:rsid w:val="00096495"/>
    <w:rsid w:val="000968D4"/>
    <w:rsid w:val="00096AA6"/>
    <w:rsid w:val="00096D8B"/>
    <w:rsid w:val="00096FD7"/>
    <w:rsid w:val="00097126"/>
    <w:rsid w:val="0009731D"/>
    <w:rsid w:val="00097752"/>
    <w:rsid w:val="000977BC"/>
    <w:rsid w:val="00097A71"/>
    <w:rsid w:val="00097A93"/>
    <w:rsid w:val="00097C67"/>
    <w:rsid w:val="00097D44"/>
    <w:rsid w:val="000A0DE2"/>
    <w:rsid w:val="000A0EAA"/>
    <w:rsid w:val="000A12C3"/>
    <w:rsid w:val="000A12DA"/>
    <w:rsid w:val="000A1689"/>
    <w:rsid w:val="000A1772"/>
    <w:rsid w:val="000A1847"/>
    <w:rsid w:val="000A1C67"/>
    <w:rsid w:val="000A1E49"/>
    <w:rsid w:val="000A1FB2"/>
    <w:rsid w:val="000A1FC8"/>
    <w:rsid w:val="000A2016"/>
    <w:rsid w:val="000A22FE"/>
    <w:rsid w:val="000A2405"/>
    <w:rsid w:val="000A249F"/>
    <w:rsid w:val="000A2976"/>
    <w:rsid w:val="000A2B9E"/>
    <w:rsid w:val="000A2C6F"/>
    <w:rsid w:val="000A2CC0"/>
    <w:rsid w:val="000A30A5"/>
    <w:rsid w:val="000A32CD"/>
    <w:rsid w:val="000A3565"/>
    <w:rsid w:val="000A3A0D"/>
    <w:rsid w:val="000A3A33"/>
    <w:rsid w:val="000A4398"/>
    <w:rsid w:val="000A46DE"/>
    <w:rsid w:val="000A470F"/>
    <w:rsid w:val="000A486A"/>
    <w:rsid w:val="000A4880"/>
    <w:rsid w:val="000A48F1"/>
    <w:rsid w:val="000A5366"/>
    <w:rsid w:val="000A55EA"/>
    <w:rsid w:val="000A5B49"/>
    <w:rsid w:val="000A6234"/>
    <w:rsid w:val="000A635C"/>
    <w:rsid w:val="000A63B5"/>
    <w:rsid w:val="000A6D23"/>
    <w:rsid w:val="000A73FD"/>
    <w:rsid w:val="000A752C"/>
    <w:rsid w:val="000A78C7"/>
    <w:rsid w:val="000A7B5B"/>
    <w:rsid w:val="000B03BE"/>
    <w:rsid w:val="000B0938"/>
    <w:rsid w:val="000B0E75"/>
    <w:rsid w:val="000B13D7"/>
    <w:rsid w:val="000B1416"/>
    <w:rsid w:val="000B14C0"/>
    <w:rsid w:val="000B1C25"/>
    <w:rsid w:val="000B1E35"/>
    <w:rsid w:val="000B2421"/>
    <w:rsid w:val="000B2C48"/>
    <w:rsid w:val="000B31BE"/>
    <w:rsid w:val="000B3301"/>
    <w:rsid w:val="000B3575"/>
    <w:rsid w:val="000B40C0"/>
    <w:rsid w:val="000B45AE"/>
    <w:rsid w:val="000B4938"/>
    <w:rsid w:val="000B4942"/>
    <w:rsid w:val="000B58EA"/>
    <w:rsid w:val="000B5C63"/>
    <w:rsid w:val="000B6D85"/>
    <w:rsid w:val="000B6FA1"/>
    <w:rsid w:val="000B7AF9"/>
    <w:rsid w:val="000C025F"/>
    <w:rsid w:val="000C02A0"/>
    <w:rsid w:val="000C0453"/>
    <w:rsid w:val="000C04FD"/>
    <w:rsid w:val="000C051A"/>
    <w:rsid w:val="000C0628"/>
    <w:rsid w:val="000C0830"/>
    <w:rsid w:val="000C08CB"/>
    <w:rsid w:val="000C093C"/>
    <w:rsid w:val="000C0BB9"/>
    <w:rsid w:val="000C1A7D"/>
    <w:rsid w:val="000C1F38"/>
    <w:rsid w:val="000C25AE"/>
    <w:rsid w:val="000C265D"/>
    <w:rsid w:val="000C2727"/>
    <w:rsid w:val="000C2AE2"/>
    <w:rsid w:val="000C2FD3"/>
    <w:rsid w:val="000C301A"/>
    <w:rsid w:val="000C3176"/>
    <w:rsid w:val="000C3B72"/>
    <w:rsid w:val="000C3E6A"/>
    <w:rsid w:val="000C3EA0"/>
    <w:rsid w:val="000C420A"/>
    <w:rsid w:val="000C478D"/>
    <w:rsid w:val="000C4E20"/>
    <w:rsid w:val="000C51D6"/>
    <w:rsid w:val="000C56C1"/>
    <w:rsid w:val="000C57EE"/>
    <w:rsid w:val="000C610D"/>
    <w:rsid w:val="000C65C5"/>
    <w:rsid w:val="000C66AC"/>
    <w:rsid w:val="000C6DA5"/>
    <w:rsid w:val="000C6E78"/>
    <w:rsid w:val="000C73C2"/>
    <w:rsid w:val="000C7607"/>
    <w:rsid w:val="000C7651"/>
    <w:rsid w:val="000C7B7B"/>
    <w:rsid w:val="000C7BC2"/>
    <w:rsid w:val="000C7BC4"/>
    <w:rsid w:val="000C7C8D"/>
    <w:rsid w:val="000C7E1E"/>
    <w:rsid w:val="000C7E7B"/>
    <w:rsid w:val="000D00A3"/>
    <w:rsid w:val="000D053F"/>
    <w:rsid w:val="000D0550"/>
    <w:rsid w:val="000D063D"/>
    <w:rsid w:val="000D0F5F"/>
    <w:rsid w:val="000D186C"/>
    <w:rsid w:val="000D18EB"/>
    <w:rsid w:val="000D2277"/>
    <w:rsid w:val="000D23CC"/>
    <w:rsid w:val="000D299B"/>
    <w:rsid w:val="000D29D1"/>
    <w:rsid w:val="000D2BE7"/>
    <w:rsid w:val="000D2FFF"/>
    <w:rsid w:val="000D3209"/>
    <w:rsid w:val="000D34DF"/>
    <w:rsid w:val="000D391D"/>
    <w:rsid w:val="000D4019"/>
    <w:rsid w:val="000D434D"/>
    <w:rsid w:val="000D48C7"/>
    <w:rsid w:val="000D4BFB"/>
    <w:rsid w:val="000D55DD"/>
    <w:rsid w:val="000D57AB"/>
    <w:rsid w:val="000D59C8"/>
    <w:rsid w:val="000D5B85"/>
    <w:rsid w:val="000D6DE9"/>
    <w:rsid w:val="000D7083"/>
    <w:rsid w:val="000D77C1"/>
    <w:rsid w:val="000D78CC"/>
    <w:rsid w:val="000D7EC5"/>
    <w:rsid w:val="000D7F13"/>
    <w:rsid w:val="000D7F44"/>
    <w:rsid w:val="000E09F5"/>
    <w:rsid w:val="000E0BDA"/>
    <w:rsid w:val="000E10BA"/>
    <w:rsid w:val="000E110F"/>
    <w:rsid w:val="000E1111"/>
    <w:rsid w:val="000E1682"/>
    <w:rsid w:val="000E169B"/>
    <w:rsid w:val="000E1794"/>
    <w:rsid w:val="000E1C97"/>
    <w:rsid w:val="000E1EFD"/>
    <w:rsid w:val="000E21BC"/>
    <w:rsid w:val="000E2654"/>
    <w:rsid w:val="000E2B4C"/>
    <w:rsid w:val="000E3052"/>
    <w:rsid w:val="000E31A9"/>
    <w:rsid w:val="000E3243"/>
    <w:rsid w:val="000E3720"/>
    <w:rsid w:val="000E3944"/>
    <w:rsid w:val="000E39F5"/>
    <w:rsid w:val="000E3C39"/>
    <w:rsid w:val="000E3E3C"/>
    <w:rsid w:val="000E4981"/>
    <w:rsid w:val="000E4A67"/>
    <w:rsid w:val="000E5026"/>
    <w:rsid w:val="000E555F"/>
    <w:rsid w:val="000E5859"/>
    <w:rsid w:val="000E5B7F"/>
    <w:rsid w:val="000E5C6E"/>
    <w:rsid w:val="000E5D85"/>
    <w:rsid w:val="000E5F46"/>
    <w:rsid w:val="000E618C"/>
    <w:rsid w:val="000E630C"/>
    <w:rsid w:val="000E64D7"/>
    <w:rsid w:val="000E6504"/>
    <w:rsid w:val="000E69F7"/>
    <w:rsid w:val="000E6CCA"/>
    <w:rsid w:val="000E70ED"/>
    <w:rsid w:val="000E742A"/>
    <w:rsid w:val="000E7CDB"/>
    <w:rsid w:val="000E7F1C"/>
    <w:rsid w:val="000F01FD"/>
    <w:rsid w:val="000F036A"/>
    <w:rsid w:val="000F0617"/>
    <w:rsid w:val="000F0A91"/>
    <w:rsid w:val="000F0C62"/>
    <w:rsid w:val="000F0C64"/>
    <w:rsid w:val="000F0CE1"/>
    <w:rsid w:val="000F12B8"/>
    <w:rsid w:val="000F1800"/>
    <w:rsid w:val="000F1890"/>
    <w:rsid w:val="000F19CD"/>
    <w:rsid w:val="000F1A42"/>
    <w:rsid w:val="000F1F12"/>
    <w:rsid w:val="000F27F8"/>
    <w:rsid w:val="000F2B92"/>
    <w:rsid w:val="000F2BBC"/>
    <w:rsid w:val="000F2C05"/>
    <w:rsid w:val="000F3154"/>
    <w:rsid w:val="000F3444"/>
    <w:rsid w:val="000F37E7"/>
    <w:rsid w:val="000F3F73"/>
    <w:rsid w:val="000F424D"/>
    <w:rsid w:val="000F425D"/>
    <w:rsid w:val="000F45EA"/>
    <w:rsid w:val="000F4B2C"/>
    <w:rsid w:val="000F4F93"/>
    <w:rsid w:val="000F5101"/>
    <w:rsid w:val="000F517F"/>
    <w:rsid w:val="000F5A9C"/>
    <w:rsid w:val="000F5BC3"/>
    <w:rsid w:val="000F5CF8"/>
    <w:rsid w:val="000F6251"/>
    <w:rsid w:val="000F662D"/>
    <w:rsid w:val="000F674F"/>
    <w:rsid w:val="000F778B"/>
    <w:rsid w:val="000F78E3"/>
    <w:rsid w:val="000F7D4D"/>
    <w:rsid w:val="001003D9"/>
    <w:rsid w:val="00100412"/>
    <w:rsid w:val="00100558"/>
    <w:rsid w:val="00100911"/>
    <w:rsid w:val="00100B12"/>
    <w:rsid w:val="00101652"/>
    <w:rsid w:val="00101689"/>
    <w:rsid w:val="0010170C"/>
    <w:rsid w:val="0010181B"/>
    <w:rsid w:val="00102454"/>
    <w:rsid w:val="00102460"/>
    <w:rsid w:val="0010265D"/>
    <w:rsid w:val="00102685"/>
    <w:rsid w:val="001027C2"/>
    <w:rsid w:val="001027F2"/>
    <w:rsid w:val="0010297D"/>
    <w:rsid w:val="00102E33"/>
    <w:rsid w:val="00103A5A"/>
    <w:rsid w:val="00103B68"/>
    <w:rsid w:val="001041A2"/>
    <w:rsid w:val="0010434D"/>
    <w:rsid w:val="00104D58"/>
    <w:rsid w:val="001050BA"/>
    <w:rsid w:val="0010529C"/>
    <w:rsid w:val="00105348"/>
    <w:rsid w:val="0010537E"/>
    <w:rsid w:val="00105AC9"/>
    <w:rsid w:val="00105D88"/>
    <w:rsid w:val="00106302"/>
    <w:rsid w:val="001063AF"/>
    <w:rsid w:val="001064E1"/>
    <w:rsid w:val="0010669A"/>
    <w:rsid w:val="00106967"/>
    <w:rsid w:val="00106A98"/>
    <w:rsid w:val="00106C7C"/>
    <w:rsid w:val="00106CFB"/>
    <w:rsid w:val="00106D6A"/>
    <w:rsid w:val="00106F62"/>
    <w:rsid w:val="001070B2"/>
    <w:rsid w:val="001070DD"/>
    <w:rsid w:val="001073CE"/>
    <w:rsid w:val="00107C39"/>
    <w:rsid w:val="00107CC6"/>
    <w:rsid w:val="00107EC0"/>
    <w:rsid w:val="0011139A"/>
    <w:rsid w:val="00111477"/>
    <w:rsid w:val="001119AB"/>
    <w:rsid w:val="00111BD9"/>
    <w:rsid w:val="00111D1B"/>
    <w:rsid w:val="001120E7"/>
    <w:rsid w:val="001128E0"/>
    <w:rsid w:val="001129A9"/>
    <w:rsid w:val="00112E3D"/>
    <w:rsid w:val="001132E3"/>
    <w:rsid w:val="001139B9"/>
    <w:rsid w:val="00113AA1"/>
    <w:rsid w:val="00113BC8"/>
    <w:rsid w:val="00113D01"/>
    <w:rsid w:val="00114036"/>
    <w:rsid w:val="00114067"/>
    <w:rsid w:val="001143AE"/>
    <w:rsid w:val="0011453F"/>
    <w:rsid w:val="0011468F"/>
    <w:rsid w:val="00114BBA"/>
    <w:rsid w:val="00114D9A"/>
    <w:rsid w:val="00114EC9"/>
    <w:rsid w:val="00115419"/>
    <w:rsid w:val="001158D2"/>
    <w:rsid w:val="00115C8B"/>
    <w:rsid w:val="00116144"/>
    <w:rsid w:val="00116577"/>
    <w:rsid w:val="00116993"/>
    <w:rsid w:val="00116B37"/>
    <w:rsid w:val="00116D08"/>
    <w:rsid w:val="00116E17"/>
    <w:rsid w:val="001172C4"/>
    <w:rsid w:val="001173AA"/>
    <w:rsid w:val="00117771"/>
    <w:rsid w:val="00117A93"/>
    <w:rsid w:val="00117BBC"/>
    <w:rsid w:val="00117FA7"/>
    <w:rsid w:val="001200B1"/>
    <w:rsid w:val="0012026F"/>
    <w:rsid w:val="00120484"/>
    <w:rsid w:val="001206E9"/>
    <w:rsid w:val="00120747"/>
    <w:rsid w:val="00120B33"/>
    <w:rsid w:val="0012155A"/>
    <w:rsid w:val="00121BAD"/>
    <w:rsid w:val="00121FF2"/>
    <w:rsid w:val="0012201F"/>
    <w:rsid w:val="001220ED"/>
    <w:rsid w:val="00122178"/>
    <w:rsid w:val="0012285B"/>
    <w:rsid w:val="00122DA6"/>
    <w:rsid w:val="0012305E"/>
    <w:rsid w:val="001234F1"/>
    <w:rsid w:val="00123C77"/>
    <w:rsid w:val="00123FEC"/>
    <w:rsid w:val="001241A0"/>
    <w:rsid w:val="001241CE"/>
    <w:rsid w:val="0012465E"/>
    <w:rsid w:val="0012486A"/>
    <w:rsid w:val="00124AE1"/>
    <w:rsid w:val="00124CC3"/>
    <w:rsid w:val="00124DC0"/>
    <w:rsid w:val="00124DEF"/>
    <w:rsid w:val="00124F64"/>
    <w:rsid w:val="001252B0"/>
    <w:rsid w:val="001252C6"/>
    <w:rsid w:val="001254EC"/>
    <w:rsid w:val="00125838"/>
    <w:rsid w:val="00125EB0"/>
    <w:rsid w:val="001261C9"/>
    <w:rsid w:val="00126509"/>
    <w:rsid w:val="00126705"/>
    <w:rsid w:val="00126C9B"/>
    <w:rsid w:val="001272AB"/>
    <w:rsid w:val="001273DE"/>
    <w:rsid w:val="00127852"/>
    <w:rsid w:val="00127CB9"/>
    <w:rsid w:val="0013018D"/>
    <w:rsid w:val="00130224"/>
    <w:rsid w:val="00130345"/>
    <w:rsid w:val="0013043B"/>
    <w:rsid w:val="0013043D"/>
    <w:rsid w:val="001307C4"/>
    <w:rsid w:val="001308C5"/>
    <w:rsid w:val="00130BE1"/>
    <w:rsid w:val="0013122A"/>
    <w:rsid w:val="00131344"/>
    <w:rsid w:val="001320DE"/>
    <w:rsid w:val="00132A75"/>
    <w:rsid w:val="00132ACD"/>
    <w:rsid w:val="00132AE6"/>
    <w:rsid w:val="00132B08"/>
    <w:rsid w:val="0013313A"/>
    <w:rsid w:val="00133B6D"/>
    <w:rsid w:val="00133E7B"/>
    <w:rsid w:val="00134246"/>
    <w:rsid w:val="0013496C"/>
    <w:rsid w:val="00134C54"/>
    <w:rsid w:val="00134C92"/>
    <w:rsid w:val="001355A3"/>
    <w:rsid w:val="001356E5"/>
    <w:rsid w:val="00135BCF"/>
    <w:rsid w:val="00135ECF"/>
    <w:rsid w:val="001360FB"/>
    <w:rsid w:val="00136852"/>
    <w:rsid w:val="00136AC2"/>
    <w:rsid w:val="00136AC5"/>
    <w:rsid w:val="00136D71"/>
    <w:rsid w:val="00137327"/>
    <w:rsid w:val="00137406"/>
    <w:rsid w:val="00137578"/>
    <w:rsid w:val="00137796"/>
    <w:rsid w:val="00137B42"/>
    <w:rsid w:val="00137CB4"/>
    <w:rsid w:val="00137FE8"/>
    <w:rsid w:val="00140619"/>
    <w:rsid w:val="001406B3"/>
    <w:rsid w:val="001409F4"/>
    <w:rsid w:val="00140B57"/>
    <w:rsid w:val="00140EF2"/>
    <w:rsid w:val="00140F9E"/>
    <w:rsid w:val="0014155A"/>
    <w:rsid w:val="00141607"/>
    <w:rsid w:val="00141661"/>
    <w:rsid w:val="00141B08"/>
    <w:rsid w:val="00141B1F"/>
    <w:rsid w:val="00141BFF"/>
    <w:rsid w:val="00141CAB"/>
    <w:rsid w:val="00141D5A"/>
    <w:rsid w:val="00141E61"/>
    <w:rsid w:val="001420EA"/>
    <w:rsid w:val="001421CC"/>
    <w:rsid w:val="001422E0"/>
    <w:rsid w:val="001424D6"/>
    <w:rsid w:val="00142589"/>
    <w:rsid w:val="00142F71"/>
    <w:rsid w:val="00142FB5"/>
    <w:rsid w:val="00143622"/>
    <w:rsid w:val="00143C02"/>
    <w:rsid w:val="00143C5E"/>
    <w:rsid w:val="0014402E"/>
    <w:rsid w:val="00144034"/>
    <w:rsid w:val="00144060"/>
    <w:rsid w:val="001442AB"/>
    <w:rsid w:val="001442D5"/>
    <w:rsid w:val="00144352"/>
    <w:rsid w:val="001443B6"/>
    <w:rsid w:val="001444B4"/>
    <w:rsid w:val="00144860"/>
    <w:rsid w:val="0014488E"/>
    <w:rsid w:val="00144A54"/>
    <w:rsid w:val="00144E99"/>
    <w:rsid w:val="001451AA"/>
    <w:rsid w:val="00145213"/>
    <w:rsid w:val="00145DFE"/>
    <w:rsid w:val="001460E4"/>
    <w:rsid w:val="001467DD"/>
    <w:rsid w:val="00146D0A"/>
    <w:rsid w:val="001470C9"/>
    <w:rsid w:val="0014711D"/>
    <w:rsid w:val="00147158"/>
    <w:rsid w:val="00147346"/>
    <w:rsid w:val="00147352"/>
    <w:rsid w:val="0014786C"/>
    <w:rsid w:val="00147BE4"/>
    <w:rsid w:val="00147DDF"/>
    <w:rsid w:val="001500E2"/>
    <w:rsid w:val="001505B6"/>
    <w:rsid w:val="00150856"/>
    <w:rsid w:val="001508D2"/>
    <w:rsid w:val="0015098C"/>
    <w:rsid w:val="0015147F"/>
    <w:rsid w:val="0015149E"/>
    <w:rsid w:val="001514D0"/>
    <w:rsid w:val="0015172D"/>
    <w:rsid w:val="001517AA"/>
    <w:rsid w:val="00151952"/>
    <w:rsid w:val="00151E97"/>
    <w:rsid w:val="00151FA2"/>
    <w:rsid w:val="001523B7"/>
    <w:rsid w:val="001528B3"/>
    <w:rsid w:val="0015296D"/>
    <w:rsid w:val="00152B09"/>
    <w:rsid w:val="00152C95"/>
    <w:rsid w:val="00152DE8"/>
    <w:rsid w:val="00152EF0"/>
    <w:rsid w:val="00153244"/>
    <w:rsid w:val="0015369C"/>
    <w:rsid w:val="0015384D"/>
    <w:rsid w:val="001538A1"/>
    <w:rsid w:val="001538AC"/>
    <w:rsid w:val="00153C93"/>
    <w:rsid w:val="00153FDA"/>
    <w:rsid w:val="00154357"/>
    <w:rsid w:val="00154847"/>
    <w:rsid w:val="00154D2C"/>
    <w:rsid w:val="00154E7C"/>
    <w:rsid w:val="00155A55"/>
    <w:rsid w:val="00155A5C"/>
    <w:rsid w:val="00155DA9"/>
    <w:rsid w:val="001561F6"/>
    <w:rsid w:val="00156557"/>
    <w:rsid w:val="00156928"/>
    <w:rsid w:val="001569DE"/>
    <w:rsid w:val="00156A55"/>
    <w:rsid w:val="00156B93"/>
    <w:rsid w:val="00156C5A"/>
    <w:rsid w:val="0015702B"/>
    <w:rsid w:val="00157366"/>
    <w:rsid w:val="001576C2"/>
    <w:rsid w:val="00160219"/>
    <w:rsid w:val="001603A3"/>
    <w:rsid w:val="00160411"/>
    <w:rsid w:val="001604BA"/>
    <w:rsid w:val="00161173"/>
    <w:rsid w:val="00161396"/>
    <w:rsid w:val="001613DF"/>
    <w:rsid w:val="001615B5"/>
    <w:rsid w:val="0016255A"/>
    <w:rsid w:val="00162B3B"/>
    <w:rsid w:val="00162C83"/>
    <w:rsid w:val="00162E6A"/>
    <w:rsid w:val="00162F18"/>
    <w:rsid w:val="00163023"/>
    <w:rsid w:val="001631CC"/>
    <w:rsid w:val="00163570"/>
    <w:rsid w:val="00164F38"/>
    <w:rsid w:val="0016525E"/>
    <w:rsid w:val="00165354"/>
    <w:rsid w:val="0016566C"/>
    <w:rsid w:val="00165AB2"/>
    <w:rsid w:val="00166622"/>
    <w:rsid w:val="00166757"/>
    <w:rsid w:val="001667EB"/>
    <w:rsid w:val="001667F0"/>
    <w:rsid w:val="0016691D"/>
    <w:rsid w:val="001669BA"/>
    <w:rsid w:val="00166F83"/>
    <w:rsid w:val="00166FDA"/>
    <w:rsid w:val="00167BD8"/>
    <w:rsid w:val="00167DBE"/>
    <w:rsid w:val="00167E7A"/>
    <w:rsid w:val="00170573"/>
    <w:rsid w:val="0017059E"/>
    <w:rsid w:val="00170921"/>
    <w:rsid w:val="001709AC"/>
    <w:rsid w:val="00170E95"/>
    <w:rsid w:val="00170F40"/>
    <w:rsid w:val="00171203"/>
    <w:rsid w:val="001713D1"/>
    <w:rsid w:val="00171790"/>
    <w:rsid w:val="00172076"/>
    <w:rsid w:val="001720E5"/>
    <w:rsid w:val="00172122"/>
    <w:rsid w:val="001723EC"/>
    <w:rsid w:val="00172691"/>
    <w:rsid w:val="001728EA"/>
    <w:rsid w:val="00172A27"/>
    <w:rsid w:val="00173087"/>
    <w:rsid w:val="00173920"/>
    <w:rsid w:val="00173C78"/>
    <w:rsid w:val="00173DA5"/>
    <w:rsid w:val="00173FE8"/>
    <w:rsid w:val="001742EE"/>
    <w:rsid w:val="00174B88"/>
    <w:rsid w:val="00174BD8"/>
    <w:rsid w:val="00174F40"/>
    <w:rsid w:val="001752AA"/>
    <w:rsid w:val="0017543C"/>
    <w:rsid w:val="001758DA"/>
    <w:rsid w:val="00175CFF"/>
    <w:rsid w:val="00175D18"/>
    <w:rsid w:val="00175EE2"/>
    <w:rsid w:val="00175F72"/>
    <w:rsid w:val="00175FD4"/>
    <w:rsid w:val="001760BE"/>
    <w:rsid w:val="00176261"/>
    <w:rsid w:val="001762A0"/>
    <w:rsid w:val="001767C9"/>
    <w:rsid w:val="0017697F"/>
    <w:rsid w:val="00176A94"/>
    <w:rsid w:val="00176B50"/>
    <w:rsid w:val="00176DA2"/>
    <w:rsid w:val="00177066"/>
    <w:rsid w:val="001771CC"/>
    <w:rsid w:val="0017724A"/>
    <w:rsid w:val="00177895"/>
    <w:rsid w:val="00177974"/>
    <w:rsid w:val="00177E50"/>
    <w:rsid w:val="001800E9"/>
    <w:rsid w:val="00180340"/>
    <w:rsid w:val="001804C4"/>
    <w:rsid w:val="00180708"/>
    <w:rsid w:val="0018071B"/>
    <w:rsid w:val="0018075A"/>
    <w:rsid w:val="001807C2"/>
    <w:rsid w:val="00180CE3"/>
    <w:rsid w:val="00180D68"/>
    <w:rsid w:val="001811E4"/>
    <w:rsid w:val="001812A5"/>
    <w:rsid w:val="00181300"/>
    <w:rsid w:val="00181524"/>
    <w:rsid w:val="00181DFC"/>
    <w:rsid w:val="00182118"/>
    <w:rsid w:val="001825C2"/>
    <w:rsid w:val="00182609"/>
    <w:rsid w:val="00182E20"/>
    <w:rsid w:val="0018354B"/>
    <w:rsid w:val="00183C72"/>
    <w:rsid w:val="00183F41"/>
    <w:rsid w:val="00184602"/>
    <w:rsid w:val="00184822"/>
    <w:rsid w:val="00184A9A"/>
    <w:rsid w:val="00184B42"/>
    <w:rsid w:val="00184BF6"/>
    <w:rsid w:val="00184C23"/>
    <w:rsid w:val="0018508D"/>
    <w:rsid w:val="00185A53"/>
    <w:rsid w:val="00185F7E"/>
    <w:rsid w:val="001867CC"/>
    <w:rsid w:val="00186873"/>
    <w:rsid w:val="00186CD6"/>
    <w:rsid w:val="00187159"/>
    <w:rsid w:val="00187679"/>
    <w:rsid w:val="0018776C"/>
    <w:rsid w:val="00187C72"/>
    <w:rsid w:val="00187D9E"/>
    <w:rsid w:val="00187DCC"/>
    <w:rsid w:val="00187F3B"/>
    <w:rsid w:val="001903B4"/>
    <w:rsid w:val="001907CB"/>
    <w:rsid w:val="001908B6"/>
    <w:rsid w:val="001908E8"/>
    <w:rsid w:val="00190C17"/>
    <w:rsid w:val="0019105E"/>
    <w:rsid w:val="001911F4"/>
    <w:rsid w:val="00191445"/>
    <w:rsid w:val="001918F7"/>
    <w:rsid w:val="0019194C"/>
    <w:rsid w:val="00191D5E"/>
    <w:rsid w:val="00191FA2"/>
    <w:rsid w:val="001923D5"/>
    <w:rsid w:val="001925D7"/>
    <w:rsid w:val="001926DD"/>
    <w:rsid w:val="0019296D"/>
    <w:rsid w:val="00192BD6"/>
    <w:rsid w:val="00192D10"/>
    <w:rsid w:val="00192E62"/>
    <w:rsid w:val="00193295"/>
    <w:rsid w:val="001932D8"/>
    <w:rsid w:val="00193407"/>
    <w:rsid w:val="0019377C"/>
    <w:rsid w:val="00193F34"/>
    <w:rsid w:val="001946B6"/>
    <w:rsid w:val="00194B4C"/>
    <w:rsid w:val="001952CF"/>
    <w:rsid w:val="001956F0"/>
    <w:rsid w:val="0019579A"/>
    <w:rsid w:val="0019579C"/>
    <w:rsid w:val="00195BB7"/>
    <w:rsid w:val="00195D26"/>
    <w:rsid w:val="00195F2E"/>
    <w:rsid w:val="001963B0"/>
    <w:rsid w:val="0019643E"/>
    <w:rsid w:val="0019654E"/>
    <w:rsid w:val="00196744"/>
    <w:rsid w:val="001967E3"/>
    <w:rsid w:val="001970B4"/>
    <w:rsid w:val="001970E9"/>
    <w:rsid w:val="001972F8"/>
    <w:rsid w:val="0019739B"/>
    <w:rsid w:val="0019741A"/>
    <w:rsid w:val="001974E8"/>
    <w:rsid w:val="00197B1B"/>
    <w:rsid w:val="00197FDE"/>
    <w:rsid w:val="00197FF2"/>
    <w:rsid w:val="001A0A8A"/>
    <w:rsid w:val="001A14E4"/>
    <w:rsid w:val="001A18A9"/>
    <w:rsid w:val="001A198B"/>
    <w:rsid w:val="001A1A80"/>
    <w:rsid w:val="001A1B09"/>
    <w:rsid w:val="001A1D8F"/>
    <w:rsid w:val="001A1EA1"/>
    <w:rsid w:val="001A25CB"/>
    <w:rsid w:val="001A28AF"/>
    <w:rsid w:val="001A29BE"/>
    <w:rsid w:val="001A29E2"/>
    <w:rsid w:val="001A2ED3"/>
    <w:rsid w:val="001A3086"/>
    <w:rsid w:val="001A3776"/>
    <w:rsid w:val="001A3B08"/>
    <w:rsid w:val="001A3C23"/>
    <w:rsid w:val="001A3C93"/>
    <w:rsid w:val="001A3F7A"/>
    <w:rsid w:val="001A4445"/>
    <w:rsid w:val="001A4938"/>
    <w:rsid w:val="001A4A86"/>
    <w:rsid w:val="001A4B12"/>
    <w:rsid w:val="001A554E"/>
    <w:rsid w:val="001A58D0"/>
    <w:rsid w:val="001A5AF5"/>
    <w:rsid w:val="001A5CCE"/>
    <w:rsid w:val="001A5DD6"/>
    <w:rsid w:val="001A5ED1"/>
    <w:rsid w:val="001A6239"/>
    <w:rsid w:val="001A6289"/>
    <w:rsid w:val="001A6511"/>
    <w:rsid w:val="001A66AA"/>
    <w:rsid w:val="001A6700"/>
    <w:rsid w:val="001A6AAE"/>
    <w:rsid w:val="001A6E17"/>
    <w:rsid w:val="001A722A"/>
    <w:rsid w:val="001A767D"/>
    <w:rsid w:val="001A7849"/>
    <w:rsid w:val="001B0126"/>
    <w:rsid w:val="001B0895"/>
    <w:rsid w:val="001B0913"/>
    <w:rsid w:val="001B0CA2"/>
    <w:rsid w:val="001B1043"/>
    <w:rsid w:val="001B1130"/>
    <w:rsid w:val="001B150C"/>
    <w:rsid w:val="001B1A86"/>
    <w:rsid w:val="001B1EBD"/>
    <w:rsid w:val="001B1F39"/>
    <w:rsid w:val="001B2091"/>
    <w:rsid w:val="001B22E9"/>
    <w:rsid w:val="001B2392"/>
    <w:rsid w:val="001B28D3"/>
    <w:rsid w:val="001B30AD"/>
    <w:rsid w:val="001B3152"/>
    <w:rsid w:val="001B3186"/>
    <w:rsid w:val="001B3CB3"/>
    <w:rsid w:val="001B3F39"/>
    <w:rsid w:val="001B4A77"/>
    <w:rsid w:val="001B4B91"/>
    <w:rsid w:val="001B4D84"/>
    <w:rsid w:val="001B52CC"/>
    <w:rsid w:val="001B53DB"/>
    <w:rsid w:val="001B5CE4"/>
    <w:rsid w:val="001B5DE8"/>
    <w:rsid w:val="001B6229"/>
    <w:rsid w:val="001B6920"/>
    <w:rsid w:val="001B6F19"/>
    <w:rsid w:val="001B780E"/>
    <w:rsid w:val="001B7977"/>
    <w:rsid w:val="001B7F20"/>
    <w:rsid w:val="001C013A"/>
    <w:rsid w:val="001C0298"/>
    <w:rsid w:val="001C05DA"/>
    <w:rsid w:val="001C0622"/>
    <w:rsid w:val="001C0657"/>
    <w:rsid w:val="001C0708"/>
    <w:rsid w:val="001C08EC"/>
    <w:rsid w:val="001C099E"/>
    <w:rsid w:val="001C0A91"/>
    <w:rsid w:val="001C0B16"/>
    <w:rsid w:val="001C0B3A"/>
    <w:rsid w:val="001C0C38"/>
    <w:rsid w:val="001C1139"/>
    <w:rsid w:val="001C119E"/>
    <w:rsid w:val="001C1B9E"/>
    <w:rsid w:val="001C1D00"/>
    <w:rsid w:val="001C1E1A"/>
    <w:rsid w:val="001C2101"/>
    <w:rsid w:val="001C2139"/>
    <w:rsid w:val="001C23B9"/>
    <w:rsid w:val="001C2512"/>
    <w:rsid w:val="001C2785"/>
    <w:rsid w:val="001C2A36"/>
    <w:rsid w:val="001C2BCD"/>
    <w:rsid w:val="001C2FC2"/>
    <w:rsid w:val="001C30B7"/>
    <w:rsid w:val="001C3172"/>
    <w:rsid w:val="001C3410"/>
    <w:rsid w:val="001C3832"/>
    <w:rsid w:val="001C3CDE"/>
    <w:rsid w:val="001C4112"/>
    <w:rsid w:val="001C41D9"/>
    <w:rsid w:val="001C4293"/>
    <w:rsid w:val="001C4901"/>
    <w:rsid w:val="001C4B9E"/>
    <w:rsid w:val="001C4D45"/>
    <w:rsid w:val="001C570B"/>
    <w:rsid w:val="001C5BF3"/>
    <w:rsid w:val="001C5DCB"/>
    <w:rsid w:val="001C60BA"/>
    <w:rsid w:val="001C61F5"/>
    <w:rsid w:val="001C628E"/>
    <w:rsid w:val="001C6297"/>
    <w:rsid w:val="001C6B28"/>
    <w:rsid w:val="001C6BE9"/>
    <w:rsid w:val="001C7F29"/>
    <w:rsid w:val="001D014A"/>
    <w:rsid w:val="001D0B83"/>
    <w:rsid w:val="001D0CD4"/>
    <w:rsid w:val="001D1442"/>
    <w:rsid w:val="001D1495"/>
    <w:rsid w:val="001D1580"/>
    <w:rsid w:val="001D173B"/>
    <w:rsid w:val="001D20D8"/>
    <w:rsid w:val="001D223F"/>
    <w:rsid w:val="001D2716"/>
    <w:rsid w:val="001D2A54"/>
    <w:rsid w:val="001D2CA0"/>
    <w:rsid w:val="001D2E55"/>
    <w:rsid w:val="001D2E60"/>
    <w:rsid w:val="001D318E"/>
    <w:rsid w:val="001D36F3"/>
    <w:rsid w:val="001D3D50"/>
    <w:rsid w:val="001D3DB8"/>
    <w:rsid w:val="001D3FA0"/>
    <w:rsid w:val="001D3FF1"/>
    <w:rsid w:val="001D47F1"/>
    <w:rsid w:val="001D48B7"/>
    <w:rsid w:val="001D49CC"/>
    <w:rsid w:val="001D4C10"/>
    <w:rsid w:val="001D4C6A"/>
    <w:rsid w:val="001D4EFA"/>
    <w:rsid w:val="001D5367"/>
    <w:rsid w:val="001D5389"/>
    <w:rsid w:val="001D5873"/>
    <w:rsid w:val="001D604C"/>
    <w:rsid w:val="001D6215"/>
    <w:rsid w:val="001D6420"/>
    <w:rsid w:val="001D6A8E"/>
    <w:rsid w:val="001D6BCE"/>
    <w:rsid w:val="001D7673"/>
    <w:rsid w:val="001D7B61"/>
    <w:rsid w:val="001D7DDD"/>
    <w:rsid w:val="001E01CF"/>
    <w:rsid w:val="001E038F"/>
    <w:rsid w:val="001E03A9"/>
    <w:rsid w:val="001E0475"/>
    <w:rsid w:val="001E05C6"/>
    <w:rsid w:val="001E1476"/>
    <w:rsid w:val="001E164D"/>
    <w:rsid w:val="001E1F72"/>
    <w:rsid w:val="001E22B9"/>
    <w:rsid w:val="001E276A"/>
    <w:rsid w:val="001E3BFB"/>
    <w:rsid w:val="001E3C02"/>
    <w:rsid w:val="001E4219"/>
    <w:rsid w:val="001E450D"/>
    <w:rsid w:val="001E45AB"/>
    <w:rsid w:val="001E4600"/>
    <w:rsid w:val="001E4611"/>
    <w:rsid w:val="001E4BE1"/>
    <w:rsid w:val="001E55AC"/>
    <w:rsid w:val="001E5993"/>
    <w:rsid w:val="001E5D9F"/>
    <w:rsid w:val="001E601E"/>
    <w:rsid w:val="001E7397"/>
    <w:rsid w:val="001E73DF"/>
    <w:rsid w:val="001E75EA"/>
    <w:rsid w:val="001E7630"/>
    <w:rsid w:val="001E7DC1"/>
    <w:rsid w:val="001F0106"/>
    <w:rsid w:val="001F03A6"/>
    <w:rsid w:val="001F05E5"/>
    <w:rsid w:val="001F0824"/>
    <w:rsid w:val="001F0C35"/>
    <w:rsid w:val="001F0F7D"/>
    <w:rsid w:val="001F106C"/>
    <w:rsid w:val="001F1C50"/>
    <w:rsid w:val="001F1F13"/>
    <w:rsid w:val="001F2169"/>
    <w:rsid w:val="001F2280"/>
    <w:rsid w:val="001F235E"/>
    <w:rsid w:val="001F2613"/>
    <w:rsid w:val="001F2819"/>
    <w:rsid w:val="001F2949"/>
    <w:rsid w:val="001F2B23"/>
    <w:rsid w:val="001F2C79"/>
    <w:rsid w:val="001F34C3"/>
    <w:rsid w:val="001F38ED"/>
    <w:rsid w:val="001F392E"/>
    <w:rsid w:val="001F3C8F"/>
    <w:rsid w:val="001F4421"/>
    <w:rsid w:val="001F4926"/>
    <w:rsid w:val="001F4A41"/>
    <w:rsid w:val="001F4A53"/>
    <w:rsid w:val="001F4B02"/>
    <w:rsid w:val="001F4D9A"/>
    <w:rsid w:val="001F50AB"/>
    <w:rsid w:val="001F512A"/>
    <w:rsid w:val="001F5273"/>
    <w:rsid w:val="001F573D"/>
    <w:rsid w:val="001F5890"/>
    <w:rsid w:val="001F58E1"/>
    <w:rsid w:val="001F5B5C"/>
    <w:rsid w:val="001F5B67"/>
    <w:rsid w:val="001F5BA6"/>
    <w:rsid w:val="001F5F43"/>
    <w:rsid w:val="001F60A6"/>
    <w:rsid w:val="001F63B3"/>
    <w:rsid w:val="001F68F7"/>
    <w:rsid w:val="001F6BE4"/>
    <w:rsid w:val="001F6C86"/>
    <w:rsid w:val="001F6E5A"/>
    <w:rsid w:val="001F6FB7"/>
    <w:rsid w:val="001F77BB"/>
    <w:rsid w:val="001F7A09"/>
    <w:rsid w:val="001F7B2A"/>
    <w:rsid w:val="0020000D"/>
    <w:rsid w:val="002000B8"/>
    <w:rsid w:val="002004D2"/>
    <w:rsid w:val="002006E7"/>
    <w:rsid w:val="00200858"/>
    <w:rsid w:val="00200DA8"/>
    <w:rsid w:val="002010AC"/>
    <w:rsid w:val="0020127C"/>
    <w:rsid w:val="0020171F"/>
    <w:rsid w:val="0020190D"/>
    <w:rsid w:val="00201FC5"/>
    <w:rsid w:val="00202067"/>
    <w:rsid w:val="00202432"/>
    <w:rsid w:val="002026D3"/>
    <w:rsid w:val="0020293B"/>
    <w:rsid w:val="00202CB3"/>
    <w:rsid w:val="00202F45"/>
    <w:rsid w:val="00203716"/>
    <w:rsid w:val="00203ABF"/>
    <w:rsid w:val="00203C56"/>
    <w:rsid w:val="00203DAA"/>
    <w:rsid w:val="00203EE1"/>
    <w:rsid w:val="00203F1A"/>
    <w:rsid w:val="00203F36"/>
    <w:rsid w:val="00203FF5"/>
    <w:rsid w:val="002043C1"/>
    <w:rsid w:val="00204467"/>
    <w:rsid w:val="002046A6"/>
    <w:rsid w:val="0020499F"/>
    <w:rsid w:val="002050B4"/>
    <w:rsid w:val="0020514D"/>
    <w:rsid w:val="0020532A"/>
    <w:rsid w:val="002054D8"/>
    <w:rsid w:val="0020552B"/>
    <w:rsid w:val="002055C2"/>
    <w:rsid w:val="00205930"/>
    <w:rsid w:val="00205ACF"/>
    <w:rsid w:val="00205B9B"/>
    <w:rsid w:val="00205DE7"/>
    <w:rsid w:val="00205DF9"/>
    <w:rsid w:val="002067A6"/>
    <w:rsid w:val="00206C57"/>
    <w:rsid w:val="00206EFA"/>
    <w:rsid w:val="00206FB1"/>
    <w:rsid w:val="002070E8"/>
    <w:rsid w:val="002072F8"/>
    <w:rsid w:val="00207B64"/>
    <w:rsid w:val="00207FA6"/>
    <w:rsid w:val="002104DC"/>
    <w:rsid w:val="0021080F"/>
    <w:rsid w:val="00210C62"/>
    <w:rsid w:val="00210DEE"/>
    <w:rsid w:val="00211D75"/>
    <w:rsid w:val="00211F0D"/>
    <w:rsid w:val="0021243B"/>
    <w:rsid w:val="002126BB"/>
    <w:rsid w:val="002129D7"/>
    <w:rsid w:val="00212A51"/>
    <w:rsid w:val="002132DC"/>
    <w:rsid w:val="0021343E"/>
    <w:rsid w:val="002134A6"/>
    <w:rsid w:val="00213559"/>
    <w:rsid w:val="002145F2"/>
    <w:rsid w:val="002146B3"/>
    <w:rsid w:val="00214764"/>
    <w:rsid w:val="00215135"/>
    <w:rsid w:val="002153E6"/>
    <w:rsid w:val="002158D8"/>
    <w:rsid w:val="00215A39"/>
    <w:rsid w:val="00215C69"/>
    <w:rsid w:val="00215E18"/>
    <w:rsid w:val="00215EB9"/>
    <w:rsid w:val="00216079"/>
    <w:rsid w:val="00216171"/>
    <w:rsid w:val="002164A7"/>
    <w:rsid w:val="00216955"/>
    <w:rsid w:val="00216D1A"/>
    <w:rsid w:val="00217226"/>
    <w:rsid w:val="002172E6"/>
    <w:rsid w:val="00217A3B"/>
    <w:rsid w:val="00217CBB"/>
    <w:rsid w:val="00220838"/>
    <w:rsid w:val="00220BD5"/>
    <w:rsid w:val="00220DEE"/>
    <w:rsid w:val="00220FAD"/>
    <w:rsid w:val="002210CC"/>
    <w:rsid w:val="0022119C"/>
    <w:rsid w:val="002219D4"/>
    <w:rsid w:val="00221A7F"/>
    <w:rsid w:val="00221DC4"/>
    <w:rsid w:val="00222415"/>
    <w:rsid w:val="002224A8"/>
    <w:rsid w:val="00222FC3"/>
    <w:rsid w:val="00223725"/>
    <w:rsid w:val="0022374A"/>
    <w:rsid w:val="00223DF2"/>
    <w:rsid w:val="00223E1B"/>
    <w:rsid w:val="002242EB"/>
    <w:rsid w:val="002253F8"/>
    <w:rsid w:val="00225A75"/>
    <w:rsid w:val="002261F9"/>
    <w:rsid w:val="002263F1"/>
    <w:rsid w:val="0022659D"/>
    <w:rsid w:val="002266A3"/>
    <w:rsid w:val="002269AE"/>
    <w:rsid w:val="002269D7"/>
    <w:rsid w:val="002272D2"/>
    <w:rsid w:val="00227855"/>
    <w:rsid w:val="00227B9B"/>
    <w:rsid w:val="00227BF8"/>
    <w:rsid w:val="00227C07"/>
    <w:rsid w:val="002303C3"/>
    <w:rsid w:val="002304DC"/>
    <w:rsid w:val="002306F6"/>
    <w:rsid w:val="00230A07"/>
    <w:rsid w:val="00231051"/>
    <w:rsid w:val="00231352"/>
    <w:rsid w:val="0023137D"/>
    <w:rsid w:val="00231586"/>
    <w:rsid w:val="00232574"/>
    <w:rsid w:val="00232C04"/>
    <w:rsid w:val="00232D3B"/>
    <w:rsid w:val="00232E6E"/>
    <w:rsid w:val="00232F3E"/>
    <w:rsid w:val="002332FE"/>
    <w:rsid w:val="002335E5"/>
    <w:rsid w:val="0023367B"/>
    <w:rsid w:val="002337BE"/>
    <w:rsid w:val="00233A40"/>
    <w:rsid w:val="00233F1E"/>
    <w:rsid w:val="00234682"/>
    <w:rsid w:val="002347BE"/>
    <w:rsid w:val="002349C9"/>
    <w:rsid w:val="002349CD"/>
    <w:rsid w:val="00234C28"/>
    <w:rsid w:val="00234C4B"/>
    <w:rsid w:val="002351B6"/>
    <w:rsid w:val="002352D2"/>
    <w:rsid w:val="002354C0"/>
    <w:rsid w:val="002354E1"/>
    <w:rsid w:val="00235756"/>
    <w:rsid w:val="002363A3"/>
    <w:rsid w:val="0023649A"/>
    <w:rsid w:val="002367A8"/>
    <w:rsid w:val="00236838"/>
    <w:rsid w:val="00236C74"/>
    <w:rsid w:val="0023706A"/>
    <w:rsid w:val="0023725F"/>
    <w:rsid w:val="002375CA"/>
    <w:rsid w:val="00237C9D"/>
    <w:rsid w:val="00240077"/>
    <w:rsid w:val="0024014F"/>
    <w:rsid w:val="00240292"/>
    <w:rsid w:val="00240AC7"/>
    <w:rsid w:val="002411B6"/>
    <w:rsid w:val="002412E9"/>
    <w:rsid w:val="00241612"/>
    <w:rsid w:val="002416B6"/>
    <w:rsid w:val="00241854"/>
    <w:rsid w:val="00241861"/>
    <w:rsid w:val="00241867"/>
    <w:rsid w:val="0024188C"/>
    <w:rsid w:val="002419BA"/>
    <w:rsid w:val="00241A63"/>
    <w:rsid w:val="00241C7A"/>
    <w:rsid w:val="00241D8D"/>
    <w:rsid w:val="00241E0C"/>
    <w:rsid w:val="00242921"/>
    <w:rsid w:val="002430B4"/>
    <w:rsid w:val="0024313E"/>
    <w:rsid w:val="00243427"/>
    <w:rsid w:val="00243559"/>
    <w:rsid w:val="00243622"/>
    <w:rsid w:val="002436B7"/>
    <w:rsid w:val="0024382B"/>
    <w:rsid w:val="00243ED7"/>
    <w:rsid w:val="00243FA7"/>
    <w:rsid w:val="002443E0"/>
    <w:rsid w:val="002446C5"/>
    <w:rsid w:val="002446E0"/>
    <w:rsid w:val="0024484E"/>
    <w:rsid w:val="00244979"/>
    <w:rsid w:val="002449D4"/>
    <w:rsid w:val="0024512F"/>
    <w:rsid w:val="00245547"/>
    <w:rsid w:val="00245AB9"/>
    <w:rsid w:val="0024614F"/>
    <w:rsid w:val="00246376"/>
    <w:rsid w:val="002467C2"/>
    <w:rsid w:val="00246CA1"/>
    <w:rsid w:val="00246F2A"/>
    <w:rsid w:val="002472C5"/>
    <w:rsid w:val="00247385"/>
    <w:rsid w:val="00247589"/>
    <w:rsid w:val="002476C3"/>
    <w:rsid w:val="00247A3E"/>
    <w:rsid w:val="00247A87"/>
    <w:rsid w:val="00247F66"/>
    <w:rsid w:val="00247F71"/>
    <w:rsid w:val="002503D9"/>
    <w:rsid w:val="00250429"/>
    <w:rsid w:val="00250667"/>
    <w:rsid w:val="00250894"/>
    <w:rsid w:val="00250901"/>
    <w:rsid w:val="00250BE2"/>
    <w:rsid w:val="00250BEE"/>
    <w:rsid w:val="0025123E"/>
    <w:rsid w:val="00251358"/>
    <w:rsid w:val="00251489"/>
    <w:rsid w:val="00251523"/>
    <w:rsid w:val="00251879"/>
    <w:rsid w:val="00251989"/>
    <w:rsid w:val="00252080"/>
    <w:rsid w:val="002528B6"/>
    <w:rsid w:val="00252D83"/>
    <w:rsid w:val="002531D0"/>
    <w:rsid w:val="002533CE"/>
    <w:rsid w:val="0025354B"/>
    <w:rsid w:val="00253811"/>
    <w:rsid w:val="00254B7A"/>
    <w:rsid w:val="0025531C"/>
    <w:rsid w:val="002556A0"/>
    <w:rsid w:val="0025595A"/>
    <w:rsid w:val="002561C8"/>
    <w:rsid w:val="002569DA"/>
    <w:rsid w:val="00256F41"/>
    <w:rsid w:val="00256F57"/>
    <w:rsid w:val="00257088"/>
    <w:rsid w:val="0025723F"/>
    <w:rsid w:val="002572C8"/>
    <w:rsid w:val="00257345"/>
    <w:rsid w:val="002577BC"/>
    <w:rsid w:val="002600FC"/>
    <w:rsid w:val="00260AF0"/>
    <w:rsid w:val="00260B9F"/>
    <w:rsid w:val="00260BD2"/>
    <w:rsid w:val="00260EB6"/>
    <w:rsid w:val="00260F84"/>
    <w:rsid w:val="002610E8"/>
    <w:rsid w:val="00261440"/>
    <w:rsid w:val="002614B3"/>
    <w:rsid w:val="002617A1"/>
    <w:rsid w:val="002619E8"/>
    <w:rsid w:val="00261ADC"/>
    <w:rsid w:val="00261D24"/>
    <w:rsid w:val="00261DF5"/>
    <w:rsid w:val="00262112"/>
    <w:rsid w:val="00262B8F"/>
    <w:rsid w:val="00263DB1"/>
    <w:rsid w:val="00264232"/>
    <w:rsid w:val="00264717"/>
    <w:rsid w:val="00264B33"/>
    <w:rsid w:val="00264CC3"/>
    <w:rsid w:val="00264E91"/>
    <w:rsid w:val="00265221"/>
    <w:rsid w:val="0026576E"/>
    <w:rsid w:val="00265964"/>
    <w:rsid w:val="00265A89"/>
    <w:rsid w:val="00265DBC"/>
    <w:rsid w:val="00266032"/>
    <w:rsid w:val="00266153"/>
    <w:rsid w:val="002665D3"/>
    <w:rsid w:val="00266668"/>
    <w:rsid w:val="00266D4E"/>
    <w:rsid w:val="00266E87"/>
    <w:rsid w:val="00266F18"/>
    <w:rsid w:val="00266F6D"/>
    <w:rsid w:val="002672D5"/>
    <w:rsid w:val="0026766C"/>
    <w:rsid w:val="00267A7E"/>
    <w:rsid w:val="00267E03"/>
    <w:rsid w:val="00267F0B"/>
    <w:rsid w:val="002705D9"/>
    <w:rsid w:val="00270639"/>
    <w:rsid w:val="0027068B"/>
    <w:rsid w:val="002706D7"/>
    <w:rsid w:val="00270B55"/>
    <w:rsid w:val="00270B59"/>
    <w:rsid w:val="00270B66"/>
    <w:rsid w:val="00270EB4"/>
    <w:rsid w:val="0027157E"/>
    <w:rsid w:val="00271594"/>
    <w:rsid w:val="002715DF"/>
    <w:rsid w:val="002717B9"/>
    <w:rsid w:val="00271E54"/>
    <w:rsid w:val="00272283"/>
    <w:rsid w:val="00272597"/>
    <w:rsid w:val="00272893"/>
    <w:rsid w:val="00273051"/>
    <w:rsid w:val="002731EB"/>
    <w:rsid w:val="00273290"/>
    <w:rsid w:val="002733F3"/>
    <w:rsid w:val="002736CB"/>
    <w:rsid w:val="0027389B"/>
    <w:rsid w:val="00273C0E"/>
    <w:rsid w:val="00274127"/>
    <w:rsid w:val="002741FB"/>
    <w:rsid w:val="0027437C"/>
    <w:rsid w:val="00274CBA"/>
    <w:rsid w:val="0027538F"/>
    <w:rsid w:val="00275917"/>
    <w:rsid w:val="00275A7F"/>
    <w:rsid w:val="00275B9F"/>
    <w:rsid w:val="00275DFB"/>
    <w:rsid w:val="00275EEB"/>
    <w:rsid w:val="00275FB1"/>
    <w:rsid w:val="0027603E"/>
    <w:rsid w:val="002763E2"/>
    <w:rsid w:val="002763EE"/>
    <w:rsid w:val="002764DF"/>
    <w:rsid w:val="002766C3"/>
    <w:rsid w:val="00276B62"/>
    <w:rsid w:val="00276BC7"/>
    <w:rsid w:val="00276E63"/>
    <w:rsid w:val="00277280"/>
    <w:rsid w:val="002774D7"/>
    <w:rsid w:val="00277560"/>
    <w:rsid w:val="0027782D"/>
    <w:rsid w:val="00277C81"/>
    <w:rsid w:val="00277DAF"/>
    <w:rsid w:val="00277EA5"/>
    <w:rsid w:val="002809BE"/>
    <w:rsid w:val="00280E31"/>
    <w:rsid w:val="002811D6"/>
    <w:rsid w:val="00281782"/>
    <w:rsid w:val="0028189C"/>
    <w:rsid w:val="00281A55"/>
    <w:rsid w:val="00281ACD"/>
    <w:rsid w:val="00281EF6"/>
    <w:rsid w:val="00281FCB"/>
    <w:rsid w:val="00281FE0"/>
    <w:rsid w:val="002821DF"/>
    <w:rsid w:val="00282363"/>
    <w:rsid w:val="002824D0"/>
    <w:rsid w:val="002825FF"/>
    <w:rsid w:val="002826F5"/>
    <w:rsid w:val="00282A01"/>
    <w:rsid w:val="00282F4D"/>
    <w:rsid w:val="002836FA"/>
    <w:rsid w:val="00283848"/>
    <w:rsid w:val="00284377"/>
    <w:rsid w:val="00284749"/>
    <w:rsid w:val="00284770"/>
    <w:rsid w:val="002847D8"/>
    <w:rsid w:val="00284B11"/>
    <w:rsid w:val="00284B78"/>
    <w:rsid w:val="002850A8"/>
    <w:rsid w:val="002850B3"/>
    <w:rsid w:val="00285626"/>
    <w:rsid w:val="0028570E"/>
    <w:rsid w:val="00285769"/>
    <w:rsid w:val="002859B6"/>
    <w:rsid w:val="002861A5"/>
    <w:rsid w:val="00286792"/>
    <w:rsid w:val="00286E2B"/>
    <w:rsid w:val="00286F0B"/>
    <w:rsid w:val="002877BA"/>
    <w:rsid w:val="00287CE3"/>
    <w:rsid w:val="00287FB6"/>
    <w:rsid w:val="00290521"/>
    <w:rsid w:val="002906C9"/>
    <w:rsid w:val="0029097B"/>
    <w:rsid w:val="00290A32"/>
    <w:rsid w:val="00290F8E"/>
    <w:rsid w:val="002911D0"/>
    <w:rsid w:val="002913D6"/>
    <w:rsid w:val="0029175A"/>
    <w:rsid w:val="002918AF"/>
    <w:rsid w:val="00291B4F"/>
    <w:rsid w:val="00292262"/>
    <w:rsid w:val="002923B1"/>
    <w:rsid w:val="0029242C"/>
    <w:rsid w:val="00292CDE"/>
    <w:rsid w:val="00292FCF"/>
    <w:rsid w:val="00293C55"/>
    <w:rsid w:val="00293F96"/>
    <w:rsid w:val="00293FB8"/>
    <w:rsid w:val="00294043"/>
    <w:rsid w:val="00294278"/>
    <w:rsid w:val="0029478B"/>
    <w:rsid w:val="002948AC"/>
    <w:rsid w:val="00294A10"/>
    <w:rsid w:val="00295040"/>
    <w:rsid w:val="002957E4"/>
    <w:rsid w:val="0029593C"/>
    <w:rsid w:val="00295A48"/>
    <w:rsid w:val="0029633C"/>
    <w:rsid w:val="00296554"/>
    <w:rsid w:val="00296558"/>
    <w:rsid w:val="002966DE"/>
    <w:rsid w:val="00296858"/>
    <w:rsid w:val="00296963"/>
    <w:rsid w:val="002969F2"/>
    <w:rsid w:val="00297363"/>
    <w:rsid w:val="0029743B"/>
    <w:rsid w:val="00297639"/>
    <w:rsid w:val="0029770F"/>
    <w:rsid w:val="00297E56"/>
    <w:rsid w:val="002A03CC"/>
    <w:rsid w:val="002A04BC"/>
    <w:rsid w:val="002A0C2F"/>
    <w:rsid w:val="002A1998"/>
    <w:rsid w:val="002A19D0"/>
    <w:rsid w:val="002A1BFA"/>
    <w:rsid w:val="002A2369"/>
    <w:rsid w:val="002A246D"/>
    <w:rsid w:val="002A2B0E"/>
    <w:rsid w:val="002A2C21"/>
    <w:rsid w:val="002A2D8D"/>
    <w:rsid w:val="002A2DD9"/>
    <w:rsid w:val="002A3080"/>
    <w:rsid w:val="002A30E9"/>
    <w:rsid w:val="002A3350"/>
    <w:rsid w:val="002A36DF"/>
    <w:rsid w:val="002A3771"/>
    <w:rsid w:val="002A399E"/>
    <w:rsid w:val="002A3B50"/>
    <w:rsid w:val="002A3C00"/>
    <w:rsid w:val="002A433F"/>
    <w:rsid w:val="002A4410"/>
    <w:rsid w:val="002A4871"/>
    <w:rsid w:val="002A4B3E"/>
    <w:rsid w:val="002A5597"/>
    <w:rsid w:val="002A55A1"/>
    <w:rsid w:val="002A5809"/>
    <w:rsid w:val="002A5BE6"/>
    <w:rsid w:val="002A686B"/>
    <w:rsid w:val="002A6918"/>
    <w:rsid w:val="002A6F29"/>
    <w:rsid w:val="002A7062"/>
    <w:rsid w:val="002A7699"/>
    <w:rsid w:val="002A79EE"/>
    <w:rsid w:val="002A7A69"/>
    <w:rsid w:val="002A7E90"/>
    <w:rsid w:val="002A7FD6"/>
    <w:rsid w:val="002B01F6"/>
    <w:rsid w:val="002B0231"/>
    <w:rsid w:val="002B03DF"/>
    <w:rsid w:val="002B0673"/>
    <w:rsid w:val="002B117F"/>
    <w:rsid w:val="002B143C"/>
    <w:rsid w:val="002B1456"/>
    <w:rsid w:val="002B153A"/>
    <w:rsid w:val="002B20E1"/>
    <w:rsid w:val="002B24F3"/>
    <w:rsid w:val="002B2B37"/>
    <w:rsid w:val="002B2DCD"/>
    <w:rsid w:val="002B3067"/>
    <w:rsid w:val="002B3228"/>
    <w:rsid w:val="002B333D"/>
    <w:rsid w:val="002B3805"/>
    <w:rsid w:val="002B38E0"/>
    <w:rsid w:val="002B3E81"/>
    <w:rsid w:val="002B3F90"/>
    <w:rsid w:val="002B3FBF"/>
    <w:rsid w:val="002B4126"/>
    <w:rsid w:val="002B41E3"/>
    <w:rsid w:val="002B4288"/>
    <w:rsid w:val="002B4B88"/>
    <w:rsid w:val="002B5280"/>
    <w:rsid w:val="002B56C7"/>
    <w:rsid w:val="002B5BAD"/>
    <w:rsid w:val="002B66EF"/>
    <w:rsid w:val="002B698F"/>
    <w:rsid w:val="002B6B85"/>
    <w:rsid w:val="002B6FF9"/>
    <w:rsid w:val="002B70F9"/>
    <w:rsid w:val="002B7333"/>
    <w:rsid w:val="002B76CB"/>
    <w:rsid w:val="002B76E8"/>
    <w:rsid w:val="002B770F"/>
    <w:rsid w:val="002C01AB"/>
    <w:rsid w:val="002C061F"/>
    <w:rsid w:val="002C07A0"/>
    <w:rsid w:val="002C07B3"/>
    <w:rsid w:val="002C0A32"/>
    <w:rsid w:val="002C0C03"/>
    <w:rsid w:val="002C0C32"/>
    <w:rsid w:val="002C0D56"/>
    <w:rsid w:val="002C0FC2"/>
    <w:rsid w:val="002C0FE5"/>
    <w:rsid w:val="002C1351"/>
    <w:rsid w:val="002C154A"/>
    <w:rsid w:val="002C2155"/>
    <w:rsid w:val="002C28C2"/>
    <w:rsid w:val="002C2913"/>
    <w:rsid w:val="002C2A8F"/>
    <w:rsid w:val="002C2A91"/>
    <w:rsid w:val="002C2F24"/>
    <w:rsid w:val="002C2F7A"/>
    <w:rsid w:val="002C314D"/>
    <w:rsid w:val="002C328D"/>
    <w:rsid w:val="002C3557"/>
    <w:rsid w:val="002C3A9B"/>
    <w:rsid w:val="002C3B5F"/>
    <w:rsid w:val="002C3E82"/>
    <w:rsid w:val="002C4727"/>
    <w:rsid w:val="002C48AA"/>
    <w:rsid w:val="002C4B17"/>
    <w:rsid w:val="002C4BD0"/>
    <w:rsid w:val="002C5348"/>
    <w:rsid w:val="002C55AE"/>
    <w:rsid w:val="002C56B3"/>
    <w:rsid w:val="002C5872"/>
    <w:rsid w:val="002C5D02"/>
    <w:rsid w:val="002C5FFB"/>
    <w:rsid w:val="002C60D2"/>
    <w:rsid w:val="002C60F9"/>
    <w:rsid w:val="002C65DF"/>
    <w:rsid w:val="002C6837"/>
    <w:rsid w:val="002C6912"/>
    <w:rsid w:val="002C6B4D"/>
    <w:rsid w:val="002C6E18"/>
    <w:rsid w:val="002C71D5"/>
    <w:rsid w:val="002C7BD0"/>
    <w:rsid w:val="002C7DC7"/>
    <w:rsid w:val="002C7EBF"/>
    <w:rsid w:val="002C7F8C"/>
    <w:rsid w:val="002C7FAE"/>
    <w:rsid w:val="002D04BF"/>
    <w:rsid w:val="002D084A"/>
    <w:rsid w:val="002D0AF3"/>
    <w:rsid w:val="002D0DC7"/>
    <w:rsid w:val="002D1357"/>
    <w:rsid w:val="002D15D2"/>
    <w:rsid w:val="002D1E63"/>
    <w:rsid w:val="002D1F31"/>
    <w:rsid w:val="002D2054"/>
    <w:rsid w:val="002D23B6"/>
    <w:rsid w:val="002D25F0"/>
    <w:rsid w:val="002D2833"/>
    <w:rsid w:val="002D3067"/>
    <w:rsid w:val="002D316C"/>
    <w:rsid w:val="002D38D4"/>
    <w:rsid w:val="002D3E18"/>
    <w:rsid w:val="002D4C92"/>
    <w:rsid w:val="002D4E36"/>
    <w:rsid w:val="002D4E6D"/>
    <w:rsid w:val="002D5127"/>
    <w:rsid w:val="002D5465"/>
    <w:rsid w:val="002D550F"/>
    <w:rsid w:val="002D55AF"/>
    <w:rsid w:val="002D580F"/>
    <w:rsid w:val="002D5833"/>
    <w:rsid w:val="002D5B52"/>
    <w:rsid w:val="002D6406"/>
    <w:rsid w:val="002D6483"/>
    <w:rsid w:val="002D649A"/>
    <w:rsid w:val="002D67BF"/>
    <w:rsid w:val="002D6A1D"/>
    <w:rsid w:val="002D6A33"/>
    <w:rsid w:val="002D6ADE"/>
    <w:rsid w:val="002D6B2B"/>
    <w:rsid w:val="002D6FCB"/>
    <w:rsid w:val="002D729A"/>
    <w:rsid w:val="002E0DBB"/>
    <w:rsid w:val="002E17E2"/>
    <w:rsid w:val="002E1EBB"/>
    <w:rsid w:val="002E2281"/>
    <w:rsid w:val="002E2334"/>
    <w:rsid w:val="002E23FD"/>
    <w:rsid w:val="002E2721"/>
    <w:rsid w:val="002E29D6"/>
    <w:rsid w:val="002E2B09"/>
    <w:rsid w:val="002E35AE"/>
    <w:rsid w:val="002E3A27"/>
    <w:rsid w:val="002E3C5E"/>
    <w:rsid w:val="002E3EEA"/>
    <w:rsid w:val="002E4AAC"/>
    <w:rsid w:val="002E5A28"/>
    <w:rsid w:val="002E5F45"/>
    <w:rsid w:val="002E63DB"/>
    <w:rsid w:val="002E6538"/>
    <w:rsid w:val="002E66AC"/>
    <w:rsid w:val="002E684A"/>
    <w:rsid w:val="002E68E0"/>
    <w:rsid w:val="002E6B6B"/>
    <w:rsid w:val="002E7044"/>
    <w:rsid w:val="002E70E0"/>
    <w:rsid w:val="002E7391"/>
    <w:rsid w:val="002E7429"/>
    <w:rsid w:val="002E782D"/>
    <w:rsid w:val="002E7968"/>
    <w:rsid w:val="002E7AEB"/>
    <w:rsid w:val="002E7EB1"/>
    <w:rsid w:val="002F0155"/>
    <w:rsid w:val="002F0890"/>
    <w:rsid w:val="002F108A"/>
    <w:rsid w:val="002F15AF"/>
    <w:rsid w:val="002F1B94"/>
    <w:rsid w:val="002F1D3B"/>
    <w:rsid w:val="002F1DE4"/>
    <w:rsid w:val="002F28D3"/>
    <w:rsid w:val="002F2A19"/>
    <w:rsid w:val="002F2A72"/>
    <w:rsid w:val="002F2C6B"/>
    <w:rsid w:val="002F2ED9"/>
    <w:rsid w:val="002F3060"/>
    <w:rsid w:val="002F32CB"/>
    <w:rsid w:val="002F366F"/>
    <w:rsid w:val="002F36AF"/>
    <w:rsid w:val="002F3976"/>
    <w:rsid w:val="002F397F"/>
    <w:rsid w:val="002F3A33"/>
    <w:rsid w:val="002F3CDD"/>
    <w:rsid w:val="002F3FDF"/>
    <w:rsid w:val="002F4039"/>
    <w:rsid w:val="002F46A1"/>
    <w:rsid w:val="002F4966"/>
    <w:rsid w:val="002F4A77"/>
    <w:rsid w:val="002F4BE5"/>
    <w:rsid w:val="002F4F78"/>
    <w:rsid w:val="002F583D"/>
    <w:rsid w:val="002F5A77"/>
    <w:rsid w:val="002F5BF4"/>
    <w:rsid w:val="002F6170"/>
    <w:rsid w:val="002F642C"/>
    <w:rsid w:val="002F6A35"/>
    <w:rsid w:val="002F6C30"/>
    <w:rsid w:val="002F7484"/>
    <w:rsid w:val="002F7510"/>
    <w:rsid w:val="002F759E"/>
    <w:rsid w:val="002F75F6"/>
    <w:rsid w:val="002F7720"/>
    <w:rsid w:val="002F796C"/>
    <w:rsid w:val="002F7B7C"/>
    <w:rsid w:val="002F7E8E"/>
    <w:rsid w:val="00300056"/>
    <w:rsid w:val="003001C4"/>
    <w:rsid w:val="0030086D"/>
    <w:rsid w:val="00300F28"/>
    <w:rsid w:val="00300F63"/>
    <w:rsid w:val="00300FFA"/>
    <w:rsid w:val="0030100F"/>
    <w:rsid w:val="003011FC"/>
    <w:rsid w:val="0030123B"/>
    <w:rsid w:val="0030125C"/>
    <w:rsid w:val="00301359"/>
    <w:rsid w:val="003015F4"/>
    <w:rsid w:val="00301735"/>
    <w:rsid w:val="0030186F"/>
    <w:rsid w:val="00301B4F"/>
    <w:rsid w:val="00301E92"/>
    <w:rsid w:val="00301F5A"/>
    <w:rsid w:val="00302BA5"/>
    <w:rsid w:val="00303258"/>
    <w:rsid w:val="0030337D"/>
    <w:rsid w:val="00303702"/>
    <w:rsid w:val="00303A32"/>
    <w:rsid w:val="00303EB7"/>
    <w:rsid w:val="0030440D"/>
    <w:rsid w:val="00304414"/>
    <w:rsid w:val="00304520"/>
    <w:rsid w:val="00304B0B"/>
    <w:rsid w:val="00304BE3"/>
    <w:rsid w:val="00304C0B"/>
    <w:rsid w:val="00304DD9"/>
    <w:rsid w:val="00304F66"/>
    <w:rsid w:val="003051F2"/>
    <w:rsid w:val="0030578B"/>
    <w:rsid w:val="0030584D"/>
    <w:rsid w:val="00305943"/>
    <w:rsid w:val="0030598D"/>
    <w:rsid w:val="00306343"/>
    <w:rsid w:val="003063B3"/>
    <w:rsid w:val="003063F6"/>
    <w:rsid w:val="00306516"/>
    <w:rsid w:val="0030678F"/>
    <w:rsid w:val="003070EC"/>
    <w:rsid w:val="003072C2"/>
    <w:rsid w:val="0030742C"/>
    <w:rsid w:val="003077E8"/>
    <w:rsid w:val="00307967"/>
    <w:rsid w:val="00307A95"/>
    <w:rsid w:val="00307CE4"/>
    <w:rsid w:val="00307E36"/>
    <w:rsid w:val="00307EED"/>
    <w:rsid w:val="003101B4"/>
    <w:rsid w:val="00310246"/>
    <w:rsid w:val="00310794"/>
    <w:rsid w:val="00310DEF"/>
    <w:rsid w:val="00310EC0"/>
    <w:rsid w:val="0031121E"/>
    <w:rsid w:val="003116E7"/>
    <w:rsid w:val="00311B6A"/>
    <w:rsid w:val="00311B6B"/>
    <w:rsid w:val="00311DA7"/>
    <w:rsid w:val="003121BA"/>
    <w:rsid w:val="003121F3"/>
    <w:rsid w:val="003129ED"/>
    <w:rsid w:val="00312A5B"/>
    <w:rsid w:val="00312F6A"/>
    <w:rsid w:val="003132BF"/>
    <w:rsid w:val="0031348F"/>
    <w:rsid w:val="003144A2"/>
    <w:rsid w:val="003145F0"/>
    <w:rsid w:val="003145F4"/>
    <w:rsid w:val="00314781"/>
    <w:rsid w:val="00314B58"/>
    <w:rsid w:val="00314D42"/>
    <w:rsid w:val="00314ED4"/>
    <w:rsid w:val="00315127"/>
    <w:rsid w:val="00315384"/>
    <w:rsid w:val="003153AE"/>
    <w:rsid w:val="003154FE"/>
    <w:rsid w:val="00315791"/>
    <w:rsid w:val="00315831"/>
    <w:rsid w:val="00315AF8"/>
    <w:rsid w:val="00315EAC"/>
    <w:rsid w:val="00316007"/>
    <w:rsid w:val="00316D8B"/>
    <w:rsid w:val="0031712A"/>
    <w:rsid w:val="0031746B"/>
    <w:rsid w:val="003179FF"/>
    <w:rsid w:val="0032031E"/>
    <w:rsid w:val="003203EA"/>
    <w:rsid w:val="0032047D"/>
    <w:rsid w:val="00320716"/>
    <w:rsid w:val="00320719"/>
    <w:rsid w:val="00320B82"/>
    <w:rsid w:val="003212F4"/>
    <w:rsid w:val="00321B0D"/>
    <w:rsid w:val="00321B84"/>
    <w:rsid w:val="00322299"/>
    <w:rsid w:val="00322603"/>
    <w:rsid w:val="0032282B"/>
    <w:rsid w:val="003229B3"/>
    <w:rsid w:val="00322BDB"/>
    <w:rsid w:val="00322E12"/>
    <w:rsid w:val="0032327F"/>
    <w:rsid w:val="00323816"/>
    <w:rsid w:val="00323A7C"/>
    <w:rsid w:val="00323D3E"/>
    <w:rsid w:val="00323FD8"/>
    <w:rsid w:val="00324741"/>
    <w:rsid w:val="00324B01"/>
    <w:rsid w:val="00325387"/>
    <w:rsid w:val="00325433"/>
    <w:rsid w:val="00325B78"/>
    <w:rsid w:val="00326469"/>
    <w:rsid w:val="00326578"/>
    <w:rsid w:val="003266B1"/>
    <w:rsid w:val="003267DD"/>
    <w:rsid w:val="00326A94"/>
    <w:rsid w:val="00326DF3"/>
    <w:rsid w:val="00326E01"/>
    <w:rsid w:val="00326E28"/>
    <w:rsid w:val="00327619"/>
    <w:rsid w:val="003276E0"/>
    <w:rsid w:val="00327A51"/>
    <w:rsid w:val="00327C4E"/>
    <w:rsid w:val="00327D32"/>
    <w:rsid w:val="00330321"/>
    <w:rsid w:val="003305BA"/>
    <w:rsid w:val="003307D0"/>
    <w:rsid w:val="00330C81"/>
    <w:rsid w:val="003310D8"/>
    <w:rsid w:val="0033125B"/>
    <w:rsid w:val="0033129C"/>
    <w:rsid w:val="003312D7"/>
    <w:rsid w:val="00331712"/>
    <w:rsid w:val="00331752"/>
    <w:rsid w:val="00331844"/>
    <w:rsid w:val="003319FD"/>
    <w:rsid w:val="00331A58"/>
    <w:rsid w:val="00331F69"/>
    <w:rsid w:val="003322FA"/>
    <w:rsid w:val="0033252B"/>
    <w:rsid w:val="0033292C"/>
    <w:rsid w:val="003329E8"/>
    <w:rsid w:val="00332B3F"/>
    <w:rsid w:val="00332B8C"/>
    <w:rsid w:val="00332E2B"/>
    <w:rsid w:val="00332EAD"/>
    <w:rsid w:val="00333190"/>
    <w:rsid w:val="00333470"/>
    <w:rsid w:val="00333572"/>
    <w:rsid w:val="00333ED0"/>
    <w:rsid w:val="00333F34"/>
    <w:rsid w:val="00334045"/>
    <w:rsid w:val="00334077"/>
    <w:rsid w:val="003344C3"/>
    <w:rsid w:val="0033492D"/>
    <w:rsid w:val="003351AC"/>
    <w:rsid w:val="0033531A"/>
    <w:rsid w:val="00335341"/>
    <w:rsid w:val="00335356"/>
    <w:rsid w:val="003354DA"/>
    <w:rsid w:val="003357C7"/>
    <w:rsid w:val="00335B66"/>
    <w:rsid w:val="00335FA1"/>
    <w:rsid w:val="00336224"/>
    <w:rsid w:val="003372A6"/>
    <w:rsid w:val="00337597"/>
    <w:rsid w:val="003376C8"/>
    <w:rsid w:val="003376FE"/>
    <w:rsid w:val="00337882"/>
    <w:rsid w:val="003379BC"/>
    <w:rsid w:val="00337E55"/>
    <w:rsid w:val="00340001"/>
    <w:rsid w:val="003402BB"/>
    <w:rsid w:val="003404EE"/>
    <w:rsid w:val="0034078F"/>
    <w:rsid w:val="00340CC8"/>
    <w:rsid w:val="00340DAD"/>
    <w:rsid w:val="00340FB3"/>
    <w:rsid w:val="00341025"/>
    <w:rsid w:val="0034112F"/>
    <w:rsid w:val="003413A4"/>
    <w:rsid w:val="0034153E"/>
    <w:rsid w:val="003417DD"/>
    <w:rsid w:val="00341A81"/>
    <w:rsid w:val="00341D24"/>
    <w:rsid w:val="0034206F"/>
    <w:rsid w:val="003422B8"/>
    <w:rsid w:val="0034306C"/>
    <w:rsid w:val="003435E5"/>
    <w:rsid w:val="0034367F"/>
    <w:rsid w:val="00343D23"/>
    <w:rsid w:val="00344139"/>
    <w:rsid w:val="00344260"/>
    <w:rsid w:val="003443FF"/>
    <w:rsid w:val="00344622"/>
    <w:rsid w:val="00344659"/>
    <w:rsid w:val="003452F4"/>
    <w:rsid w:val="00345323"/>
    <w:rsid w:val="00345531"/>
    <w:rsid w:val="00345624"/>
    <w:rsid w:val="00345C7B"/>
    <w:rsid w:val="00345ED2"/>
    <w:rsid w:val="00346A24"/>
    <w:rsid w:val="00346D4C"/>
    <w:rsid w:val="00347377"/>
    <w:rsid w:val="003474EC"/>
    <w:rsid w:val="00347B99"/>
    <w:rsid w:val="00347D17"/>
    <w:rsid w:val="00347D19"/>
    <w:rsid w:val="00347D8E"/>
    <w:rsid w:val="00347E04"/>
    <w:rsid w:val="00347FAF"/>
    <w:rsid w:val="0035028E"/>
    <w:rsid w:val="00350433"/>
    <w:rsid w:val="0035074A"/>
    <w:rsid w:val="00350787"/>
    <w:rsid w:val="003508C0"/>
    <w:rsid w:val="00351811"/>
    <w:rsid w:val="00351A1F"/>
    <w:rsid w:val="00351D00"/>
    <w:rsid w:val="00351D09"/>
    <w:rsid w:val="00351F5D"/>
    <w:rsid w:val="00352209"/>
    <w:rsid w:val="00352709"/>
    <w:rsid w:val="0035271D"/>
    <w:rsid w:val="0035282F"/>
    <w:rsid w:val="00352AA5"/>
    <w:rsid w:val="00352E6F"/>
    <w:rsid w:val="00353025"/>
    <w:rsid w:val="0035357D"/>
    <w:rsid w:val="003536C0"/>
    <w:rsid w:val="00353B31"/>
    <w:rsid w:val="00354331"/>
    <w:rsid w:val="00354818"/>
    <w:rsid w:val="00354CA8"/>
    <w:rsid w:val="00354FB4"/>
    <w:rsid w:val="003555FC"/>
    <w:rsid w:val="0035571B"/>
    <w:rsid w:val="00356375"/>
    <w:rsid w:val="00356F9E"/>
    <w:rsid w:val="0035708C"/>
    <w:rsid w:val="003574D2"/>
    <w:rsid w:val="00357590"/>
    <w:rsid w:val="00357625"/>
    <w:rsid w:val="00357754"/>
    <w:rsid w:val="00357785"/>
    <w:rsid w:val="003578CE"/>
    <w:rsid w:val="003601FD"/>
    <w:rsid w:val="00360387"/>
    <w:rsid w:val="0036057A"/>
    <w:rsid w:val="0036064A"/>
    <w:rsid w:val="003606CA"/>
    <w:rsid w:val="00360AEC"/>
    <w:rsid w:val="00360B47"/>
    <w:rsid w:val="00360DEF"/>
    <w:rsid w:val="003611FE"/>
    <w:rsid w:val="00361B25"/>
    <w:rsid w:val="00361B62"/>
    <w:rsid w:val="00361B91"/>
    <w:rsid w:val="003624CE"/>
    <w:rsid w:val="0036269D"/>
    <w:rsid w:val="00362A87"/>
    <w:rsid w:val="00362CC0"/>
    <w:rsid w:val="0036340A"/>
    <w:rsid w:val="00363719"/>
    <w:rsid w:val="00363848"/>
    <w:rsid w:val="00363863"/>
    <w:rsid w:val="00363AEA"/>
    <w:rsid w:val="00363B0E"/>
    <w:rsid w:val="003646DC"/>
    <w:rsid w:val="00364991"/>
    <w:rsid w:val="00364EE4"/>
    <w:rsid w:val="003650B1"/>
    <w:rsid w:val="00365EC0"/>
    <w:rsid w:val="003663CA"/>
    <w:rsid w:val="0036651B"/>
    <w:rsid w:val="003667D4"/>
    <w:rsid w:val="003669D2"/>
    <w:rsid w:val="003674E4"/>
    <w:rsid w:val="003676EF"/>
    <w:rsid w:val="00367D8D"/>
    <w:rsid w:val="00367EB2"/>
    <w:rsid w:val="003701E9"/>
    <w:rsid w:val="0037056C"/>
    <w:rsid w:val="00370750"/>
    <w:rsid w:val="00370872"/>
    <w:rsid w:val="00370B5F"/>
    <w:rsid w:val="00370C9C"/>
    <w:rsid w:val="00371035"/>
    <w:rsid w:val="003714D2"/>
    <w:rsid w:val="003716C3"/>
    <w:rsid w:val="00371723"/>
    <w:rsid w:val="00371AE0"/>
    <w:rsid w:val="00372265"/>
    <w:rsid w:val="00372370"/>
    <w:rsid w:val="00372381"/>
    <w:rsid w:val="00372550"/>
    <w:rsid w:val="00373163"/>
    <w:rsid w:val="0037320F"/>
    <w:rsid w:val="003739E0"/>
    <w:rsid w:val="00373BBF"/>
    <w:rsid w:val="00373DA3"/>
    <w:rsid w:val="00373F50"/>
    <w:rsid w:val="00374378"/>
    <w:rsid w:val="00374D3A"/>
    <w:rsid w:val="0037533D"/>
    <w:rsid w:val="003757EC"/>
    <w:rsid w:val="00375848"/>
    <w:rsid w:val="00375958"/>
    <w:rsid w:val="00375C8C"/>
    <w:rsid w:val="0037605E"/>
    <w:rsid w:val="003762D7"/>
    <w:rsid w:val="003762DB"/>
    <w:rsid w:val="003763E1"/>
    <w:rsid w:val="003764D8"/>
    <w:rsid w:val="003766FF"/>
    <w:rsid w:val="00376B9D"/>
    <w:rsid w:val="00376BF2"/>
    <w:rsid w:val="00376C23"/>
    <w:rsid w:val="00376E3F"/>
    <w:rsid w:val="00377181"/>
    <w:rsid w:val="00377822"/>
    <w:rsid w:val="003778BE"/>
    <w:rsid w:val="003779E3"/>
    <w:rsid w:val="00377AFE"/>
    <w:rsid w:val="00380248"/>
    <w:rsid w:val="0038035A"/>
    <w:rsid w:val="003803F6"/>
    <w:rsid w:val="00380677"/>
    <w:rsid w:val="0038072A"/>
    <w:rsid w:val="003808B9"/>
    <w:rsid w:val="003809F9"/>
    <w:rsid w:val="003811D0"/>
    <w:rsid w:val="0038139E"/>
    <w:rsid w:val="00381644"/>
    <w:rsid w:val="00381C04"/>
    <w:rsid w:val="00381D7E"/>
    <w:rsid w:val="00381DEC"/>
    <w:rsid w:val="0038247F"/>
    <w:rsid w:val="00382A4B"/>
    <w:rsid w:val="00382AEA"/>
    <w:rsid w:val="00382F05"/>
    <w:rsid w:val="003837DE"/>
    <w:rsid w:val="00383FEF"/>
    <w:rsid w:val="0038423D"/>
    <w:rsid w:val="003842D8"/>
    <w:rsid w:val="00384346"/>
    <w:rsid w:val="00384608"/>
    <w:rsid w:val="00384800"/>
    <w:rsid w:val="00384AD8"/>
    <w:rsid w:val="00384C12"/>
    <w:rsid w:val="00384ED7"/>
    <w:rsid w:val="003852A8"/>
    <w:rsid w:val="003859D3"/>
    <w:rsid w:val="00385A29"/>
    <w:rsid w:val="00385ABC"/>
    <w:rsid w:val="00385B54"/>
    <w:rsid w:val="00385E8A"/>
    <w:rsid w:val="00385EE7"/>
    <w:rsid w:val="00386249"/>
    <w:rsid w:val="00386396"/>
    <w:rsid w:val="003866B4"/>
    <w:rsid w:val="00386953"/>
    <w:rsid w:val="00386B54"/>
    <w:rsid w:val="00386DA2"/>
    <w:rsid w:val="00386E5E"/>
    <w:rsid w:val="00386F90"/>
    <w:rsid w:val="0038765A"/>
    <w:rsid w:val="00387D7C"/>
    <w:rsid w:val="0039033A"/>
    <w:rsid w:val="00390492"/>
    <w:rsid w:val="00390E4E"/>
    <w:rsid w:val="00390ED3"/>
    <w:rsid w:val="00391244"/>
    <w:rsid w:val="00391737"/>
    <w:rsid w:val="00391AB5"/>
    <w:rsid w:val="00392F1D"/>
    <w:rsid w:val="00392FF1"/>
    <w:rsid w:val="00393327"/>
    <w:rsid w:val="0039363D"/>
    <w:rsid w:val="0039432F"/>
    <w:rsid w:val="003947CE"/>
    <w:rsid w:val="003949C0"/>
    <w:rsid w:val="00394D41"/>
    <w:rsid w:val="003952EA"/>
    <w:rsid w:val="0039549D"/>
    <w:rsid w:val="00395CE1"/>
    <w:rsid w:val="00395D73"/>
    <w:rsid w:val="0039609E"/>
    <w:rsid w:val="00396276"/>
    <w:rsid w:val="00396383"/>
    <w:rsid w:val="0039675D"/>
    <w:rsid w:val="003969BA"/>
    <w:rsid w:val="00396B02"/>
    <w:rsid w:val="00396B8F"/>
    <w:rsid w:val="00396C88"/>
    <w:rsid w:val="00396F35"/>
    <w:rsid w:val="0039719C"/>
    <w:rsid w:val="0039732A"/>
    <w:rsid w:val="003973FB"/>
    <w:rsid w:val="003975C3"/>
    <w:rsid w:val="0039778E"/>
    <w:rsid w:val="003A00F7"/>
    <w:rsid w:val="003A01C5"/>
    <w:rsid w:val="003A0775"/>
    <w:rsid w:val="003A0849"/>
    <w:rsid w:val="003A08DE"/>
    <w:rsid w:val="003A118A"/>
    <w:rsid w:val="003A1191"/>
    <w:rsid w:val="003A16CF"/>
    <w:rsid w:val="003A1DFD"/>
    <w:rsid w:val="003A2288"/>
    <w:rsid w:val="003A2CC6"/>
    <w:rsid w:val="003A2E02"/>
    <w:rsid w:val="003A2E4E"/>
    <w:rsid w:val="003A2E63"/>
    <w:rsid w:val="003A2EEA"/>
    <w:rsid w:val="003A36E8"/>
    <w:rsid w:val="003A38CA"/>
    <w:rsid w:val="003A3E86"/>
    <w:rsid w:val="003A3FC1"/>
    <w:rsid w:val="003A409B"/>
    <w:rsid w:val="003A4188"/>
    <w:rsid w:val="003A41C6"/>
    <w:rsid w:val="003A45F5"/>
    <w:rsid w:val="003A4BAD"/>
    <w:rsid w:val="003A527D"/>
    <w:rsid w:val="003A5483"/>
    <w:rsid w:val="003A54A6"/>
    <w:rsid w:val="003A5550"/>
    <w:rsid w:val="003A5C42"/>
    <w:rsid w:val="003A5CFD"/>
    <w:rsid w:val="003A63D7"/>
    <w:rsid w:val="003A65CE"/>
    <w:rsid w:val="003A675A"/>
    <w:rsid w:val="003A67B7"/>
    <w:rsid w:val="003A69F6"/>
    <w:rsid w:val="003A6B0F"/>
    <w:rsid w:val="003A7314"/>
    <w:rsid w:val="003A73A8"/>
    <w:rsid w:val="003A7632"/>
    <w:rsid w:val="003A772B"/>
    <w:rsid w:val="003A7C43"/>
    <w:rsid w:val="003A7D55"/>
    <w:rsid w:val="003B0479"/>
    <w:rsid w:val="003B05CC"/>
    <w:rsid w:val="003B06E1"/>
    <w:rsid w:val="003B0A37"/>
    <w:rsid w:val="003B0C00"/>
    <w:rsid w:val="003B0F43"/>
    <w:rsid w:val="003B1219"/>
    <w:rsid w:val="003B14FA"/>
    <w:rsid w:val="003B18D1"/>
    <w:rsid w:val="003B1B43"/>
    <w:rsid w:val="003B1CF4"/>
    <w:rsid w:val="003B1DBA"/>
    <w:rsid w:val="003B1FA9"/>
    <w:rsid w:val="003B225D"/>
    <w:rsid w:val="003B22DF"/>
    <w:rsid w:val="003B2B97"/>
    <w:rsid w:val="003B2DE0"/>
    <w:rsid w:val="003B2E44"/>
    <w:rsid w:val="003B312D"/>
    <w:rsid w:val="003B339C"/>
    <w:rsid w:val="003B33D4"/>
    <w:rsid w:val="003B3531"/>
    <w:rsid w:val="003B3536"/>
    <w:rsid w:val="003B39ED"/>
    <w:rsid w:val="003B3C0B"/>
    <w:rsid w:val="003B3D87"/>
    <w:rsid w:val="003B41A5"/>
    <w:rsid w:val="003B430E"/>
    <w:rsid w:val="003B44F8"/>
    <w:rsid w:val="003B492F"/>
    <w:rsid w:val="003B4B37"/>
    <w:rsid w:val="003B4DA3"/>
    <w:rsid w:val="003B52D6"/>
    <w:rsid w:val="003B588C"/>
    <w:rsid w:val="003B5B81"/>
    <w:rsid w:val="003B5C83"/>
    <w:rsid w:val="003B6431"/>
    <w:rsid w:val="003B652B"/>
    <w:rsid w:val="003B66D9"/>
    <w:rsid w:val="003B68A7"/>
    <w:rsid w:val="003B6A20"/>
    <w:rsid w:val="003B6A99"/>
    <w:rsid w:val="003B7378"/>
    <w:rsid w:val="003B7458"/>
    <w:rsid w:val="003B78FA"/>
    <w:rsid w:val="003B7945"/>
    <w:rsid w:val="003B7BCB"/>
    <w:rsid w:val="003B7E9A"/>
    <w:rsid w:val="003B7EC9"/>
    <w:rsid w:val="003C0133"/>
    <w:rsid w:val="003C015F"/>
    <w:rsid w:val="003C0699"/>
    <w:rsid w:val="003C0F3B"/>
    <w:rsid w:val="003C10E2"/>
    <w:rsid w:val="003C1481"/>
    <w:rsid w:val="003C1D72"/>
    <w:rsid w:val="003C1F0C"/>
    <w:rsid w:val="003C1FF7"/>
    <w:rsid w:val="003C218C"/>
    <w:rsid w:val="003C2CAC"/>
    <w:rsid w:val="003C3A61"/>
    <w:rsid w:val="003C3ED8"/>
    <w:rsid w:val="003C408B"/>
    <w:rsid w:val="003C460D"/>
    <w:rsid w:val="003C4796"/>
    <w:rsid w:val="003C4B33"/>
    <w:rsid w:val="003C4B6F"/>
    <w:rsid w:val="003C5436"/>
    <w:rsid w:val="003C5890"/>
    <w:rsid w:val="003C58C6"/>
    <w:rsid w:val="003C58D3"/>
    <w:rsid w:val="003C5E45"/>
    <w:rsid w:val="003C5FDC"/>
    <w:rsid w:val="003C66BE"/>
    <w:rsid w:val="003C6B70"/>
    <w:rsid w:val="003C6F9B"/>
    <w:rsid w:val="003C786B"/>
    <w:rsid w:val="003C7C54"/>
    <w:rsid w:val="003C7E09"/>
    <w:rsid w:val="003D01ED"/>
    <w:rsid w:val="003D0516"/>
    <w:rsid w:val="003D0707"/>
    <w:rsid w:val="003D0794"/>
    <w:rsid w:val="003D0BCD"/>
    <w:rsid w:val="003D0C3F"/>
    <w:rsid w:val="003D0C44"/>
    <w:rsid w:val="003D0CF4"/>
    <w:rsid w:val="003D0FFF"/>
    <w:rsid w:val="003D1620"/>
    <w:rsid w:val="003D223A"/>
    <w:rsid w:val="003D22A6"/>
    <w:rsid w:val="003D234F"/>
    <w:rsid w:val="003D23EC"/>
    <w:rsid w:val="003D26EB"/>
    <w:rsid w:val="003D2A9A"/>
    <w:rsid w:val="003D349E"/>
    <w:rsid w:val="003D3550"/>
    <w:rsid w:val="003D3877"/>
    <w:rsid w:val="003D3CFF"/>
    <w:rsid w:val="003D3E77"/>
    <w:rsid w:val="003D3FD9"/>
    <w:rsid w:val="003D4782"/>
    <w:rsid w:val="003D4799"/>
    <w:rsid w:val="003D47EA"/>
    <w:rsid w:val="003D4CA2"/>
    <w:rsid w:val="003D4CBF"/>
    <w:rsid w:val="003D4D55"/>
    <w:rsid w:val="003D5003"/>
    <w:rsid w:val="003D5220"/>
    <w:rsid w:val="003D54DE"/>
    <w:rsid w:val="003D54EA"/>
    <w:rsid w:val="003D5604"/>
    <w:rsid w:val="003D5A4D"/>
    <w:rsid w:val="003D5CB4"/>
    <w:rsid w:val="003D5EB9"/>
    <w:rsid w:val="003D6328"/>
    <w:rsid w:val="003D63E4"/>
    <w:rsid w:val="003D6808"/>
    <w:rsid w:val="003D6832"/>
    <w:rsid w:val="003D696B"/>
    <w:rsid w:val="003D6C89"/>
    <w:rsid w:val="003D70D8"/>
    <w:rsid w:val="003D7FF9"/>
    <w:rsid w:val="003E01CF"/>
    <w:rsid w:val="003E01F6"/>
    <w:rsid w:val="003E05BD"/>
    <w:rsid w:val="003E09B2"/>
    <w:rsid w:val="003E0AA2"/>
    <w:rsid w:val="003E0BAB"/>
    <w:rsid w:val="003E17B1"/>
    <w:rsid w:val="003E1A46"/>
    <w:rsid w:val="003E1B99"/>
    <w:rsid w:val="003E1CE3"/>
    <w:rsid w:val="003E2235"/>
    <w:rsid w:val="003E22D8"/>
    <w:rsid w:val="003E2950"/>
    <w:rsid w:val="003E3174"/>
    <w:rsid w:val="003E3AD9"/>
    <w:rsid w:val="003E44D9"/>
    <w:rsid w:val="003E4510"/>
    <w:rsid w:val="003E512C"/>
    <w:rsid w:val="003E5381"/>
    <w:rsid w:val="003E55D5"/>
    <w:rsid w:val="003E5709"/>
    <w:rsid w:val="003E5AC6"/>
    <w:rsid w:val="003E5BBF"/>
    <w:rsid w:val="003E6A11"/>
    <w:rsid w:val="003E6DE0"/>
    <w:rsid w:val="003E6E8F"/>
    <w:rsid w:val="003E705D"/>
    <w:rsid w:val="003E71BD"/>
    <w:rsid w:val="003E7CED"/>
    <w:rsid w:val="003E7D5C"/>
    <w:rsid w:val="003F07B9"/>
    <w:rsid w:val="003F0C3E"/>
    <w:rsid w:val="003F0DC9"/>
    <w:rsid w:val="003F15F6"/>
    <w:rsid w:val="003F1808"/>
    <w:rsid w:val="003F1EC2"/>
    <w:rsid w:val="003F2109"/>
    <w:rsid w:val="003F21A7"/>
    <w:rsid w:val="003F22C2"/>
    <w:rsid w:val="003F23CE"/>
    <w:rsid w:val="003F262B"/>
    <w:rsid w:val="003F2872"/>
    <w:rsid w:val="003F2EA6"/>
    <w:rsid w:val="003F2F57"/>
    <w:rsid w:val="003F3538"/>
    <w:rsid w:val="003F383E"/>
    <w:rsid w:val="003F3862"/>
    <w:rsid w:val="003F4466"/>
    <w:rsid w:val="003F46E5"/>
    <w:rsid w:val="003F4AF8"/>
    <w:rsid w:val="003F4CA0"/>
    <w:rsid w:val="003F503D"/>
    <w:rsid w:val="003F531A"/>
    <w:rsid w:val="003F559A"/>
    <w:rsid w:val="003F57C2"/>
    <w:rsid w:val="003F58CF"/>
    <w:rsid w:val="003F5AB4"/>
    <w:rsid w:val="003F5BB1"/>
    <w:rsid w:val="003F5E4D"/>
    <w:rsid w:val="003F6079"/>
    <w:rsid w:val="003F61D8"/>
    <w:rsid w:val="003F64D7"/>
    <w:rsid w:val="003F6606"/>
    <w:rsid w:val="003F6944"/>
    <w:rsid w:val="003F6AE6"/>
    <w:rsid w:val="003F6E8A"/>
    <w:rsid w:val="003F754C"/>
    <w:rsid w:val="003F797B"/>
    <w:rsid w:val="003F7EBD"/>
    <w:rsid w:val="00400650"/>
    <w:rsid w:val="00400BBA"/>
    <w:rsid w:val="00400C7E"/>
    <w:rsid w:val="0040151C"/>
    <w:rsid w:val="00401D29"/>
    <w:rsid w:val="00401D4D"/>
    <w:rsid w:val="004020DE"/>
    <w:rsid w:val="0040216C"/>
    <w:rsid w:val="00402522"/>
    <w:rsid w:val="0040298C"/>
    <w:rsid w:val="00402A5E"/>
    <w:rsid w:val="00402FBC"/>
    <w:rsid w:val="004033A1"/>
    <w:rsid w:val="0040346F"/>
    <w:rsid w:val="00403675"/>
    <w:rsid w:val="00403804"/>
    <w:rsid w:val="00403ADD"/>
    <w:rsid w:val="00403EAF"/>
    <w:rsid w:val="00404055"/>
    <w:rsid w:val="004049AB"/>
    <w:rsid w:val="00405528"/>
    <w:rsid w:val="0040586C"/>
    <w:rsid w:val="00405B38"/>
    <w:rsid w:val="00405CA2"/>
    <w:rsid w:val="00405E90"/>
    <w:rsid w:val="004063EB"/>
    <w:rsid w:val="00406984"/>
    <w:rsid w:val="00406B28"/>
    <w:rsid w:val="00406CC8"/>
    <w:rsid w:val="00406CE8"/>
    <w:rsid w:val="00406F5F"/>
    <w:rsid w:val="00406F84"/>
    <w:rsid w:val="00407069"/>
    <w:rsid w:val="00407427"/>
    <w:rsid w:val="0040746D"/>
    <w:rsid w:val="004075B3"/>
    <w:rsid w:val="004076CD"/>
    <w:rsid w:val="00407928"/>
    <w:rsid w:val="00410365"/>
    <w:rsid w:val="00410C78"/>
    <w:rsid w:val="00410E8E"/>
    <w:rsid w:val="00410F34"/>
    <w:rsid w:val="00411310"/>
    <w:rsid w:val="00412099"/>
    <w:rsid w:val="00412189"/>
    <w:rsid w:val="00412881"/>
    <w:rsid w:val="00412B2A"/>
    <w:rsid w:val="00412F02"/>
    <w:rsid w:val="0041348C"/>
    <w:rsid w:val="0041411C"/>
    <w:rsid w:val="00414124"/>
    <w:rsid w:val="00414129"/>
    <w:rsid w:val="0041429A"/>
    <w:rsid w:val="004146B5"/>
    <w:rsid w:val="00414BD6"/>
    <w:rsid w:val="004156A5"/>
    <w:rsid w:val="00415AC0"/>
    <w:rsid w:val="00416A83"/>
    <w:rsid w:val="00416C48"/>
    <w:rsid w:val="00416D41"/>
    <w:rsid w:val="00416D72"/>
    <w:rsid w:val="00416DDC"/>
    <w:rsid w:val="00417330"/>
    <w:rsid w:val="004173E2"/>
    <w:rsid w:val="0041740B"/>
    <w:rsid w:val="0041757D"/>
    <w:rsid w:val="004177F3"/>
    <w:rsid w:val="00417A27"/>
    <w:rsid w:val="004200B1"/>
    <w:rsid w:val="004207AA"/>
    <w:rsid w:val="004209CC"/>
    <w:rsid w:val="00420E3B"/>
    <w:rsid w:val="0042108F"/>
    <w:rsid w:val="00421545"/>
    <w:rsid w:val="004216D5"/>
    <w:rsid w:val="00421E51"/>
    <w:rsid w:val="00421FBA"/>
    <w:rsid w:val="004221D9"/>
    <w:rsid w:val="00422E5C"/>
    <w:rsid w:val="00422F48"/>
    <w:rsid w:val="00423006"/>
    <w:rsid w:val="0042358C"/>
    <w:rsid w:val="00423640"/>
    <w:rsid w:val="004238F1"/>
    <w:rsid w:val="004241F8"/>
    <w:rsid w:val="0042495E"/>
    <w:rsid w:val="00424B8C"/>
    <w:rsid w:val="00424E0D"/>
    <w:rsid w:val="00424F99"/>
    <w:rsid w:val="0042567B"/>
    <w:rsid w:val="00425A93"/>
    <w:rsid w:val="00425B2B"/>
    <w:rsid w:val="00425ED4"/>
    <w:rsid w:val="0042610E"/>
    <w:rsid w:val="00426211"/>
    <w:rsid w:val="004263C6"/>
    <w:rsid w:val="00426735"/>
    <w:rsid w:val="0042694A"/>
    <w:rsid w:val="00426D59"/>
    <w:rsid w:val="004271D3"/>
    <w:rsid w:val="004274D4"/>
    <w:rsid w:val="00427903"/>
    <w:rsid w:val="00427966"/>
    <w:rsid w:val="00427A34"/>
    <w:rsid w:val="00427A5D"/>
    <w:rsid w:val="00427B5F"/>
    <w:rsid w:val="004300D3"/>
    <w:rsid w:val="00430244"/>
    <w:rsid w:val="00430564"/>
    <w:rsid w:val="00430A76"/>
    <w:rsid w:val="00430DFC"/>
    <w:rsid w:val="00430DFD"/>
    <w:rsid w:val="00430F19"/>
    <w:rsid w:val="00431238"/>
    <w:rsid w:val="004314B2"/>
    <w:rsid w:val="00431AE1"/>
    <w:rsid w:val="00431AFB"/>
    <w:rsid w:val="004326AB"/>
    <w:rsid w:val="004328A1"/>
    <w:rsid w:val="004328AC"/>
    <w:rsid w:val="00432A1F"/>
    <w:rsid w:val="00432FB9"/>
    <w:rsid w:val="00433197"/>
    <w:rsid w:val="004337F3"/>
    <w:rsid w:val="00433923"/>
    <w:rsid w:val="00434235"/>
    <w:rsid w:val="0043453C"/>
    <w:rsid w:val="004345C0"/>
    <w:rsid w:val="00434A46"/>
    <w:rsid w:val="00434C7F"/>
    <w:rsid w:val="00435307"/>
    <w:rsid w:val="00435629"/>
    <w:rsid w:val="0043584C"/>
    <w:rsid w:val="0043592A"/>
    <w:rsid w:val="00435969"/>
    <w:rsid w:val="004359A5"/>
    <w:rsid w:val="00436191"/>
    <w:rsid w:val="0043643C"/>
    <w:rsid w:val="004365BC"/>
    <w:rsid w:val="004366F3"/>
    <w:rsid w:val="00436A0F"/>
    <w:rsid w:val="00436D6E"/>
    <w:rsid w:val="00437056"/>
    <w:rsid w:val="004372CA"/>
    <w:rsid w:val="004373E6"/>
    <w:rsid w:val="004375EB"/>
    <w:rsid w:val="004378FA"/>
    <w:rsid w:val="00437A64"/>
    <w:rsid w:val="00437FF7"/>
    <w:rsid w:val="004400AE"/>
    <w:rsid w:val="00440216"/>
    <w:rsid w:val="00440C00"/>
    <w:rsid w:val="004412D6"/>
    <w:rsid w:val="00441317"/>
    <w:rsid w:val="00441434"/>
    <w:rsid w:val="00441A37"/>
    <w:rsid w:val="00441D4D"/>
    <w:rsid w:val="00441E71"/>
    <w:rsid w:val="00441E9D"/>
    <w:rsid w:val="00442A75"/>
    <w:rsid w:val="00442CD3"/>
    <w:rsid w:val="0044350D"/>
    <w:rsid w:val="0044390E"/>
    <w:rsid w:val="00443DCF"/>
    <w:rsid w:val="00443F94"/>
    <w:rsid w:val="00443FE7"/>
    <w:rsid w:val="0044412D"/>
    <w:rsid w:val="00444458"/>
    <w:rsid w:val="00444E7C"/>
    <w:rsid w:val="00445055"/>
    <w:rsid w:val="00445161"/>
    <w:rsid w:val="00445527"/>
    <w:rsid w:val="004456B8"/>
    <w:rsid w:val="00445767"/>
    <w:rsid w:val="004457FB"/>
    <w:rsid w:val="00445C7B"/>
    <w:rsid w:val="00445D16"/>
    <w:rsid w:val="004460AE"/>
    <w:rsid w:val="004462AA"/>
    <w:rsid w:val="00446695"/>
    <w:rsid w:val="004471CC"/>
    <w:rsid w:val="00447466"/>
    <w:rsid w:val="00447AF5"/>
    <w:rsid w:val="00447C3C"/>
    <w:rsid w:val="00447D08"/>
    <w:rsid w:val="00447F9E"/>
    <w:rsid w:val="00450954"/>
    <w:rsid w:val="00450DFF"/>
    <w:rsid w:val="00450F57"/>
    <w:rsid w:val="00450FD8"/>
    <w:rsid w:val="0045111A"/>
    <w:rsid w:val="0045166A"/>
    <w:rsid w:val="004517AA"/>
    <w:rsid w:val="00451DA3"/>
    <w:rsid w:val="00452058"/>
    <w:rsid w:val="00452097"/>
    <w:rsid w:val="004521F4"/>
    <w:rsid w:val="00452423"/>
    <w:rsid w:val="004524DF"/>
    <w:rsid w:val="004526DF"/>
    <w:rsid w:val="00452A24"/>
    <w:rsid w:val="00452B66"/>
    <w:rsid w:val="0045337D"/>
    <w:rsid w:val="00453417"/>
    <w:rsid w:val="00453578"/>
    <w:rsid w:val="00453A7E"/>
    <w:rsid w:val="00453AF8"/>
    <w:rsid w:val="00453F64"/>
    <w:rsid w:val="00454244"/>
    <w:rsid w:val="004543CE"/>
    <w:rsid w:val="0045474B"/>
    <w:rsid w:val="00454792"/>
    <w:rsid w:val="00454A93"/>
    <w:rsid w:val="00454BE8"/>
    <w:rsid w:val="00454CA5"/>
    <w:rsid w:val="00455198"/>
    <w:rsid w:val="00455398"/>
    <w:rsid w:val="00455475"/>
    <w:rsid w:val="004558FC"/>
    <w:rsid w:val="00455A26"/>
    <w:rsid w:val="00455C82"/>
    <w:rsid w:val="00455F38"/>
    <w:rsid w:val="004562EE"/>
    <w:rsid w:val="00456681"/>
    <w:rsid w:val="0045693B"/>
    <w:rsid w:val="00456C90"/>
    <w:rsid w:val="00456CE4"/>
    <w:rsid w:val="00456ED2"/>
    <w:rsid w:val="00457028"/>
    <w:rsid w:val="00457464"/>
    <w:rsid w:val="00457874"/>
    <w:rsid w:val="00457A01"/>
    <w:rsid w:val="00457A56"/>
    <w:rsid w:val="00457DDB"/>
    <w:rsid w:val="00460094"/>
    <w:rsid w:val="0046031D"/>
    <w:rsid w:val="004607B2"/>
    <w:rsid w:val="0046097A"/>
    <w:rsid w:val="00460A88"/>
    <w:rsid w:val="00460E29"/>
    <w:rsid w:val="004615D5"/>
    <w:rsid w:val="004618AD"/>
    <w:rsid w:val="00461B70"/>
    <w:rsid w:val="00461C83"/>
    <w:rsid w:val="00461CC1"/>
    <w:rsid w:val="00462166"/>
    <w:rsid w:val="004622AD"/>
    <w:rsid w:val="0046240B"/>
    <w:rsid w:val="0046248C"/>
    <w:rsid w:val="0046281A"/>
    <w:rsid w:val="00463152"/>
    <w:rsid w:val="00463A1B"/>
    <w:rsid w:val="00463A66"/>
    <w:rsid w:val="00464A04"/>
    <w:rsid w:val="00464A96"/>
    <w:rsid w:val="00464B80"/>
    <w:rsid w:val="00464DD0"/>
    <w:rsid w:val="0046526D"/>
    <w:rsid w:val="0046572D"/>
    <w:rsid w:val="004657A4"/>
    <w:rsid w:val="00465B3C"/>
    <w:rsid w:val="00465BC2"/>
    <w:rsid w:val="004660BE"/>
    <w:rsid w:val="00466531"/>
    <w:rsid w:val="004667A4"/>
    <w:rsid w:val="0046746D"/>
    <w:rsid w:val="00467710"/>
    <w:rsid w:val="004677A2"/>
    <w:rsid w:val="0046787E"/>
    <w:rsid w:val="00467BED"/>
    <w:rsid w:val="00467F86"/>
    <w:rsid w:val="004702DF"/>
    <w:rsid w:val="004702F0"/>
    <w:rsid w:val="00470419"/>
    <w:rsid w:val="00470E89"/>
    <w:rsid w:val="00470EDA"/>
    <w:rsid w:val="00470F3E"/>
    <w:rsid w:val="004714A7"/>
    <w:rsid w:val="00471642"/>
    <w:rsid w:val="004716C7"/>
    <w:rsid w:val="0047195B"/>
    <w:rsid w:val="004719A7"/>
    <w:rsid w:val="00471C81"/>
    <w:rsid w:val="0047201D"/>
    <w:rsid w:val="00472232"/>
    <w:rsid w:val="00472365"/>
    <w:rsid w:val="00472840"/>
    <w:rsid w:val="00472C1A"/>
    <w:rsid w:val="00473343"/>
    <w:rsid w:val="0047371A"/>
    <w:rsid w:val="00473BC8"/>
    <w:rsid w:val="00473BEF"/>
    <w:rsid w:val="0047405A"/>
    <w:rsid w:val="004740C8"/>
    <w:rsid w:val="00474229"/>
    <w:rsid w:val="00474427"/>
    <w:rsid w:val="004745EE"/>
    <w:rsid w:val="004746EA"/>
    <w:rsid w:val="00474D4C"/>
    <w:rsid w:val="00474D85"/>
    <w:rsid w:val="0047546C"/>
    <w:rsid w:val="00475667"/>
    <w:rsid w:val="00475803"/>
    <w:rsid w:val="00475B58"/>
    <w:rsid w:val="00475C43"/>
    <w:rsid w:val="00475D0E"/>
    <w:rsid w:val="00475DA1"/>
    <w:rsid w:val="00475E6E"/>
    <w:rsid w:val="0047609B"/>
    <w:rsid w:val="00476560"/>
    <w:rsid w:val="004765FA"/>
    <w:rsid w:val="004766FA"/>
    <w:rsid w:val="00476885"/>
    <w:rsid w:val="00476B1D"/>
    <w:rsid w:val="00476E54"/>
    <w:rsid w:val="00477049"/>
    <w:rsid w:val="00477975"/>
    <w:rsid w:val="00477DF3"/>
    <w:rsid w:val="00477F3F"/>
    <w:rsid w:val="00477FAE"/>
    <w:rsid w:val="00480019"/>
    <w:rsid w:val="00480281"/>
    <w:rsid w:val="004802D2"/>
    <w:rsid w:val="0048081A"/>
    <w:rsid w:val="00481061"/>
    <w:rsid w:val="00481266"/>
    <w:rsid w:val="0048168A"/>
    <w:rsid w:val="00481B60"/>
    <w:rsid w:val="00481D07"/>
    <w:rsid w:val="0048217E"/>
    <w:rsid w:val="004821BB"/>
    <w:rsid w:val="00482757"/>
    <w:rsid w:val="004828EE"/>
    <w:rsid w:val="004829CB"/>
    <w:rsid w:val="00482AB7"/>
    <w:rsid w:val="00482C11"/>
    <w:rsid w:val="00482C86"/>
    <w:rsid w:val="00482D54"/>
    <w:rsid w:val="00482E5D"/>
    <w:rsid w:val="0048305B"/>
    <w:rsid w:val="00483237"/>
    <w:rsid w:val="00483476"/>
    <w:rsid w:val="00483641"/>
    <w:rsid w:val="00483873"/>
    <w:rsid w:val="00483A0A"/>
    <w:rsid w:val="00483A39"/>
    <w:rsid w:val="00483ADD"/>
    <w:rsid w:val="00483B47"/>
    <w:rsid w:val="00483D3D"/>
    <w:rsid w:val="00483F2C"/>
    <w:rsid w:val="00483F5D"/>
    <w:rsid w:val="00484296"/>
    <w:rsid w:val="004846C0"/>
    <w:rsid w:val="00484873"/>
    <w:rsid w:val="00484D55"/>
    <w:rsid w:val="00484F8A"/>
    <w:rsid w:val="0048521D"/>
    <w:rsid w:val="004858EF"/>
    <w:rsid w:val="004859F1"/>
    <w:rsid w:val="00486160"/>
    <w:rsid w:val="00486781"/>
    <w:rsid w:val="0048734D"/>
    <w:rsid w:val="00487BA9"/>
    <w:rsid w:val="00487F40"/>
    <w:rsid w:val="00487FF4"/>
    <w:rsid w:val="00490017"/>
    <w:rsid w:val="0049020D"/>
    <w:rsid w:val="00490292"/>
    <w:rsid w:val="004906B5"/>
    <w:rsid w:val="00490AE2"/>
    <w:rsid w:val="00491035"/>
    <w:rsid w:val="00491AB8"/>
    <w:rsid w:val="00491FC0"/>
    <w:rsid w:val="00492060"/>
    <w:rsid w:val="0049212A"/>
    <w:rsid w:val="004921D7"/>
    <w:rsid w:val="00492733"/>
    <w:rsid w:val="00492981"/>
    <w:rsid w:val="00492DC0"/>
    <w:rsid w:val="00493588"/>
    <w:rsid w:val="00493733"/>
    <w:rsid w:val="00493989"/>
    <w:rsid w:val="00493B1E"/>
    <w:rsid w:val="00493B7A"/>
    <w:rsid w:val="00493C49"/>
    <w:rsid w:val="004941DF"/>
    <w:rsid w:val="0049452C"/>
    <w:rsid w:val="00494998"/>
    <w:rsid w:val="00494A62"/>
    <w:rsid w:val="00494F0C"/>
    <w:rsid w:val="0049506F"/>
    <w:rsid w:val="0049561C"/>
    <w:rsid w:val="00495F1A"/>
    <w:rsid w:val="00495F25"/>
    <w:rsid w:val="004960A2"/>
    <w:rsid w:val="00496476"/>
    <w:rsid w:val="0049770A"/>
    <w:rsid w:val="00497F26"/>
    <w:rsid w:val="00497F68"/>
    <w:rsid w:val="004A0340"/>
    <w:rsid w:val="004A0571"/>
    <w:rsid w:val="004A064A"/>
    <w:rsid w:val="004A0704"/>
    <w:rsid w:val="004A083F"/>
    <w:rsid w:val="004A0861"/>
    <w:rsid w:val="004A0B93"/>
    <w:rsid w:val="004A0BBC"/>
    <w:rsid w:val="004A0C5C"/>
    <w:rsid w:val="004A137D"/>
    <w:rsid w:val="004A1E2E"/>
    <w:rsid w:val="004A1FCA"/>
    <w:rsid w:val="004A285F"/>
    <w:rsid w:val="004A2940"/>
    <w:rsid w:val="004A2B29"/>
    <w:rsid w:val="004A301B"/>
    <w:rsid w:val="004A368F"/>
    <w:rsid w:val="004A36F6"/>
    <w:rsid w:val="004A3E7D"/>
    <w:rsid w:val="004A4BB5"/>
    <w:rsid w:val="004A53FB"/>
    <w:rsid w:val="004A555A"/>
    <w:rsid w:val="004A55BB"/>
    <w:rsid w:val="004A59E7"/>
    <w:rsid w:val="004A5EFB"/>
    <w:rsid w:val="004A64E3"/>
    <w:rsid w:val="004A6BD1"/>
    <w:rsid w:val="004A6D36"/>
    <w:rsid w:val="004A77C1"/>
    <w:rsid w:val="004A78B8"/>
    <w:rsid w:val="004A7B65"/>
    <w:rsid w:val="004A7E22"/>
    <w:rsid w:val="004A7E6C"/>
    <w:rsid w:val="004A7F18"/>
    <w:rsid w:val="004B0125"/>
    <w:rsid w:val="004B0168"/>
    <w:rsid w:val="004B018D"/>
    <w:rsid w:val="004B029B"/>
    <w:rsid w:val="004B02E1"/>
    <w:rsid w:val="004B03E7"/>
    <w:rsid w:val="004B0591"/>
    <w:rsid w:val="004B06CB"/>
    <w:rsid w:val="004B0875"/>
    <w:rsid w:val="004B10A6"/>
    <w:rsid w:val="004B10C2"/>
    <w:rsid w:val="004B1120"/>
    <w:rsid w:val="004B1518"/>
    <w:rsid w:val="004B163B"/>
    <w:rsid w:val="004B1CE9"/>
    <w:rsid w:val="004B26FD"/>
    <w:rsid w:val="004B271A"/>
    <w:rsid w:val="004B2B91"/>
    <w:rsid w:val="004B33F5"/>
    <w:rsid w:val="004B352D"/>
    <w:rsid w:val="004B35E1"/>
    <w:rsid w:val="004B37E2"/>
    <w:rsid w:val="004B3834"/>
    <w:rsid w:val="004B3CB2"/>
    <w:rsid w:val="004B3CD9"/>
    <w:rsid w:val="004B413B"/>
    <w:rsid w:val="004B43D5"/>
    <w:rsid w:val="004B49B4"/>
    <w:rsid w:val="004B4A07"/>
    <w:rsid w:val="004B4F39"/>
    <w:rsid w:val="004B511D"/>
    <w:rsid w:val="004B528C"/>
    <w:rsid w:val="004B5364"/>
    <w:rsid w:val="004B57F6"/>
    <w:rsid w:val="004B57F9"/>
    <w:rsid w:val="004B5A7B"/>
    <w:rsid w:val="004B5C6C"/>
    <w:rsid w:val="004B5E71"/>
    <w:rsid w:val="004B5E8F"/>
    <w:rsid w:val="004B5F57"/>
    <w:rsid w:val="004B60A8"/>
    <w:rsid w:val="004B60D1"/>
    <w:rsid w:val="004B648C"/>
    <w:rsid w:val="004B6683"/>
    <w:rsid w:val="004B6F82"/>
    <w:rsid w:val="004B73C6"/>
    <w:rsid w:val="004B7759"/>
    <w:rsid w:val="004B7B96"/>
    <w:rsid w:val="004B7C2A"/>
    <w:rsid w:val="004B7E27"/>
    <w:rsid w:val="004B7FD8"/>
    <w:rsid w:val="004C018D"/>
    <w:rsid w:val="004C01FD"/>
    <w:rsid w:val="004C02EA"/>
    <w:rsid w:val="004C0474"/>
    <w:rsid w:val="004C047A"/>
    <w:rsid w:val="004C07C0"/>
    <w:rsid w:val="004C0869"/>
    <w:rsid w:val="004C0A30"/>
    <w:rsid w:val="004C0F09"/>
    <w:rsid w:val="004C1398"/>
    <w:rsid w:val="004C1442"/>
    <w:rsid w:val="004C15BD"/>
    <w:rsid w:val="004C15ED"/>
    <w:rsid w:val="004C1D74"/>
    <w:rsid w:val="004C1F5F"/>
    <w:rsid w:val="004C2075"/>
    <w:rsid w:val="004C24B3"/>
    <w:rsid w:val="004C258C"/>
    <w:rsid w:val="004C2AAF"/>
    <w:rsid w:val="004C3474"/>
    <w:rsid w:val="004C372B"/>
    <w:rsid w:val="004C3911"/>
    <w:rsid w:val="004C3CC1"/>
    <w:rsid w:val="004C4519"/>
    <w:rsid w:val="004C4522"/>
    <w:rsid w:val="004C48ED"/>
    <w:rsid w:val="004C4939"/>
    <w:rsid w:val="004C5074"/>
    <w:rsid w:val="004C5130"/>
    <w:rsid w:val="004C5194"/>
    <w:rsid w:val="004C56AB"/>
    <w:rsid w:val="004C576B"/>
    <w:rsid w:val="004C576C"/>
    <w:rsid w:val="004C59D2"/>
    <w:rsid w:val="004C5EF7"/>
    <w:rsid w:val="004C6022"/>
    <w:rsid w:val="004C6184"/>
    <w:rsid w:val="004C674C"/>
    <w:rsid w:val="004C69A4"/>
    <w:rsid w:val="004C6A18"/>
    <w:rsid w:val="004C6EE6"/>
    <w:rsid w:val="004C6F4C"/>
    <w:rsid w:val="004C6F55"/>
    <w:rsid w:val="004C72E6"/>
    <w:rsid w:val="004C787F"/>
    <w:rsid w:val="004C7CD5"/>
    <w:rsid w:val="004C7D2F"/>
    <w:rsid w:val="004C7D76"/>
    <w:rsid w:val="004C7E36"/>
    <w:rsid w:val="004D033A"/>
    <w:rsid w:val="004D0E6A"/>
    <w:rsid w:val="004D1013"/>
    <w:rsid w:val="004D1197"/>
    <w:rsid w:val="004D1469"/>
    <w:rsid w:val="004D21EF"/>
    <w:rsid w:val="004D2357"/>
    <w:rsid w:val="004D2577"/>
    <w:rsid w:val="004D2621"/>
    <w:rsid w:val="004D28C6"/>
    <w:rsid w:val="004D2A27"/>
    <w:rsid w:val="004D2F26"/>
    <w:rsid w:val="004D316D"/>
    <w:rsid w:val="004D3452"/>
    <w:rsid w:val="004D3852"/>
    <w:rsid w:val="004D3AEA"/>
    <w:rsid w:val="004D3C72"/>
    <w:rsid w:val="004D3C89"/>
    <w:rsid w:val="004D3D8C"/>
    <w:rsid w:val="004D3FE1"/>
    <w:rsid w:val="004D41BA"/>
    <w:rsid w:val="004D438F"/>
    <w:rsid w:val="004D5088"/>
    <w:rsid w:val="004D5106"/>
    <w:rsid w:val="004D518A"/>
    <w:rsid w:val="004D5310"/>
    <w:rsid w:val="004D5363"/>
    <w:rsid w:val="004D53B5"/>
    <w:rsid w:val="004D55CD"/>
    <w:rsid w:val="004D57B0"/>
    <w:rsid w:val="004D596B"/>
    <w:rsid w:val="004D59C2"/>
    <w:rsid w:val="004D5FC5"/>
    <w:rsid w:val="004D6030"/>
    <w:rsid w:val="004D609A"/>
    <w:rsid w:val="004D65AD"/>
    <w:rsid w:val="004D69B6"/>
    <w:rsid w:val="004D6DD4"/>
    <w:rsid w:val="004D6F76"/>
    <w:rsid w:val="004D71C0"/>
    <w:rsid w:val="004D7580"/>
    <w:rsid w:val="004D7C44"/>
    <w:rsid w:val="004E04E6"/>
    <w:rsid w:val="004E0908"/>
    <w:rsid w:val="004E0BEE"/>
    <w:rsid w:val="004E0C07"/>
    <w:rsid w:val="004E1282"/>
    <w:rsid w:val="004E17EC"/>
    <w:rsid w:val="004E1B58"/>
    <w:rsid w:val="004E1CC3"/>
    <w:rsid w:val="004E1DDF"/>
    <w:rsid w:val="004E249A"/>
    <w:rsid w:val="004E25D4"/>
    <w:rsid w:val="004E2906"/>
    <w:rsid w:val="004E2A71"/>
    <w:rsid w:val="004E2E4C"/>
    <w:rsid w:val="004E2E4D"/>
    <w:rsid w:val="004E311D"/>
    <w:rsid w:val="004E31A2"/>
    <w:rsid w:val="004E3668"/>
    <w:rsid w:val="004E3AE9"/>
    <w:rsid w:val="004E46B4"/>
    <w:rsid w:val="004E493B"/>
    <w:rsid w:val="004E4979"/>
    <w:rsid w:val="004E49E5"/>
    <w:rsid w:val="004E4CB4"/>
    <w:rsid w:val="004E4D4A"/>
    <w:rsid w:val="004E4DF8"/>
    <w:rsid w:val="004E575F"/>
    <w:rsid w:val="004E57BB"/>
    <w:rsid w:val="004E5850"/>
    <w:rsid w:val="004E5B30"/>
    <w:rsid w:val="004E5D7B"/>
    <w:rsid w:val="004E606F"/>
    <w:rsid w:val="004E610E"/>
    <w:rsid w:val="004E6459"/>
    <w:rsid w:val="004E6EF7"/>
    <w:rsid w:val="004E70F2"/>
    <w:rsid w:val="004E75C7"/>
    <w:rsid w:val="004E76D7"/>
    <w:rsid w:val="004E7BF8"/>
    <w:rsid w:val="004E7F75"/>
    <w:rsid w:val="004F0409"/>
    <w:rsid w:val="004F0414"/>
    <w:rsid w:val="004F0616"/>
    <w:rsid w:val="004F0886"/>
    <w:rsid w:val="004F0ACB"/>
    <w:rsid w:val="004F0B65"/>
    <w:rsid w:val="004F16A3"/>
    <w:rsid w:val="004F16E4"/>
    <w:rsid w:val="004F26B3"/>
    <w:rsid w:val="004F2809"/>
    <w:rsid w:val="004F2AA8"/>
    <w:rsid w:val="004F318B"/>
    <w:rsid w:val="004F38F8"/>
    <w:rsid w:val="004F3A18"/>
    <w:rsid w:val="004F3C7E"/>
    <w:rsid w:val="004F4155"/>
    <w:rsid w:val="004F41D7"/>
    <w:rsid w:val="004F497A"/>
    <w:rsid w:val="004F4A4C"/>
    <w:rsid w:val="004F4E16"/>
    <w:rsid w:val="004F4F03"/>
    <w:rsid w:val="004F5148"/>
    <w:rsid w:val="004F5576"/>
    <w:rsid w:val="004F5B53"/>
    <w:rsid w:val="004F5CBB"/>
    <w:rsid w:val="004F5F98"/>
    <w:rsid w:val="004F6724"/>
    <w:rsid w:val="004F6786"/>
    <w:rsid w:val="004F6D97"/>
    <w:rsid w:val="004F6E4F"/>
    <w:rsid w:val="004F750C"/>
    <w:rsid w:val="004F7575"/>
    <w:rsid w:val="004F7708"/>
    <w:rsid w:val="004F7BFB"/>
    <w:rsid w:val="00500410"/>
    <w:rsid w:val="005006B4"/>
    <w:rsid w:val="005006E4"/>
    <w:rsid w:val="00500BF5"/>
    <w:rsid w:val="00500C74"/>
    <w:rsid w:val="00500E39"/>
    <w:rsid w:val="005016EB"/>
    <w:rsid w:val="00501DE6"/>
    <w:rsid w:val="00501E0F"/>
    <w:rsid w:val="005024BC"/>
    <w:rsid w:val="00502C1E"/>
    <w:rsid w:val="00503354"/>
    <w:rsid w:val="0050346B"/>
    <w:rsid w:val="00503570"/>
    <w:rsid w:val="005038F9"/>
    <w:rsid w:val="00503963"/>
    <w:rsid w:val="005039ED"/>
    <w:rsid w:val="00503B2E"/>
    <w:rsid w:val="00503BCA"/>
    <w:rsid w:val="00503F91"/>
    <w:rsid w:val="00504772"/>
    <w:rsid w:val="00504A81"/>
    <w:rsid w:val="00504BAA"/>
    <w:rsid w:val="00505331"/>
    <w:rsid w:val="0050584E"/>
    <w:rsid w:val="0050585D"/>
    <w:rsid w:val="0050616E"/>
    <w:rsid w:val="0050681F"/>
    <w:rsid w:val="00506991"/>
    <w:rsid w:val="00506A0B"/>
    <w:rsid w:val="00506A8C"/>
    <w:rsid w:val="00506D6C"/>
    <w:rsid w:val="00506DBF"/>
    <w:rsid w:val="00506E80"/>
    <w:rsid w:val="005071A9"/>
    <w:rsid w:val="0050723F"/>
    <w:rsid w:val="00507A1D"/>
    <w:rsid w:val="005101A2"/>
    <w:rsid w:val="0051029F"/>
    <w:rsid w:val="005102F3"/>
    <w:rsid w:val="005104F4"/>
    <w:rsid w:val="005117F8"/>
    <w:rsid w:val="00511A77"/>
    <w:rsid w:val="00511F4B"/>
    <w:rsid w:val="00511F8E"/>
    <w:rsid w:val="00512853"/>
    <w:rsid w:val="00512A08"/>
    <w:rsid w:val="00512C4B"/>
    <w:rsid w:val="00512C92"/>
    <w:rsid w:val="00512D55"/>
    <w:rsid w:val="00512DA4"/>
    <w:rsid w:val="005130E3"/>
    <w:rsid w:val="005133C9"/>
    <w:rsid w:val="005139E2"/>
    <w:rsid w:val="00513B93"/>
    <w:rsid w:val="005140E7"/>
    <w:rsid w:val="005140FD"/>
    <w:rsid w:val="00514213"/>
    <w:rsid w:val="005145F0"/>
    <w:rsid w:val="00514B1A"/>
    <w:rsid w:val="005151C0"/>
    <w:rsid w:val="005151E1"/>
    <w:rsid w:val="005154DF"/>
    <w:rsid w:val="00515E50"/>
    <w:rsid w:val="00515EA1"/>
    <w:rsid w:val="005167CB"/>
    <w:rsid w:val="005168F5"/>
    <w:rsid w:val="00516A0B"/>
    <w:rsid w:val="0051718A"/>
    <w:rsid w:val="0051741F"/>
    <w:rsid w:val="00517747"/>
    <w:rsid w:val="0051788B"/>
    <w:rsid w:val="00517BFF"/>
    <w:rsid w:val="00517DD2"/>
    <w:rsid w:val="00517DD6"/>
    <w:rsid w:val="00517E81"/>
    <w:rsid w:val="00520E17"/>
    <w:rsid w:val="005216FD"/>
    <w:rsid w:val="00522107"/>
    <w:rsid w:val="005221C7"/>
    <w:rsid w:val="005223C8"/>
    <w:rsid w:val="005223F0"/>
    <w:rsid w:val="0052276A"/>
    <w:rsid w:val="0052297B"/>
    <w:rsid w:val="00522B40"/>
    <w:rsid w:val="00522D43"/>
    <w:rsid w:val="00522ED1"/>
    <w:rsid w:val="00522F39"/>
    <w:rsid w:val="005235C6"/>
    <w:rsid w:val="005238E4"/>
    <w:rsid w:val="00523C6D"/>
    <w:rsid w:val="005240CC"/>
    <w:rsid w:val="00524486"/>
    <w:rsid w:val="005248FE"/>
    <w:rsid w:val="005249B3"/>
    <w:rsid w:val="00524A17"/>
    <w:rsid w:val="00524CA9"/>
    <w:rsid w:val="00525187"/>
    <w:rsid w:val="005251AA"/>
    <w:rsid w:val="00525681"/>
    <w:rsid w:val="005256EC"/>
    <w:rsid w:val="005257F8"/>
    <w:rsid w:val="0052597D"/>
    <w:rsid w:val="00526288"/>
    <w:rsid w:val="00526B31"/>
    <w:rsid w:val="00526DC0"/>
    <w:rsid w:val="00526E16"/>
    <w:rsid w:val="00527231"/>
    <w:rsid w:val="005276A5"/>
    <w:rsid w:val="0052785A"/>
    <w:rsid w:val="00527913"/>
    <w:rsid w:val="005304AF"/>
    <w:rsid w:val="00530C90"/>
    <w:rsid w:val="00530E91"/>
    <w:rsid w:val="00531137"/>
    <w:rsid w:val="00531352"/>
    <w:rsid w:val="005318E9"/>
    <w:rsid w:val="00531D7F"/>
    <w:rsid w:val="00531FE8"/>
    <w:rsid w:val="0053229D"/>
    <w:rsid w:val="0053285E"/>
    <w:rsid w:val="00532A4C"/>
    <w:rsid w:val="00532D65"/>
    <w:rsid w:val="00532F58"/>
    <w:rsid w:val="0053301C"/>
    <w:rsid w:val="005332DB"/>
    <w:rsid w:val="00533705"/>
    <w:rsid w:val="00533A7E"/>
    <w:rsid w:val="0053403A"/>
    <w:rsid w:val="00534512"/>
    <w:rsid w:val="005346D4"/>
    <w:rsid w:val="005349F0"/>
    <w:rsid w:val="00534C99"/>
    <w:rsid w:val="0053536E"/>
    <w:rsid w:val="005355B9"/>
    <w:rsid w:val="00535F66"/>
    <w:rsid w:val="0053666C"/>
    <w:rsid w:val="00536787"/>
    <w:rsid w:val="00536836"/>
    <w:rsid w:val="00536C9F"/>
    <w:rsid w:val="0053715A"/>
    <w:rsid w:val="00537753"/>
    <w:rsid w:val="00537793"/>
    <w:rsid w:val="00537D2C"/>
    <w:rsid w:val="005405F9"/>
    <w:rsid w:val="005407DA"/>
    <w:rsid w:val="00540895"/>
    <w:rsid w:val="0054092E"/>
    <w:rsid w:val="00541215"/>
    <w:rsid w:val="005412B2"/>
    <w:rsid w:val="005412FE"/>
    <w:rsid w:val="00541393"/>
    <w:rsid w:val="005414B3"/>
    <w:rsid w:val="00541693"/>
    <w:rsid w:val="00541737"/>
    <w:rsid w:val="00541B82"/>
    <w:rsid w:val="00542014"/>
    <w:rsid w:val="00542059"/>
    <w:rsid w:val="0054215F"/>
    <w:rsid w:val="00542905"/>
    <w:rsid w:val="00542925"/>
    <w:rsid w:val="00542C00"/>
    <w:rsid w:val="00542C72"/>
    <w:rsid w:val="005433D9"/>
    <w:rsid w:val="00543DF8"/>
    <w:rsid w:val="00544318"/>
    <w:rsid w:val="005443B8"/>
    <w:rsid w:val="005447E5"/>
    <w:rsid w:val="005448EF"/>
    <w:rsid w:val="00544965"/>
    <w:rsid w:val="00544ED9"/>
    <w:rsid w:val="005454CA"/>
    <w:rsid w:val="005455A5"/>
    <w:rsid w:val="005456D7"/>
    <w:rsid w:val="00545D7C"/>
    <w:rsid w:val="00545EB1"/>
    <w:rsid w:val="005461E5"/>
    <w:rsid w:val="00546315"/>
    <w:rsid w:val="00546E66"/>
    <w:rsid w:val="00547386"/>
    <w:rsid w:val="00547400"/>
    <w:rsid w:val="005474C6"/>
    <w:rsid w:val="0054799E"/>
    <w:rsid w:val="00547DCA"/>
    <w:rsid w:val="00547EF5"/>
    <w:rsid w:val="00550162"/>
    <w:rsid w:val="0055018C"/>
    <w:rsid w:val="00550A03"/>
    <w:rsid w:val="00550A64"/>
    <w:rsid w:val="00550BFE"/>
    <w:rsid w:val="00550E33"/>
    <w:rsid w:val="00550E73"/>
    <w:rsid w:val="00550FC0"/>
    <w:rsid w:val="0055124E"/>
    <w:rsid w:val="005515A7"/>
    <w:rsid w:val="00551AD1"/>
    <w:rsid w:val="00551F50"/>
    <w:rsid w:val="00552297"/>
    <w:rsid w:val="0055239E"/>
    <w:rsid w:val="005524A9"/>
    <w:rsid w:val="005524BF"/>
    <w:rsid w:val="00552B13"/>
    <w:rsid w:val="00552BBB"/>
    <w:rsid w:val="00552F9F"/>
    <w:rsid w:val="0055342B"/>
    <w:rsid w:val="00553739"/>
    <w:rsid w:val="005550CA"/>
    <w:rsid w:val="00555182"/>
    <w:rsid w:val="005557EA"/>
    <w:rsid w:val="005558BA"/>
    <w:rsid w:val="00555906"/>
    <w:rsid w:val="0055595A"/>
    <w:rsid w:val="005568AC"/>
    <w:rsid w:val="00556FA6"/>
    <w:rsid w:val="00556FDD"/>
    <w:rsid w:val="0055723F"/>
    <w:rsid w:val="005575E0"/>
    <w:rsid w:val="00557835"/>
    <w:rsid w:val="00557B98"/>
    <w:rsid w:val="00557C20"/>
    <w:rsid w:val="00557CA3"/>
    <w:rsid w:val="00560AB5"/>
    <w:rsid w:val="0056122C"/>
    <w:rsid w:val="00561E01"/>
    <w:rsid w:val="005621B2"/>
    <w:rsid w:val="005622A5"/>
    <w:rsid w:val="00562AD3"/>
    <w:rsid w:val="00562ADF"/>
    <w:rsid w:val="00562D85"/>
    <w:rsid w:val="00563066"/>
    <w:rsid w:val="0056353C"/>
    <w:rsid w:val="005636E9"/>
    <w:rsid w:val="00563901"/>
    <w:rsid w:val="00563949"/>
    <w:rsid w:val="00563E02"/>
    <w:rsid w:val="00563E12"/>
    <w:rsid w:val="00563EC7"/>
    <w:rsid w:val="00563EE4"/>
    <w:rsid w:val="00563F24"/>
    <w:rsid w:val="00563F4D"/>
    <w:rsid w:val="00564353"/>
    <w:rsid w:val="00564AD8"/>
    <w:rsid w:val="005650F0"/>
    <w:rsid w:val="0056524F"/>
    <w:rsid w:val="005652F4"/>
    <w:rsid w:val="00565715"/>
    <w:rsid w:val="00565E86"/>
    <w:rsid w:val="005661A1"/>
    <w:rsid w:val="005668F5"/>
    <w:rsid w:val="00566BBD"/>
    <w:rsid w:val="00566C40"/>
    <w:rsid w:val="00567054"/>
    <w:rsid w:val="005678AA"/>
    <w:rsid w:val="005679C6"/>
    <w:rsid w:val="00567E3D"/>
    <w:rsid w:val="005701EA"/>
    <w:rsid w:val="005702CF"/>
    <w:rsid w:val="00570367"/>
    <w:rsid w:val="005703DB"/>
    <w:rsid w:val="0057064E"/>
    <w:rsid w:val="005708BC"/>
    <w:rsid w:val="00570AFD"/>
    <w:rsid w:val="00570CED"/>
    <w:rsid w:val="00570DC3"/>
    <w:rsid w:val="00571088"/>
    <w:rsid w:val="005712CA"/>
    <w:rsid w:val="00571526"/>
    <w:rsid w:val="00571996"/>
    <w:rsid w:val="00571F5C"/>
    <w:rsid w:val="0057226B"/>
    <w:rsid w:val="00572577"/>
    <w:rsid w:val="00573447"/>
    <w:rsid w:val="00573637"/>
    <w:rsid w:val="005737A7"/>
    <w:rsid w:val="00573916"/>
    <w:rsid w:val="00573D95"/>
    <w:rsid w:val="005743AD"/>
    <w:rsid w:val="00574992"/>
    <w:rsid w:val="00574A7C"/>
    <w:rsid w:val="00574A82"/>
    <w:rsid w:val="00574ABF"/>
    <w:rsid w:val="00574DD1"/>
    <w:rsid w:val="0057517B"/>
    <w:rsid w:val="005751B6"/>
    <w:rsid w:val="00575420"/>
    <w:rsid w:val="005754C8"/>
    <w:rsid w:val="005755FD"/>
    <w:rsid w:val="00576822"/>
    <w:rsid w:val="00576971"/>
    <w:rsid w:val="00576D81"/>
    <w:rsid w:val="00576FD7"/>
    <w:rsid w:val="005770CA"/>
    <w:rsid w:val="0057717B"/>
    <w:rsid w:val="00577346"/>
    <w:rsid w:val="0057770C"/>
    <w:rsid w:val="005777BB"/>
    <w:rsid w:val="00577A10"/>
    <w:rsid w:val="00577CE3"/>
    <w:rsid w:val="00577DDD"/>
    <w:rsid w:val="00580266"/>
    <w:rsid w:val="005804EE"/>
    <w:rsid w:val="0058086B"/>
    <w:rsid w:val="00580E73"/>
    <w:rsid w:val="0058119E"/>
    <w:rsid w:val="005812F1"/>
    <w:rsid w:val="005815D6"/>
    <w:rsid w:val="00581692"/>
    <w:rsid w:val="00581AE1"/>
    <w:rsid w:val="005821A8"/>
    <w:rsid w:val="00582785"/>
    <w:rsid w:val="00582FDA"/>
    <w:rsid w:val="00582FF1"/>
    <w:rsid w:val="00583112"/>
    <w:rsid w:val="00583466"/>
    <w:rsid w:val="005835DE"/>
    <w:rsid w:val="0058364E"/>
    <w:rsid w:val="00583B7A"/>
    <w:rsid w:val="00583CB9"/>
    <w:rsid w:val="00583FD2"/>
    <w:rsid w:val="00584759"/>
    <w:rsid w:val="0058539F"/>
    <w:rsid w:val="0058544E"/>
    <w:rsid w:val="00585DA4"/>
    <w:rsid w:val="00585DDA"/>
    <w:rsid w:val="00585E67"/>
    <w:rsid w:val="00586366"/>
    <w:rsid w:val="00586A64"/>
    <w:rsid w:val="00586B14"/>
    <w:rsid w:val="00586C90"/>
    <w:rsid w:val="00586F76"/>
    <w:rsid w:val="00587092"/>
    <w:rsid w:val="005874D6"/>
    <w:rsid w:val="00587655"/>
    <w:rsid w:val="00590038"/>
    <w:rsid w:val="00590059"/>
    <w:rsid w:val="00590256"/>
    <w:rsid w:val="005902AB"/>
    <w:rsid w:val="00590785"/>
    <w:rsid w:val="00590909"/>
    <w:rsid w:val="00590963"/>
    <w:rsid w:val="00591028"/>
    <w:rsid w:val="005912E4"/>
    <w:rsid w:val="00591367"/>
    <w:rsid w:val="00591602"/>
    <w:rsid w:val="00591984"/>
    <w:rsid w:val="005919D4"/>
    <w:rsid w:val="005919D9"/>
    <w:rsid w:val="00591D93"/>
    <w:rsid w:val="0059224F"/>
    <w:rsid w:val="005922E1"/>
    <w:rsid w:val="005927D2"/>
    <w:rsid w:val="00592E7A"/>
    <w:rsid w:val="005930BF"/>
    <w:rsid w:val="00593429"/>
    <w:rsid w:val="00593600"/>
    <w:rsid w:val="005936F7"/>
    <w:rsid w:val="005937CE"/>
    <w:rsid w:val="00593DA7"/>
    <w:rsid w:val="0059424E"/>
    <w:rsid w:val="00594A83"/>
    <w:rsid w:val="00594C56"/>
    <w:rsid w:val="00595026"/>
    <w:rsid w:val="00595429"/>
    <w:rsid w:val="00595E8E"/>
    <w:rsid w:val="00596340"/>
    <w:rsid w:val="0059658A"/>
    <w:rsid w:val="005967FC"/>
    <w:rsid w:val="00596D82"/>
    <w:rsid w:val="00596DEE"/>
    <w:rsid w:val="0059728F"/>
    <w:rsid w:val="005973AF"/>
    <w:rsid w:val="005979E9"/>
    <w:rsid w:val="00597B1D"/>
    <w:rsid w:val="00597B72"/>
    <w:rsid w:val="00597BC7"/>
    <w:rsid w:val="00597DD5"/>
    <w:rsid w:val="00597F35"/>
    <w:rsid w:val="005A0026"/>
    <w:rsid w:val="005A008D"/>
    <w:rsid w:val="005A0412"/>
    <w:rsid w:val="005A0B7E"/>
    <w:rsid w:val="005A0E67"/>
    <w:rsid w:val="005A1621"/>
    <w:rsid w:val="005A1651"/>
    <w:rsid w:val="005A19DB"/>
    <w:rsid w:val="005A19F7"/>
    <w:rsid w:val="005A1C61"/>
    <w:rsid w:val="005A2958"/>
    <w:rsid w:val="005A2D95"/>
    <w:rsid w:val="005A2E14"/>
    <w:rsid w:val="005A3576"/>
    <w:rsid w:val="005A3B6B"/>
    <w:rsid w:val="005A3BB2"/>
    <w:rsid w:val="005A45F2"/>
    <w:rsid w:val="005A470F"/>
    <w:rsid w:val="005A4814"/>
    <w:rsid w:val="005A4815"/>
    <w:rsid w:val="005A4A4B"/>
    <w:rsid w:val="005A509F"/>
    <w:rsid w:val="005A51B5"/>
    <w:rsid w:val="005A5697"/>
    <w:rsid w:val="005A592D"/>
    <w:rsid w:val="005A5976"/>
    <w:rsid w:val="005A5B52"/>
    <w:rsid w:val="005A5D46"/>
    <w:rsid w:val="005A607D"/>
    <w:rsid w:val="005A6283"/>
    <w:rsid w:val="005A6432"/>
    <w:rsid w:val="005A6753"/>
    <w:rsid w:val="005A67F7"/>
    <w:rsid w:val="005A70B3"/>
    <w:rsid w:val="005A7339"/>
    <w:rsid w:val="005B0352"/>
    <w:rsid w:val="005B0484"/>
    <w:rsid w:val="005B094F"/>
    <w:rsid w:val="005B0D4B"/>
    <w:rsid w:val="005B0F10"/>
    <w:rsid w:val="005B0FAD"/>
    <w:rsid w:val="005B112F"/>
    <w:rsid w:val="005B143F"/>
    <w:rsid w:val="005B14E8"/>
    <w:rsid w:val="005B166C"/>
    <w:rsid w:val="005B1716"/>
    <w:rsid w:val="005B196D"/>
    <w:rsid w:val="005B1CA4"/>
    <w:rsid w:val="005B1D09"/>
    <w:rsid w:val="005B2165"/>
    <w:rsid w:val="005B2292"/>
    <w:rsid w:val="005B2323"/>
    <w:rsid w:val="005B2449"/>
    <w:rsid w:val="005B2A18"/>
    <w:rsid w:val="005B3285"/>
    <w:rsid w:val="005B3722"/>
    <w:rsid w:val="005B436D"/>
    <w:rsid w:val="005B4651"/>
    <w:rsid w:val="005B5340"/>
    <w:rsid w:val="005B5440"/>
    <w:rsid w:val="005B54DF"/>
    <w:rsid w:val="005B556D"/>
    <w:rsid w:val="005B5949"/>
    <w:rsid w:val="005B5B52"/>
    <w:rsid w:val="005B5CB0"/>
    <w:rsid w:val="005B60EE"/>
    <w:rsid w:val="005B62F1"/>
    <w:rsid w:val="005B6905"/>
    <w:rsid w:val="005B6AB6"/>
    <w:rsid w:val="005B6B36"/>
    <w:rsid w:val="005B6E95"/>
    <w:rsid w:val="005B6F24"/>
    <w:rsid w:val="005B70F8"/>
    <w:rsid w:val="005B73E0"/>
    <w:rsid w:val="005B7779"/>
    <w:rsid w:val="005B794A"/>
    <w:rsid w:val="005B7A05"/>
    <w:rsid w:val="005B7EFD"/>
    <w:rsid w:val="005C0204"/>
    <w:rsid w:val="005C0E65"/>
    <w:rsid w:val="005C125F"/>
    <w:rsid w:val="005C148D"/>
    <w:rsid w:val="005C15AC"/>
    <w:rsid w:val="005C1CBC"/>
    <w:rsid w:val="005C2728"/>
    <w:rsid w:val="005C2875"/>
    <w:rsid w:val="005C378C"/>
    <w:rsid w:val="005C37C6"/>
    <w:rsid w:val="005C37D1"/>
    <w:rsid w:val="005C3F9C"/>
    <w:rsid w:val="005C3FB0"/>
    <w:rsid w:val="005C4095"/>
    <w:rsid w:val="005C44C7"/>
    <w:rsid w:val="005C451C"/>
    <w:rsid w:val="005C4783"/>
    <w:rsid w:val="005C4885"/>
    <w:rsid w:val="005C4CD4"/>
    <w:rsid w:val="005C500D"/>
    <w:rsid w:val="005C5237"/>
    <w:rsid w:val="005C54DF"/>
    <w:rsid w:val="005C57AD"/>
    <w:rsid w:val="005C598A"/>
    <w:rsid w:val="005C5AA5"/>
    <w:rsid w:val="005C5EC2"/>
    <w:rsid w:val="005C5FC4"/>
    <w:rsid w:val="005C63C1"/>
    <w:rsid w:val="005C6429"/>
    <w:rsid w:val="005C6EA9"/>
    <w:rsid w:val="005C7155"/>
    <w:rsid w:val="005D015C"/>
    <w:rsid w:val="005D0347"/>
    <w:rsid w:val="005D0436"/>
    <w:rsid w:val="005D0AF8"/>
    <w:rsid w:val="005D0FFF"/>
    <w:rsid w:val="005D11C8"/>
    <w:rsid w:val="005D1279"/>
    <w:rsid w:val="005D1A9C"/>
    <w:rsid w:val="005D1CA7"/>
    <w:rsid w:val="005D20E9"/>
    <w:rsid w:val="005D2275"/>
    <w:rsid w:val="005D27B6"/>
    <w:rsid w:val="005D2933"/>
    <w:rsid w:val="005D3C10"/>
    <w:rsid w:val="005D3DC5"/>
    <w:rsid w:val="005D3EAF"/>
    <w:rsid w:val="005D406A"/>
    <w:rsid w:val="005D4BE4"/>
    <w:rsid w:val="005D4CD1"/>
    <w:rsid w:val="005D4EA1"/>
    <w:rsid w:val="005D5457"/>
    <w:rsid w:val="005D55A6"/>
    <w:rsid w:val="005D57F8"/>
    <w:rsid w:val="005D5DA6"/>
    <w:rsid w:val="005D6923"/>
    <w:rsid w:val="005D6A82"/>
    <w:rsid w:val="005D6C57"/>
    <w:rsid w:val="005D733E"/>
    <w:rsid w:val="005D7658"/>
    <w:rsid w:val="005D7985"/>
    <w:rsid w:val="005D7B3B"/>
    <w:rsid w:val="005D7BAE"/>
    <w:rsid w:val="005D7BE0"/>
    <w:rsid w:val="005D7F73"/>
    <w:rsid w:val="005E0331"/>
    <w:rsid w:val="005E0B7F"/>
    <w:rsid w:val="005E142B"/>
    <w:rsid w:val="005E1449"/>
    <w:rsid w:val="005E155B"/>
    <w:rsid w:val="005E161D"/>
    <w:rsid w:val="005E170F"/>
    <w:rsid w:val="005E1944"/>
    <w:rsid w:val="005E1E94"/>
    <w:rsid w:val="005E1F83"/>
    <w:rsid w:val="005E212E"/>
    <w:rsid w:val="005E218F"/>
    <w:rsid w:val="005E2452"/>
    <w:rsid w:val="005E289B"/>
    <w:rsid w:val="005E2A44"/>
    <w:rsid w:val="005E309C"/>
    <w:rsid w:val="005E3BBB"/>
    <w:rsid w:val="005E3BD3"/>
    <w:rsid w:val="005E3C99"/>
    <w:rsid w:val="005E3FA5"/>
    <w:rsid w:val="005E4069"/>
    <w:rsid w:val="005E4D09"/>
    <w:rsid w:val="005E4DB8"/>
    <w:rsid w:val="005E4FF7"/>
    <w:rsid w:val="005E599B"/>
    <w:rsid w:val="005E59EA"/>
    <w:rsid w:val="005E5C88"/>
    <w:rsid w:val="005E5D5C"/>
    <w:rsid w:val="005E5E69"/>
    <w:rsid w:val="005E6185"/>
    <w:rsid w:val="005E64F1"/>
    <w:rsid w:val="005E7913"/>
    <w:rsid w:val="005E7B35"/>
    <w:rsid w:val="005E7B3A"/>
    <w:rsid w:val="005E7C60"/>
    <w:rsid w:val="005E7EA3"/>
    <w:rsid w:val="005E7FF0"/>
    <w:rsid w:val="005F00C0"/>
    <w:rsid w:val="005F0774"/>
    <w:rsid w:val="005F083F"/>
    <w:rsid w:val="005F0846"/>
    <w:rsid w:val="005F0948"/>
    <w:rsid w:val="005F144D"/>
    <w:rsid w:val="005F1677"/>
    <w:rsid w:val="005F18CD"/>
    <w:rsid w:val="005F1DF5"/>
    <w:rsid w:val="005F20F9"/>
    <w:rsid w:val="005F24EF"/>
    <w:rsid w:val="005F26AA"/>
    <w:rsid w:val="005F2DC0"/>
    <w:rsid w:val="005F4320"/>
    <w:rsid w:val="005F49F8"/>
    <w:rsid w:val="005F4ABF"/>
    <w:rsid w:val="005F4D16"/>
    <w:rsid w:val="005F4E05"/>
    <w:rsid w:val="005F67C8"/>
    <w:rsid w:val="005F684A"/>
    <w:rsid w:val="005F6ED8"/>
    <w:rsid w:val="005F6F20"/>
    <w:rsid w:val="005F6F66"/>
    <w:rsid w:val="005F724D"/>
    <w:rsid w:val="005F7501"/>
    <w:rsid w:val="005F7583"/>
    <w:rsid w:val="005F7A57"/>
    <w:rsid w:val="005F7B96"/>
    <w:rsid w:val="005F7F61"/>
    <w:rsid w:val="0060036E"/>
    <w:rsid w:val="006003E7"/>
    <w:rsid w:val="006006D1"/>
    <w:rsid w:val="006007A2"/>
    <w:rsid w:val="006009EF"/>
    <w:rsid w:val="006014E2"/>
    <w:rsid w:val="006019D6"/>
    <w:rsid w:val="00601BC1"/>
    <w:rsid w:val="00601C1F"/>
    <w:rsid w:val="00601EE6"/>
    <w:rsid w:val="0060211E"/>
    <w:rsid w:val="00602445"/>
    <w:rsid w:val="00602659"/>
    <w:rsid w:val="00602A86"/>
    <w:rsid w:val="00602B90"/>
    <w:rsid w:val="00602DFF"/>
    <w:rsid w:val="00602E94"/>
    <w:rsid w:val="00602ECB"/>
    <w:rsid w:val="00602F0D"/>
    <w:rsid w:val="00603174"/>
    <w:rsid w:val="0060362A"/>
    <w:rsid w:val="0060398B"/>
    <w:rsid w:val="006039BC"/>
    <w:rsid w:val="00603C68"/>
    <w:rsid w:val="00603EEA"/>
    <w:rsid w:val="006041E1"/>
    <w:rsid w:val="00604718"/>
    <w:rsid w:val="00604A59"/>
    <w:rsid w:val="00604A7C"/>
    <w:rsid w:val="00604A9E"/>
    <w:rsid w:val="00604C88"/>
    <w:rsid w:val="00604DDE"/>
    <w:rsid w:val="00604F50"/>
    <w:rsid w:val="00605708"/>
    <w:rsid w:val="00605BAC"/>
    <w:rsid w:val="00606061"/>
    <w:rsid w:val="0060659E"/>
    <w:rsid w:val="006066DF"/>
    <w:rsid w:val="006068F4"/>
    <w:rsid w:val="0060691F"/>
    <w:rsid w:val="00606BC5"/>
    <w:rsid w:val="00606C08"/>
    <w:rsid w:val="00606D23"/>
    <w:rsid w:val="00606F55"/>
    <w:rsid w:val="006070BD"/>
    <w:rsid w:val="00607182"/>
    <w:rsid w:val="00607534"/>
    <w:rsid w:val="00607BE3"/>
    <w:rsid w:val="00610736"/>
    <w:rsid w:val="006107DA"/>
    <w:rsid w:val="00610A0A"/>
    <w:rsid w:val="00610BA5"/>
    <w:rsid w:val="00610BF5"/>
    <w:rsid w:val="00610FA9"/>
    <w:rsid w:val="00611012"/>
    <w:rsid w:val="0061119E"/>
    <w:rsid w:val="00611411"/>
    <w:rsid w:val="006117C5"/>
    <w:rsid w:val="00611828"/>
    <w:rsid w:val="00611ABE"/>
    <w:rsid w:val="00611D6E"/>
    <w:rsid w:val="00611F83"/>
    <w:rsid w:val="00612A64"/>
    <w:rsid w:val="00612A91"/>
    <w:rsid w:val="00612F4B"/>
    <w:rsid w:val="00613A92"/>
    <w:rsid w:val="0061454E"/>
    <w:rsid w:val="00614BE2"/>
    <w:rsid w:val="0061517B"/>
    <w:rsid w:val="006151F1"/>
    <w:rsid w:val="00615240"/>
    <w:rsid w:val="0061555E"/>
    <w:rsid w:val="006157FB"/>
    <w:rsid w:val="00615B14"/>
    <w:rsid w:val="00615CE2"/>
    <w:rsid w:val="00615EB3"/>
    <w:rsid w:val="00616367"/>
    <w:rsid w:val="00616447"/>
    <w:rsid w:val="00616649"/>
    <w:rsid w:val="0061689A"/>
    <w:rsid w:val="00616B8D"/>
    <w:rsid w:val="00616C43"/>
    <w:rsid w:val="0061702D"/>
    <w:rsid w:val="0061732B"/>
    <w:rsid w:val="0061739B"/>
    <w:rsid w:val="00617697"/>
    <w:rsid w:val="006177C1"/>
    <w:rsid w:val="0061783A"/>
    <w:rsid w:val="006179C6"/>
    <w:rsid w:val="00617FCD"/>
    <w:rsid w:val="0062009C"/>
    <w:rsid w:val="006210BD"/>
    <w:rsid w:val="00621356"/>
    <w:rsid w:val="006214F5"/>
    <w:rsid w:val="006217E1"/>
    <w:rsid w:val="00621B91"/>
    <w:rsid w:val="00621BE6"/>
    <w:rsid w:val="00621C10"/>
    <w:rsid w:val="00621CFA"/>
    <w:rsid w:val="00621E47"/>
    <w:rsid w:val="006221E0"/>
    <w:rsid w:val="00622994"/>
    <w:rsid w:val="00622FE4"/>
    <w:rsid w:val="00623545"/>
    <w:rsid w:val="0062360D"/>
    <w:rsid w:val="00623BC5"/>
    <w:rsid w:val="00624354"/>
    <w:rsid w:val="006247EB"/>
    <w:rsid w:val="00624A5B"/>
    <w:rsid w:val="00624B5A"/>
    <w:rsid w:val="00624B83"/>
    <w:rsid w:val="00624C54"/>
    <w:rsid w:val="00624E5D"/>
    <w:rsid w:val="00624FB2"/>
    <w:rsid w:val="00624FE5"/>
    <w:rsid w:val="00625295"/>
    <w:rsid w:val="0062540B"/>
    <w:rsid w:val="00625702"/>
    <w:rsid w:val="006261C7"/>
    <w:rsid w:val="006262AA"/>
    <w:rsid w:val="00626B94"/>
    <w:rsid w:val="00627207"/>
    <w:rsid w:val="0062752F"/>
    <w:rsid w:val="006275C1"/>
    <w:rsid w:val="0062771F"/>
    <w:rsid w:val="0062776F"/>
    <w:rsid w:val="00627888"/>
    <w:rsid w:val="006278C8"/>
    <w:rsid w:val="0062794A"/>
    <w:rsid w:val="00627971"/>
    <w:rsid w:val="00627B15"/>
    <w:rsid w:val="00630040"/>
    <w:rsid w:val="006307FB"/>
    <w:rsid w:val="00630A7E"/>
    <w:rsid w:val="00630BB8"/>
    <w:rsid w:val="00630D9C"/>
    <w:rsid w:val="00630E4E"/>
    <w:rsid w:val="00630E9F"/>
    <w:rsid w:val="00630EB2"/>
    <w:rsid w:val="00631428"/>
    <w:rsid w:val="006315F4"/>
    <w:rsid w:val="00631881"/>
    <w:rsid w:val="006318DD"/>
    <w:rsid w:val="00631941"/>
    <w:rsid w:val="006321CA"/>
    <w:rsid w:val="00632260"/>
    <w:rsid w:val="00632A5B"/>
    <w:rsid w:val="00632A92"/>
    <w:rsid w:val="00632AE7"/>
    <w:rsid w:val="00632BB5"/>
    <w:rsid w:val="00632F4A"/>
    <w:rsid w:val="006333AD"/>
    <w:rsid w:val="006333F4"/>
    <w:rsid w:val="00633683"/>
    <w:rsid w:val="006336DE"/>
    <w:rsid w:val="00633730"/>
    <w:rsid w:val="00633B02"/>
    <w:rsid w:val="00633B0B"/>
    <w:rsid w:val="00633BAD"/>
    <w:rsid w:val="00633BFE"/>
    <w:rsid w:val="00633E10"/>
    <w:rsid w:val="0063439F"/>
    <w:rsid w:val="006347E1"/>
    <w:rsid w:val="00634B90"/>
    <w:rsid w:val="00634B91"/>
    <w:rsid w:val="006351F5"/>
    <w:rsid w:val="00635477"/>
    <w:rsid w:val="0063550E"/>
    <w:rsid w:val="0063557F"/>
    <w:rsid w:val="006356CD"/>
    <w:rsid w:val="0063635D"/>
    <w:rsid w:val="006365ED"/>
    <w:rsid w:val="006370F6"/>
    <w:rsid w:val="00637337"/>
    <w:rsid w:val="00637354"/>
    <w:rsid w:val="00637A03"/>
    <w:rsid w:val="0064056D"/>
    <w:rsid w:val="00640A52"/>
    <w:rsid w:val="00640BBD"/>
    <w:rsid w:val="00640C1B"/>
    <w:rsid w:val="00640C50"/>
    <w:rsid w:val="00641A3C"/>
    <w:rsid w:val="00641C06"/>
    <w:rsid w:val="0064275A"/>
    <w:rsid w:val="0064280E"/>
    <w:rsid w:val="0064306D"/>
    <w:rsid w:val="006432F2"/>
    <w:rsid w:val="00643312"/>
    <w:rsid w:val="0064359A"/>
    <w:rsid w:val="00643726"/>
    <w:rsid w:val="006437B5"/>
    <w:rsid w:val="006445E4"/>
    <w:rsid w:val="00644721"/>
    <w:rsid w:val="006449A9"/>
    <w:rsid w:val="00644B94"/>
    <w:rsid w:val="00645500"/>
    <w:rsid w:val="00645CB0"/>
    <w:rsid w:val="006466DC"/>
    <w:rsid w:val="006473DF"/>
    <w:rsid w:val="00647556"/>
    <w:rsid w:val="006475A9"/>
    <w:rsid w:val="00647B84"/>
    <w:rsid w:val="00647BE8"/>
    <w:rsid w:val="00647C59"/>
    <w:rsid w:val="00647CF2"/>
    <w:rsid w:val="00647E17"/>
    <w:rsid w:val="00650156"/>
    <w:rsid w:val="006506A6"/>
    <w:rsid w:val="00650985"/>
    <w:rsid w:val="00651290"/>
    <w:rsid w:val="00651BF0"/>
    <w:rsid w:val="00651C00"/>
    <w:rsid w:val="00652278"/>
    <w:rsid w:val="006524C6"/>
    <w:rsid w:val="006529DF"/>
    <w:rsid w:val="006529EA"/>
    <w:rsid w:val="00652AC1"/>
    <w:rsid w:val="00652E5C"/>
    <w:rsid w:val="00652F3A"/>
    <w:rsid w:val="00653287"/>
    <w:rsid w:val="00653355"/>
    <w:rsid w:val="00653599"/>
    <w:rsid w:val="006535BE"/>
    <w:rsid w:val="006536B6"/>
    <w:rsid w:val="00653B68"/>
    <w:rsid w:val="00653B88"/>
    <w:rsid w:val="00653DA0"/>
    <w:rsid w:val="00654196"/>
    <w:rsid w:val="0065447B"/>
    <w:rsid w:val="006544DD"/>
    <w:rsid w:val="00654CDA"/>
    <w:rsid w:val="0065538D"/>
    <w:rsid w:val="00655958"/>
    <w:rsid w:val="00655C4F"/>
    <w:rsid w:val="0065646A"/>
    <w:rsid w:val="00656D71"/>
    <w:rsid w:val="006574D7"/>
    <w:rsid w:val="00657957"/>
    <w:rsid w:val="00657B18"/>
    <w:rsid w:val="00657E96"/>
    <w:rsid w:val="00660823"/>
    <w:rsid w:val="00660A56"/>
    <w:rsid w:val="00660CBF"/>
    <w:rsid w:val="006615FA"/>
    <w:rsid w:val="006615FF"/>
    <w:rsid w:val="00661C72"/>
    <w:rsid w:val="006621DB"/>
    <w:rsid w:val="00662A17"/>
    <w:rsid w:val="006630C6"/>
    <w:rsid w:val="0066389A"/>
    <w:rsid w:val="00663D05"/>
    <w:rsid w:val="0066424B"/>
    <w:rsid w:val="00664376"/>
    <w:rsid w:val="006649E1"/>
    <w:rsid w:val="00664BAB"/>
    <w:rsid w:val="0066529B"/>
    <w:rsid w:val="006655CC"/>
    <w:rsid w:val="006658F2"/>
    <w:rsid w:val="00665A60"/>
    <w:rsid w:val="00665B46"/>
    <w:rsid w:val="00665C2D"/>
    <w:rsid w:val="0066606E"/>
    <w:rsid w:val="0066633A"/>
    <w:rsid w:val="00667415"/>
    <w:rsid w:val="00667479"/>
    <w:rsid w:val="00667F48"/>
    <w:rsid w:val="00670884"/>
    <w:rsid w:val="006709E3"/>
    <w:rsid w:val="00670D9D"/>
    <w:rsid w:val="00670E3B"/>
    <w:rsid w:val="00670F5A"/>
    <w:rsid w:val="006712BC"/>
    <w:rsid w:val="0067171B"/>
    <w:rsid w:val="00671AB6"/>
    <w:rsid w:val="00671D55"/>
    <w:rsid w:val="00671F17"/>
    <w:rsid w:val="00672197"/>
    <w:rsid w:val="00672238"/>
    <w:rsid w:val="0067280D"/>
    <w:rsid w:val="006728D2"/>
    <w:rsid w:val="00672971"/>
    <w:rsid w:val="00672EEB"/>
    <w:rsid w:val="00672FB7"/>
    <w:rsid w:val="0067302E"/>
    <w:rsid w:val="00673119"/>
    <w:rsid w:val="006731E0"/>
    <w:rsid w:val="0067322F"/>
    <w:rsid w:val="00673234"/>
    <w:rsid w:val="006732E2"/>
    <w:rsid w:val="00673985"/>
    <w:rsid w:val="00673A28"/>
    <w:rsid w:val="00673B88"/>
    <w:rsid w:val="00673CCA"/>
    <w:rsid w:val="00674171"/>
    <w:rsid w:val="0067432E"/>
    <w:rsid w:val="0067478C"/>
    <w:rsid w:val="006749AA"/>
    <w:rsid w:val="00675080"/>
    <w:rsid w:val="00675252"/>
    <w:rsid w:val="00675730"/>
    <w:rsid w:val="00675951"/>
    <w:rsid w:val="006759EC"/>
    <w:rsid w:val="00675C20"/>
    <w:rsid w:val="00675E52"/>
    <w:rsid w:val="006760E8"/>
    <w:rsid w:val="00676705"/>
    <w:rsid w:val="00676845"/>
    <w:rsid w:val="00676E96"/>
    <w:rsid w:val="0067722E"/>
    <w:rsid w:val="00677436"/>
    <w:rsid w:val="00677573"/>
    <w:rsid w:val="00677E8C"/>
    <w:rsid w:val="00680471"/>
    <w:rsid w:val="00680654"/>
    <w:rsid w:val="006806CF"/>
    <w:rsid w:val="00680CD9"/>
    <w:rsid w:val="00680FC2"/>
    <w:rsid w:val="006811AB"/>
    <w:rsid w:val="006812A4"/>
    <w:rsid w:val="0068145C"/>
    <w:rsid w:val="00681A14"/>
    <w:rsid w:val="00681AC9"/>
    <w:rsid w:val="00681B1C"/>
    <w:rsid w:val="00681DFF"/>
    <w:rsid w:val="0068285A"/>
    <w:rsid w:val="006831ED"/>
    <w:rsid w:val="006836CE"/>
    <w:rsid w:val="006837EC"/>
    <w:rsid w:val="006843A2"/>
    <w:rsid w:val="006854ED"/>
    <w:rsid w:val="006857FA"/>
    <w:rsid w:val="0068611C"/>
    <w:rsid w:val="0068631C"/>
    <w:rsid w:val="00686CBC"/>
    <w:rsid w:val="00687038"/>
    <w:rsid w:val="00687315"/>
    <w:rsid w:val="00687CDF"/>
    <w:rsid w:val="006901C7"/>
    <w:rsid w:val="006901CD"/>
    <w:rsid w:val="00690C5A"/>
    <w:rsid w:val="00690C94"/>
    <w:rsid w:val="00690F86"/>
    <w:rsid w:val="00691750"/>
    <w:rsid w:val="00691A29"/>
    <w:rsid w:val="00691AFB"/>
    <w:rsid w:val="00691C85"/>
    <w:rsid w:val="006922B4"/>
    <w:rsid w:val="006926D1"/>
    <w:rsid w:val="00692833"/>
    <w:rsid w:val="00692AF8"/>
    <w:rsid w:val="00692B25"/>
    <w:rsid w:val="00692CFE"/>
    <w:rsid w:val="00692D55"/>
    <w:rsid w:val="0069343C"/>
    <w:rsid w:val="006936C1"/>
    <w:rsid w:val="00693B53"/>
    <w:rsid w:val="00694174"/>
    <w:rsid w:val="006957D7"/>
    <w:rsid w:val="00695D7B"/>
    <w:rsid w:val="00695F0E"/>
    <w:rsid w:val="006960D1"/>
    <w:rsid w:val="006963A9"/>
    <w:rsid w:val="00696769"/>
    <w:rsid w:val="006969FD"/>
    <w:rsid w:val="00696A10"/>
    <w:rsid w:val="00696A79"/>
    <w:rsid w:val="00696CF9"/>
    <w:rsid w:val="00696F8F"/>
    <w:rsid w:val="00696FA2"/>
    <w:rsid w:val="0069715A"/>
    <w:rsid w:val="006976E2"/>
    <w:rsid w:val="006977BE"/>
    <w:rsid w:val="00697B4C"/>
    <w:rsid w:val="006A002E"/>
    <w:rsid w:val="006A01F9"/>
    <w:rsid w:val="006A02FA"/>
    <w:rsid w:val="006A02FE"/>
    <w:rsid w:val="006A0E31"/>
    <w:rsid w:val="006A0F4D"/>
    <w:rsid w:val="006A1132"/>
    <w:rsid w:val="006A11EF"/>
    <w:rsid w:val="006A1295"/>
    <w:rsid w:val="006A12EB"/>
    <w:rsid w:val="006A1496"/>
    <w:rsid w:val="006A1593"/>
    <w:rsid w:val="006A19D4"/>
    <w:rsid w:val="006A1CD7"/>
    <w:rsid w:val="006A1EAA"/>
    <w:rsid w:val="006A2430"/>
    <w:rsid w:val="006A2863"/>
    <w:rsid w:val="006A2A38"/>
    <w:rsid w:val="006A2BC5"/>
    <w:rsid w:val="006A2BE0"/>
    <w:rsid w:val="006A2EEE"/>
    <w:rsid w:val="006A2F5D"/>
    <w:rsid w:val="006A304D"/>
    <w:rsid w:val="006A3667"/>
    <w:rsid w:val="006A446C"/>
    <w:rsid w:val="006A4604"/>
    <w:rsid w:val="006A46EF"/>
    <w:rsid w:val="006A4CBA"/>
    <w:rsid w:val="006A4CC0"/>
    <w:rsid w:val="006A4CD1"/>
    <w:rsid w:val="006A5100"/>
    <w:rsid w:val="006A553E"/>
    <w:rsid w:val="006A56E1"/>
    <w:rsid w:val="006A5EC9"/>
    <w:rsid w:val="006A6382"/>
    <w:rsid w:val="006A6756"/>
    <w:rsid w:val="006A6A09"/>
    <w:rsid w:val="006A6C53"/>
    <w:rsid w:val="006A6CE4"/>
    <w:rsid w:val="006A6DDC"/>
    <w:rsid w:val="006A6EAA"/>
    <w:rsid w:val="006A747D"/>
    <w:rsid w:val="006A7550"/>
    <w:rsid w:val="006A75AA"/>
    <w:rsid w:val="006A7B1C"/>
    <w:rsid w:val="006B0286"/>
    <w:rsid w:val="006B07D3"/>
    <w:rsid w:val="006B0FBF"/>
    <w:rsid w:val="006B0FC0"/>
    <w:rsid w:val="006B108E"/>
    <w:rsid w:val="006B160B"/>
    <w:rsid w:val="006B1908"/>
    <w:rsid w:val="006B1E93"/>
    <w:rsid w:val="006B22BF"/>
    <w:rsid w:val="006B2778"/>
    <w:rsid w:val="006B285E"/>
    <w:rsid w:val="006B28C8"/>
    <w:rsid w:val="006B38CE"/>
    <w:rsid w:val="006B465D"/>
    <w:rsid w:val="006B48BC"/>
    <w:rsid w:val="006B49A3"/>
    <w:rsid w:val="006B4BD5"/>
    <w:rsid w:val="006B4D87"/>
    <w:rsid w:val="006B4DFC"/>
    <w:rsid w:val="006B4E3C"/>
    <w:rsid w:val="006B5430"/>
    <w:rsid w:val="006B574A"/>
    <w:rsid w:val="006B57AE"/>
    <w:rsid w:val="006B5FA0"/>
    <w:rsid w:val="006B6542"/>
    <w:rsid w:val="006B6D0E"/>
    <w:rsid w:val="006B76E0"/>
    <w:rsid w:val="006B798D"/>
    <w:rsid w:val="006B7FD5"/>
    <w:rsid w:val="006C0DCE"/>
    <w:rsid w:val="006C0F74"/>
    <w:rsid w:val="006C0FB5"/>
    <w:rsid w:val="006C120C"/>
    <w:rsid w:val="006C1309"/>
    <w:rsid w:val="006C1DB4"/>
    <w:rsid w:val="006C2050"/>
    <w:rsid w:val="006C2080"/>
    <w:rsid w:val="006C246D"/>
    <w:rsid w:val="006C2543"/>
    <w:rsid w:val="006C2DB9"/>
    <w:rsid w:val="006C2EF7"/>
    <w:rsid w:val="006C2F8F"/>
    <w:rsid w:val="006C31E4"/>
    <w:rsid w:val="006C37D1"/>
    <w:rsid w:val="006C38C9"/>
    <w:rsid w:val="006C3CEE"/>
    <w:rsid w:val="006C3EA4"/>
    <w:rsid w:val="006C445F"/>
    <w:rsid w:val="006C46EA"/>
    <w:rsid w:val="006C4706"/>
    <w:rsid w:val="006C47E4"/>
    <w:rsid w:val="006C4828"/>
    <w:rsid w:val="006C4F96"/>
    <w:rsid w:val="006C4FD2"/>
    <w:rsid w:val="006C55DC"/>
    <w:rsid w:val="006C5613"/>
    <w:rsid w:val="006C5C13"/>
    <w:rsid w:val="006C6711"/>
    <w:rsid w:val="006C74BB"/>
    <w:rsid w:val="006C77EC"/>
    <w:rsid w:val="006C7AE6"/>
    <w:rsid w:val="006C7FC7"/>
    <w:rsid w:val="006C7FCC"/>
    <w:rsid w:val="006D034F"/>
    <w:rsid w:val="006D0661"/>
    <w:rsid w:val="006D0A2F"/>
    <w:rsid w:val="006D0B96"/>
    <w:rsid w:val="006D0F47"/>
    <w:rsid w:val="006D1142"/>
    <w:rsid w:val="006D124C"/>
    <w:rsid w:val="006D16AA"/>
    <w:rsid w:val="006D1921"/>
    <w:rsid w:val="006D194E"/>
    <w:rsid w:val="006D26FB"/>
    <w:rsid w:val="006D31BA"/>
    <w:rsid w:val="006D3291"/>
    <w:rsid w:val="006D33FB"/>
    <w:rsid w:val="006D3601"/>
    <w:rsid w:val="006D3BC2"/>
    <w:rsid w:val="006D3D10"/>
    <w:rsid w:val="006D43EA"/>
    <w:rsid w:val="006D4B6B"/>
    <w:rsid w:val="006D5220"/>
    <w:rsid w:val="006D5304"/>
    <w:rsid w:val="006D57C1"/>
    <w:rsid w:val="006D597A"/>
    <w:rsid w:val="006D5EB0"/>
    <w:rsid w:val="006D609B"/>
    <w:rsid w:val="006D6381"/>
    <w:rsid w:val="006D69BD"/>
    <w:rsid w:val="006D6A13"/>
    <w:rsid w:val="006D7345"/>
    <w:rsid w:val="006D7568"/>
    <w:rsid w:val="006D76AC"/>
    <w:rsid w:val="006D7784"/>
    <w:rsid w:val="006D7958"/>
    <w:rsid w:val="006D7E79"/>
    <w:rsid w:val="006D7FBF"/>
    <w:rsid w:val="006E022E"/>
    <w:rsid w:val="006E043E"/>
    <w:rsid w:val="006E0594"/>
    <w:rsid w:val="006E06F0"/>
    <w:rsid w:val="006E08A7"/>
    <w:rsid w:val="006E0BB6"/>
    <w:rsid w:val="006E0E66"/>
    <w:rsid w:val="006E1006"/>
    <w:rsid w:val="006E1420"/>
    <w:rsid w:val="006E19DC"/>
    <w:rsid w:val="006E1A39"/>
    <w:rsid w:val="006E1D77"/>
    <w:rsid w:val="006E21C7"/>
    <w:rsid w:val="006E2633"/>
    <w:rsid w:val="006E2B1D"/>
    <w:rsid w:val="006E2DB6"/>
    <w:rsid w:val="006E2EDE"/>
    <w:rsid w:val="006E3093"/>
    <w:rsid w:val="006E3251"/>
    <w:rsid w:val="006E352C"/>
    <w:rsid w:val="006E3E76"/>
    <w:rsid w:val="006E44F6"/>
    <w:rsid w:val="006E45F7"/>
    <w:rsid w:val="006E4608"/>
    <w:rsid w:val="006E4C72"/>
    <w:rsid w:val="006E4F38"/>
    <w:rsid w:val="006E5168"/>
    <w:rsid w:val="006E51F0"/>
    <w:rsid w:val="006E54E0"/>
    <w:rsid w:val="006E5615"/>
    <w:rsid w:val="006E5FA0"/>
    <w:rsid w:val="006E5FB4"/>
    <w:rsid w:val="006E5FBB"/>
    <w:rsid w:val="006E6047"/>
    <w:rsid w:val="006E65EE"/>
    <w:rsid w:val="006E66DD"/>
    <w:rsid w:val="006E685E"/>
    <w:rsid w:val="006E691A"/>
    <w:rsid w:val="006E6C0A"/>
    <w:rsid w:val="006E6DCB"/>
    <w:rsid w:val="006E728E"/>
    <w:rsid w:val="006E7403"/>
    <w:rsid w:val="006E77DF"/>
    <w:rsid w:val="006E79D0"/>
    <w:rsid w:val="006E7B35"/>
    <w:rsid w:val="006E7F4F"/>
    <w:rsid w:val="006F0038"/>
    <w:rsid w:val="006F04BA"/>
    <w:rsid w:val="006F0533"/>
    <w:rsid w:val="006F06FE"/>
    <w:rsid w:val="006F0774"/>
    <w:rsid w:val="006F08EE"/>
    <w:rsid w:val="006F0C7F"/>
    <w:rsid w:val="006F14F6"/>
    <w:rsid w:val="006F159D"/>
    <w:rsid w:val="006F164E"/>
    <w:rsid w:val="006F1FCC"/>
    <w:rsid w:val="006F245D"/>
    <w:rsid w:val="006F246C"/>
    <w:rsid w:val="006F2712"/>
    <w:rsid w:val="006F27E8"/>
    <w:rsid w:val="006F2A24"/>
    <w:rsid w:val="006F2F12"/>
    <w:rsid w:val="006F3164"/>
    <w:rsid w:val="006F345E"/>
    <w:rsid w:val="006F34ED"/>
    <w:rsid w:val="006F3510"/>
    <w:rsid w:val="006F384B"/>
    <w:rsid w:val="006F3974"/>
    <w:rsid w:val="006F3C79"/>
    <w:rsid w:val="006F3CED"/>
    <w:rsid w:val="006F3E41"/>
    <w:rsid w:val="006F4298"/>
    <w:rsid w:val="006F4750"/>
    <w:rsid w:val="006F4793"/>
    <w:rsid w:val="006F4986"/>
    <w:rsid w:val="006F4AE8"/>
    <w:rsid w:val="006F5007"/>
    <w:rsid w:val="006F5458"/>
    <w:rsid w:val="006F58B7"/>
    <w:rsid w:val="006F5924"/>
    <w:rsid w:val="006F5E29"/>
    <w:rsid w:val="006F5ED6"/>
    <w:rsid w:val="006F60FD"/>
    <w:rsid w:val="006F6183"/>
    <w:rsid w:val="006F63CE"/>
    <w:rsid w:val="006F652E"/>
    <w:rsid w:val="006F65CA"/>
    <w:rsid w:val="006F6878"/>
    <w:rsid w:val="006F71FA"/>
    <w:rsid w:val="006F7CFA"/>
    <w:rsid w:val="006F7E27"/>
    <w:rsid w:val="0070047E"/>
    <w:rsid w:val="00700535"/>
    <w:rsid w:val="0070091C"/>
    <w:rsid w:val="00700F8F"/>
    <w:rsid w:val="00701528"/>
    <w:rsid w:val="007018C7"/>
    <w:rsid w:val="00701B7C"/>
    <w:rsid w:val="00701D10"/>
    <w:rsid w:val="00702759"/>
    <w:rsid w:val="00702840"/>
    <w:rsid w:val="0070348F"/>
    <w:rsid w:val="007034EF"/>
    <w:rsid w:val="00703813"/>
    <w:rsid w:val="007049C6"/>
    <w:rsid w:val="00704B2C"/>
    <w:rsid w:val="00704BA9"/>
    <w:rsid w:val="00704E68"/>
    <w:rsid w:val="00704FA3"/>
    <w:rsid w:val="00705065"/>
    <w:rsid w:val="00705279"/>
    <w:rsid w:val="0070591F"/>
    <w:rsid w:val="00705C7F"/>
    <w:rsid w:val="00706020"/>
    <w:rsid w:val="00706186"/>
    <w:rsid w:val="007062BA"/>
    <w:rsid w:val="007063E6"/>
    <w:rsid w:val="00706471"/>
    <w:rsid w:val="00706666"/>
    <w:rsid w:val="00706B38"/>
    <w:rsid w:val="00706E3C"/>
    <w:rsid w:val="00707411"/>
    <w:rsid w:val="00707448"/>
    <w:rsid w:val="00707642"/>
    <w:rsid w:val="007077D8"/>
    <w:rsid w:val="007101DE"/>
    <w:rsid w:val="007105FF"/>
    <w:rsid w:val="0071061B"/>
    <w:rsid w:val="007109CF"/>
    <w:rsid w:val="00710E16"/>
    <w:rsid w:val="00711209"/>
    <w:rsid w:val="00711A05"/>
    <w:rsid w:val="00712430"/>
    <w:rsid w:val="007124D8"/>
    <w:rsid w:val="00712A91"/>
    <w:rsid w:val="00712CEC"/>
    <w:rsid w:val="00712D08"/>
    <w:rsid w:val="0071306E"/>
    <w:rsid w:val="007134A9"/>
    <w:rsid w:val="007135A4"/>
    <w:rsid w:val="00713AA9"/>
    <w:rsid w:val="00713B0E"/>
    <w:rsid w:val="00713C63"/>
    <w:rsid w:val="0071450E"/>
    <w:rsid w:val="007147BE"/>
    <w:rsid w:val="007149DC"/>
    <w:rsid w:val="00714BAB"/>
    <w:rsid w:val="00714BD4"/>
    <w:rsid w:val="00714C86"/>
    <w:rsid w:val="00714C97"/>
    <w:rsid w:val="00714D23"/>
    <w:rsid w:val="00714DB3"/>
    <w:rsid w:val="00714E97"/>
    <w:rsid w:val="007152F6"/>
    <w:rsid w:val="007155C3"/>
    <w:rsid w:val="00715609"/>
    <w:rsid w:val="007158B2"/>
    <w:rsid w:val="00715A63"/>
    <w:rsid w:val="00715AC9"/>
    <w:rsid w:val="00716031"/>
    <w:rsid w:val="00716400"/>
    <w:rsid w:val="007169A5"/>
    <w:rsid w:val="00716E03"/>
    <w:rsid w:val="00717A3A"/>
    <w:rsid w:val="00717F11"/>
    <w:rsid w:val="007200C0"/>
    <w:rsid w:val="007201FA"/>
    <w:rsid w:val="007204EB"/>
    <w:rsid w:val="007204F1"/>
    <w:rsid w:val="0072087A"/>
    <w:rsid w:val="00720BB3"/>
    <w:rsid w:val="00720D50"/>
    <w:rsid w:val="00720DE5"/>
    <w:rsid w:val="007210C3"/>
    <w:rsid w:val="0072120B"/>
    <w:rsid w:val="007214B4"/>
    <w:rsid w:val="0072220A"/>
    <w:rsid w:val="00722856"/>
    <w:rsid w:val="00722AE0"/>
    <w:rsid w:val="00722B14"/>
    <w:rsid w:val="00722EB3"/>
    <w:rsid w:val="007230EE"/>
    <w:rsid w:val="0072318C"/>
    <w:rsid w:val="00723226"/>
    <w:rsid w:val="007233E8"/>
    <w:rsid w:val="00723B5F"/>
    <w:rsid w:val="00724060"/>
    <w:rsid w:val="00724234"/>
    <w:rsid w:val="007242EF"/>
    <w:rsid w:val="00724370"/>
    <w:rsid w:val="007243F5"/>
    <w:rsid w:val="00724779"/>
    <w:rsid w:val="00724B20"/>
    <w:rsid w:val="00724B34"/>
    <w:rsid w:val="00724D6D"/>
    <w:rsid w:val="00725422"/>
    <w:rsid w:val="007254C4"/>
    <w:rsid w:val="00725605"/>
    <w:rsid w:val="00725A59"/>
    <w:rsid w:val="00725BD1"/>
    <w:rsid w:val="00725EFB"/>
    <w:rsid w:val="007261A2"/>
    <w:rsid w:val="0072644F"/>
    <w:rsid w:val="0072677C"/>
    <w:rsid w:val="00726C3A"/>
    <w:rsid w:val="007271F2"/>
    <w:rsid w:val="007272E2"/>
    <w:rsid w:val="00727595"/>
    <w:rsid w:val="007276D3"/>
    <w:rsid w:val="0072775D"/>
    <w:rsid w:val="00730009"/>
    <w:rsid w:val="007301F1"/>
    <w:rsid w:val="00730588"/>
    <w:rsid w:val="0073079E"/>
    <w:rsid w:val="007307F6"/>
    <w:rsid w:val="00730AF4"/>
    <w:rsid w:val="0073124D"/>
    <w:rsid w:val="00731315"/>
    <w:rsid w:val="007315F6"/>
    <w:rsid w:val="00731C7D"/>
    <w:rsid w:val="00731FB1"/>
    <w:rsid w:val="007323B5"/>
    <w:rsid w:val="007325F1"/>
    <w:rsid w:val="00732650"/>
    <w:rsid w:val="00732F6D"/>
    <w:rsid w:val="00733257"/>
    <w:rsid w:val="007335A2"/>
    <w:rsid w:val="00733A16"/>
    <w:rsid w:val="007340A5"/>
    <w:rsid w:val="007340FB"/>
    <w:rsid w:val="0073428B"/>
    <w:rsid w:val="0073434F"/>
    <w:rsid w:val="00735113"/>
    <w:rsid w:val="007351BE"/>
    <w:rsid w:val="00735A8A"/>
    <w:rsid w:val="00735B45"/>
    <w:rsid w:val="00735C23"/>
    <w:rsid w:val="00735C66"/>
    <w:rsid w:val="00736085"/>
    <w:rsid w:val="00736589"/>
    <w:rsid w:val="00736999"/>
    <w:rsid w:val="00736B50"/>
    <w:rsid w:val="00736C81"/>
    <w:rsid w:val="00736D92"/>
    <w:rsid w:val="00736EA9"/>
    <w:rsid w:val="00736EF3"/>
    <w:rsid w:val="00736EF4"/>
    <w:rsid w:val="007370D8"/>
    <w:rsid w:val="00737144"/>
    <w:rsid w:val="007372C2"/>
    <w:rsid w:val="00737475"/>
    <w:rsid w:val="00737C0D"/>
    <w:rsid w:val="00737E77"/>
    <w:rsid w:val="007403AD"/>
    <w:rsid w:val="0074053D"/>
    <w:rsid w:val="00740A62"/>
    <w:rsid w:val="00740AEA"/>
    <w:rsid w:val="00740CF4"/>
    <w:rsid w:val="00740D89"/>
    <w:rsid w:val="00741337"/>
    <w:rsid w:val="00741C44"/>
    <w:rsid w:val="00741D7D"/>
    <w:rsid w:val="00742094"/>
    <w:rsid w:val="0074230D"/>
    <w:rsid w:val="007423E7"/>
    <w:rsid w:val="007426C1"/>
    <w:rsid w:val="0074298A"/>
    <w:rsid w:val="00742F8E"/>
    <w:rsid w:val="00743182"/>
    <w:rsid w:val="0074394E"/>
    <w:rsid w:val="00743D0F"/>
    <w:rsid w:val="00743DE5"/>
    <w:rsid w:val="00743DFD"/>
    <w:rsid w:val="00743F29"/>
    <w:rsid w:val="00744298"/>
    <w:rsid w:val="007445D6"/>
    <w:rsid w:val="007449B9"/>
    <w:rsid w:val="00744C8B"/>
    <w:rsid w:val="00744CB1"/>
    <w:rsid w:val="00745154"/>
    <w:rsid w:val="00745306"/>
    <w:rsid w:val="0074593F"/>
    <w:rsid w:val="00745A6C"/>
    <w:rsid w:val="00745AF1"/>
    <w:rsid w:val="00745B9E"/>
    <w:rsid w:val="00745CEF"/>
    <w:rsid w:val="00745DA0"/>
    <w:rsid w:val="00745DAF"/>
    <w:rsid w:val="00745DC6"/>
    <w:rsid w:val="00745E01"/>
    <w:rsid w:val="00745E34"/>
    <w:rsid w:val="007460C8"/>
    <w:rsid w:val="00746112"/>
    <w:rsid w:val="0074646C"/>
    <w:rsid w:val="00746969"/>
    <w:rsid w:val="007469EC"/>
    <w:rsid w:val="00746A1C"/>
    <w:rsid w:val="00746A28"/>
    <w:rsid w:val="00746E7F"/>
    <w:rsid w:val="00747992"/>
    <w:rsid w:val="00747AE1"/>
    <w:rsid w:val="00747B0B"/>
    <w:rsid w:val="00747D9B"/>
    <w:rsid w:val="00747E74"/>
    <w:rsid w:val="0075008B"/>
    <w:rsid w:val="007505CC"/>
    <w:rsid w:val="0075071F"/>
    <w:rsid w:val="007508FE"/>
    <w:rsid w:val="00750AD9"/>
    <w:rsid w:val="00750BAF"/>
    <w:rsid w:val="00750C93"/>
    <w:rsid w:val="00750E4A"/>
    <w:rsid w:val="007512B4"/>
    <w:rsid w:val="007514C1"/>
    <w:rsid w:val="00751687"/>
    <w:rsid w:val="00751DE4"/>
    <w:rsid w:val="00751EE9"/>
    <w:rsid w:val="00752084"/>
    <w:rsid w:val="007528F0"/>
    <w:rsid w:val="00752971"/>
    <w:rsid w:val="00752AD6"/>
    <w:rsid w:val="007531BE"/>
    <w:rsid w:val="0075320A"/>
    <w:rsid w:val="007534F8"/>
    <w:rsid w:val="00753512"/>
    <w:rsid w:val="0075367F"/>
    <w:rsid w:val="00753AF4"/>
    <w:rsid w:val="00753BEF"/>
    <w:rsid w:val="00753E1A"/>
    <w:rsid w:val="00753FAE"/>
    <w:rsid w:val="00754FE8"/>
    <w:rsid w:val="00755089"/>
    <w:rsid w:val="0075516C"/>
    <w:rsid w:val="00755336"/>
    <w:rsid w:val="007553CF"/>
    <w:rsid w:val="007554CF"/>
    <w:rsid w:val="00755729"/>
    <w:rsid w:val="00755843"/>
    <w:rsid w:val="00755E6A"/>
    <w:rsid w:val="00755EF2"/>
    <w:rsid w:val="0075676C"/>
    <w:rsid w:val="00756B4D"/>
    <w:rsid w:val="00756F8D"/>
    <w:rsid w:val="007571AC"/>
    <w:rsid w:val="00757377"/>
    <w:rsid w:val="007573AA"/>
    <w:rsid w:val="00757AB8"/>
    <w:rsid w:val="0076023F"/>
    <w:rsid w:val="00760764"/>
    <w:rsid w:val="00760D0B"/>
    <w:rsid w:val="0076134A"/>
    <w:rsid w:val="007615D7"/>
    <w:rsid w:val="007617A5"/>
    <w:rsid w:val="007619E1"/>
    <w:rsid w:val="00761C72"/>
    <w:rsid w:val="007622AF"/>
    <w:rsid w:val="0076271C"/>
    <w:rsid w:val="00762ABA"/>
    <w:rsid w:val="007638C7"/>
    <w:rsid w:val="00763E40"/>
    <w:rsid w:val="00763EC0"/>
    <w:rsid w:val="007641FA"/>
    <w:rsid w:val="007646D7"/>
    <w:rsid w:val="00764EF8"/>
    <w:rsid w:val="007651C5"/>
    <w:rsid w:val="00765249"/>
    <w:rsid w:val="007652AF"/>
    <w:rsid w:val="007656E6"/>
    <w:rsid w:val="007658B8"/>
    <w:rsid w:val="00765A0C"/>
    <w:rsid w:val="00765CC5"/>
    <w:rsid w:val="0076600D"/>
    <w:rsid w:val="00766371"/>
    <w:rsid w:val="00766392"/>
    <w:rsid w:val="00766684"/>
    <w:rsid w:val="007667DD"/>
    <w:rsid w:val="00766CD4"/>
    <w:rsid w:val="00766E6B"/>
    <w:rsid w:val="00766ECA"/>
    <w:rsid w:val="00766F27"/>
    <w:rsid w:val="00767083"/>
    <w:rsid w:val="00767612"/>
    <w:rsid w:val="00767B2B"/>
    <w:rsid w:val="00767B92"/>
    <w:rsid w:val="00767EFB"/>
    <w:rsid w:val="0077007D"/>
    <w:rsid w:val="0077009A"/>
    <w:rsid w:val="0077016C"/>
    <w:rsid w:val="0077016E"/>
    <w:rsid w:val="007705BF"/>
    <w:rsid w:val="00770C40"/>
    <w:rsid w:val="00770D85"/>
    <w:rsid w:val="00770F37"/>
    <w:rsid w:val="00770F67"/>
    <w:rsid w:val="0077109D"/>
    <w:rsid w:val="00771145"/>
    <w:rsid w:val="0077127E"/>
    <w:rsid w:val="00771906"/>
    <w:rsid w:val="0077190A"/>
    <w:rsid w:val="00771F51"/>
    <w:rsid w:val="00772040"/>
    <w:rsid w:val="00772108"/>
    <w:rsid w:val="00772121"/>
    <w:rsid w:val="0077214E"/>
    <w:rsid w:val="00772CF6"/>
    <w:rsid w:val="007730BA"/>
    <w:rsid w:val="0077335F"/>
    <w:rsid w:val="00773533"/>
    <w:rsid w:val="007735AB"/>
    <w:rsid w:val="0077364A"/>
    <w:rsid w:val="007736AC"/>
    <w:rsid w:val="00773A4B"/>
    <w:rsid w:val="0077435F"/>
    <w:rsid w:val="007743D0"/>
    <w:rsid w:val="00774E9A"/>
    <w:rsid w:val="00774F94"/>
    <w:rsid w:val="0077519E"/>
    <w:rsid w:val="007752A4"/>
    <w:rsid w:val="0077552E"/>
    <w:rsid w:val="007756CD"/>
    <w:rsid w:val="007757F5"/>
    <w:rsid w:val="00775906"/>
    <w:rsid w:val="00775BA4"/>
    <w:rsid w:val="00775CE8"/>
    <w:rsid w:val="00775EEF"/>
    <w:rsid w:val="00776638"/>
    <w:rsid w:val="00776B1D"/>
    <w:rsid w:val="00776EA9"/>
    <w:rsid w:val="0077744B"/>
    <w:rsid w:val="0077758C"/>
    <w:rsid w:val="00777AAF"/>
    <w:rsid w:val="007800E2"/>
    <w:rsid w:val="007807E1"/>
    <w:rsid w:val="00780940"/>
    <w:rsid w:val="00780C63"/>
    <w:rsid w:val="00780EDF"/>
    <w:rsid w:val="00780EE7"/>
    <w:rsid w:val="00781291"/>
    <w:rsid w:val="00781B36"/>
    <w:rsid w:val="00781E66"/>
    <w:rsid w:val="007821A9"/>
    <w:rsid w:val="007829D8"/>
    <w:rsid w:val="00782CF1"/>
    <w:rsid w:val="00782FD6"/>
    <w:rsid w:val="00783346"/>
    <w:rsid w:val="0078339F"/>
    <w:rsid w:val="007833B4"/>
    <w:rsid w:val="007833FA"/>
    <w:rsid w:val="0078363A"/>
    <w:rsid w:val="00784157"/>
    <w:rsid w:val="00784B47"/>
    <w:rsid w:val="00784D0C"/>
    <w:rsid w:val="0078554C"/>
    <w:rsid w:val="00785874"/>
    <w:rsid w:val="00785962"/>
    <w:rsid w:val="00785AC6"/>
    <w:rsid w:val="00785C7C"/>
    <w:rsid w:val="00785D29"/>
    <w:rsid w:val="00786215"/>
    <w:rsid w:val="00786235"/>
    <w:rsid w:val="0078634A"/>
    <w:rsid w:val="0078672B"/>
    <w:rsid w:val="0078683F"/>
    <w:rsid w:val="00786F30"/>
    <w:rsid w:val="00786FD8"/>
    <w:rsid w:val="0078729C"/>
    <w:rsid w:val="00787513"/>
    <w:rsid w:val="00787D76"/>
    <w:rsid w:val="00787E71"/>
    <w:rsid w:val="007900C9"/>
    <w:rsid w:val="007901E2"/>
    <w:rsid w:val="00790CA4"/>
    <w:rsid w:val="00791062"/>
    <w:rsid w:val="007912D7"/>
    <w:rsid w:val="007917E0"/>
    <w:rsid w:val="00791A6A"/>
    <w:rsid w:val="00791AAB"/>
    <w:rsid w:val="00791AB1"/>
    <w:rsid w:val="00791B94"/>
    <w:rsid w:val="00791B96"/>
    <w:rsid w:val="00791DAE"/>
    <w:rsid w:val="00791E3E"/>
    <w:rsid w:val="00791EA3"/>
    <w:rsid w:val="00791F60"/>
    <w:rsid w:val="0079200E"/>
    <w:rsid w:val="00792277"/>
    <w:rsid w:val="0079230A"/>
    <w:rsid w:val="0079295A"/>
    <w:rsid w:val="00792AA0"/>
    <w:rsid w:val="00792CEB"/>
    <w:rsid w:val="00792D39"/>
    <w:rsid w:val="00792DC6"/>
    <w:rsid w:val="00792EC3"/>
    <w:rsid w:val="0079304C"/>
    <w:rsid w:val="0079391C"/>
    <w:rsid w:val="00793920"/>
    <w:rsid w:val="00793CA3"/>
    <w:rsid w:val="007940E4"/>
    <w:rsid w:val="00794B35"/>
    <w:rsid w:val="00794FBA"/>
    <w:rsid w:val="007951ED"/>
    <w:rsid w:val="0079551E"/>
    <w:rsid w:val="007955DF"/>
    <w:rsid w:val="00795955"/>
    <w:rsid w:val="0079595F"/>
    <w:rsid w:val="00795CC9"/>
    <w:rsid w:val="00795D7A"/>
    <w:rsid w:val="00796076"/>
    <w:rsid w:val="0079698E"/>
    <w:rsid w:val="00796C58"/>
    <w:rsid w:val="0079748C"/>
    <w:rsid w:val="00797D1F"/>
    <w:rsid w:val="00797DB7"/>
    <w:rsid w:val="00797E8E"/>
    <w:rsid w:val="007A02CE"/>
    <w:rsid w:val="007A06CA"/>
    <w:rsid w:val="007A09E4"/>
    <w:rsid w:val="007A0BA5"/>
    <w:rsid w:val="007A0FD3"/>
    <w:rsid w:val="007A1225"/>
    <w:rsid w:val="007A15CE"/>
    <w:rsid w:val="007A1C04"/>
    <w:rsid w:val="007A1CB9"/>
    <w:rsid w:val="007A21C1"/>
    <w:rsid w:val="007A21E6"/>
    <w:rsid w:val="007A26C5"/>
    <w:rsid w:val="007A270F"/>
    <w:rsid w:val="007A2D98"/>
    <w:rsid w:val="007A30A7"/>
    <w:rsid w:val="007A34BA"/>
    <w:rsid w:val="007A34E1"/>
    <w:rsid w:val="007A3558"/>
    <w:rsid w:val="007A3675"/>
    <w:rsid w:val="007A47A3"/>
    <w:rsid w:val="007A4864"/>
    <w:rsid w:val="007A48D6"/>
    <w:rsid w:val="007A48E5"/>
    <w:rsid w:val="007A4B5E"/>
    <w:rsid w:val="007A4F17"/>
    <w:rsid w:val="007A4F77"/>
    <w:rsid w:val="007A525E"/>
    <w:rsid w:val="007A5672"/>
    <w:rsid w:val="007A5889"/>
    <w:rsid w:val="007A593C"/>
    <w:rsid w:val="007A5B0B"/>
    <w:rsid w:val="007A5BC5"/>
    <w:rsid w:val="007A5CB7"/>
    <w:rsid w:val="007A61E8"/>
    <w:rsid w:val="007A7822"/>
    <w:rsid w:val="007A7984"/>
    <w:rsid w:val="007A7DEE"/>
    <w:rsid w:val="007A7DF8"/>
    <w:rsid w:val="007B0410"/>
    <w:rsid w:val="007B0BCD"/>
    <w:rsid w:val="007B0D77"/>
    <w:rsid w:val="007B0F48"/>
    <w:rsid w:val="007B10C1"/>
    <w:rsid w:val="007B141D"/>
    <w:rsid w:val="007B175C"/>
    <w:rsid w:val="007B17BA"/>
    <w:rsid w:val="007B209E"/>
    <w:rsid w:val="007B22E5"/>
    <w:rsid w:val="007B26EC"/>
    <w:rsid w:val="007B33A0"/>
    <w:rsid w:val="007B36F6"/>
    <w:rsid w:val="007B38E7"/>
    <w:rsid w:val="007B3B77"/>
    <w:rsid w:val="007B3F0F"/>
    <w:rsid w:val="007B42C3"/>
    <w:rsid w:val="007B449F"/>
    <w:rsid w:val="007B44A5"/>
    <w:rsid w:val="007B44E9"/>
    <w:rsid w:val="007B46F3"/>
    <w:rsid w:val="007B48A0"/>
    <w:rsid w:val="007B4B8D"/>
    <w:rsid w:val="007B4C91"/>
    <w:rsid w:val="007B503C"/>
    <w:rsid w:val="007B5255"/>
    <w:rsid w:val="007B52DD"/>
    <w:rsid w:val="007B52F0"/>
    <w:rsid w:val="007B5544"/>
    <w:rsid w:val="007B5727"/>
    <w:rsid w:val="007B576D"/>
    <w:rsid w:val="007B5960"/>
    <w:rsid w:val="007B5B16"/>
    <w:rsid w:val="007B5CBD"/>
    <w:rsid w:val="007B60CC"/>
    <w:rsid w:val="007B637B"/>
    <w:rsid w:val="007B63ED"/>
    <w:rsid w:val="007B6594"/>
    <w:rsid w:val="007B67EE"/>
    <w:rsid w:val="007B6A7A"/>
    <w:rsid w:val="007B6C01"/>
    <w:rsid w:val="007B7088"/>
    <w:rsid w:val="007B750B"/>
    <w:rsid w:val="007B77DD"/>
    <w:rsid w:val="007B7D3F"/>
    <w:rsid w:val="007C0737"/>
    <w:rsid w:val="007C08E0"/>
    <w:rsid w:val="007C0948"/>
    <w:rsid w:val="007C0ADF"/>
    <w:rsid w:val="007C0C2D"/>
    <w:rsid w:val="007C0D4D"/>
    <w:rsid w:val="007C1B1E"/>
    <w:rsid w:val="007C22D8"/>
    <w:rsid w:val="007C2438"/>
    <w:rsid w:val="007C2782"/>
    <w:rsid w:val="007C2972"/>
    <w:rsid w:val="007C29F8"/>
    <w:rsid w:val="007C2C37"/>
    <w:rsid w:val="007C30D3"/>
    <w:rsid w:val="007C356A"/>
    <w:rsid w:val="007C398E"/>
    <w:rsid w:val="007C399C"/>
    <w:rsid w:val="007C3CDA"/>
    <w:rsid w:val="007C4674"/>
    <w:rsid w:val="007C4722"/>
    <w:rsid w:val="007C49A9"/>
    <w:rsid w:val="007C5312"/>
    <w:rsid w:val="007C53C0"/>
    <w:rsid w:val="007C54B7"/>
    <w:rsid w:val="007C571A"/>
    <w:rsid w:val="007C5C6F"/>
    <w:rsid w:val="007C612D"/>
    <w:rsid w:val="007C644D"/>
    <w:rsid w:val="007C6839"/>
    <w:rsid w:val="007C6A38"/>
    <w:rsid w:val="007C6AD9"/>
    <w:rsid w:val="007C6B69"/>
    <w:rsid w:val="007C6B9D"/>
    <w:rsid w:val="007C6CF6"/>
    <w:rsid w:val="007C7309"/>
    <w:rsid w:val="007C7636"/>
    <w:rsid w:val="007C7B46"/>
    <w:rsid w:val="007C7B7E"/>
    <w:rsid w:val="007C7D34"/>
    <w:rsid w:val="007C7DC1"/>
    <w:rsid w:val="007D0352"/>
    <w:rsid w:val="007D0AF9"/>
    <w:rsid w:val="007D0F90"/>
    <w:rsid w:val="007D0F9D"/>
    <w:rsid w:val="007D1646"/>
    <w:rsid w:val="007D1C94"/>
    <w:rsid w:val="007D1DDD"/>
    <w:rsid w:val="007D1EB2"/>
    <w:rsid w:val="007D226B"/>
    <w:rsid w:val="007D25C3"/>
    <w:rsid w:val="007D2C34"/>
    <w:rsid w:val="007D2CD6"/>
    <w:rsid w:val="007D2DA7"/>
    <w:rsid w:val="007D3063"/>
    <w:rsid w:val="007D3324"/>
    <w:rsid w:val="007D3A69"/>
    <w:rsid w:val="007D428E"/>
    <w:rsid w:val="007D42AC"/>
    <w:rsid w:val="007D48CE"/>
    <w:rsid w:val="007D4C47"/>
    <w:rsid w:val="007D4FCA"/>
    <w:rsid w:val="007D5067"/>
    <w:rsid w:val="007D5BA1"/>
    <w:rsid w:val="007D6126"/>
    <w:rsid w:val="007D6488"/>
    <w:rsid w:val="007D6813"/>
    <w:rsid w:val="007D6A11"/>
    <w:rsid w:val="007D7305"/>
    <w:rsid w:val="007D7369"/>
    <w:rsid w:val="007D7445"/>
    <w:rsid w:val="007D7756"/>
    <w:rsid w:val="007D7925"/>
    <w:rsid w:val="007D7B75"/>
    <w:rsid w:val="007E053C"/>
    <w:rsid w:val="007E0551"/>
    <w:rsid w:val="007E061D"/>
    <w:rsid w:val="007E063E"/>
    <w:rsid w:val="007E08FD"/>
    <w:rsid w:val="007E0ACC"/>
    <w:rsid w:val="007E1836"/>
    <w:rsid w:val="007E1848"/>
    <w:rsid w:val="007E2271"/>
    <w:rsid w:val="007E22A3"/>
    <w:rsid w:val="007E24C9"/>
    <w:rsid w:val="007E25D6"/>
    <w:rsid w:val="007E268E"/>
    <w:rsid w:val="007E294E"/>
    <w:rsid w:val="007E2D46"/>
    <w:rsid w:val="007E2D81"/>
    <w:rsid w:val="007E2EA6"/>
    <w:rsid w:val="007E2FD4"/>
    <w:rsid w:val="007E305F"/>
    <w:rsid w:val="007E335B"/>
    <w:rsid w:val="007E33B7"/>
    <w:rsid w:val="007E353D"/>
    <w:rsid w:val="007E3AAB"/>
    <w:rsid w:val="007E3AE5"/>
    <w:rsid w:val="007E3D0B"/>
    <w:rsid w:val="007E3E52"/>
    <w:rsid w:val="007E3EA3"/>
    <w:rsid w:val="007E4ACE"/>
    <w:rsid w:val="007E4B49"/>
    <w:rsid w:val="007E4D97"/>
    <w:rsid w:val="007E510B"/>
    <w:rsid w:val="007E538A"/>
    <w:rsid w:val="007E53AB"/>
    <w:rsid w:val="007E542B"/>
    <w:rsid w:val="007E546F"/>
    <w:rsid w:val="007E5A29"/>
    <w:rsid w:val="007E5D96"/>
    <w:rsid w:val="007E62CB"/>
    <w:rsid w:val="007E639E"/>
    <w:rsid w:val="007E6456"/>
    <w:rsid w:val="007E6946"/>
    <w:rsid w:val="007E6BBD"/>
    <w:rsid w:val="007E6C50"/>
    <w:rsid w:val="007E6D6D"/>
    <w:rsid w:val="007E6DE5"/>
    <w:rsid w:val="007E7010"/>
    <w:rsid w:val="007E7375"/>
    <w:rsid w:val="007E73CB"/>
    <w:rsid w:val="007E7920"/>
    <w:rsid w:val="007E7991"/>
    <w:rsid w:val="007E7B65"/>
    <w:rsid w:val="007E7C76"/>
    <w:rsid w:val="007F006D"/>
    <w:rsid w:val="007F0467"/>
    <w:rsid w:val="007F04A2"/>
    <w:rsid w:val="007F0651"/>
    <w:rsid w:val="007F0765"/>
    <w:rsid w:val="007F0A02"/>
    <w:rsid w:val="007F182D"/>
    <w:rsid w:val="007F1BE0"/>
    <w:rsid w:val="007F1E9F"/>
    <w:rsid w:val="007F204B"/>
    <w:rsid w:val="007F2315"/>
    <w:rsid w:val="007F24C6"/>
    <w:rsid w:val="007F259A"/>
    <w:rsid w:val="007F313D"/>
    <w:rsid w:val="007F381C"/>
    <w:rsid w:val="007F4173"/>
    <w:rsid w:val="007F429A"/>
    <w:rsid w:val="007F4501"/>
    <w:rsid w:val="007F46D8"/>
    <w:rsid w:val="007F4C05"/>
    <w:rsid w:val="007F4C69"/>
    <w:rsid w:val="007F4F31"/>
    <w:rsid w:val="007F5798"/>
    <w:rsid w:val="007F58D6"/>
    <w:rsid w:val="007F630B"/>
    <w:rsid w:val="007F67E8"/>
    <w:rsid w:val="007F6CF7"/>
    <w:rsid w:val="007F6E42"/>
    <w:rsid w:val="007F6E4F"/>
    <w:rsid w:val="007F6EB9"/>
    <w:rsid w:val="007F7074"/>
    <w:rsid w:val="007F71C1"/>
    <w:rsid w:val="007F7DE3"/>
    <w:rsid w:val="00800103"/>
    <w:rsid w:val="008002F7"/>
    <w:rsid w:val="00800492"/>
    <w:rsid w:val="00800546"/>
    <w:rsid w:val="0080057F"/>
    <w:rsid w:val="00800845"/>
    <w:rsid w:val="00800BA3"/>
    <w:rsid w:val="00801789"/>
    <w:rsid w:val="0080181F"/>
    <w:rsid w:val="00801A27"/>
    <w:rsid w:val="00801B13"/>
    <w:rsid w:val="00801EFC"/>
    <w:rsid w:val="00802205"/>
    <w:rsid w:val="008027B0"/>
    <w:rsid w:val="008031E0"/>
    <w:rsid w:val="00803D30"/>
    <w:rsid w:val="00804094"/>
    <w:rsid w:val="0080418A"/>
    <w:rsid w:val="0080433B"/>
    <w:rsid w:val="00804466"/>
    <w:rsid w:val="00804D4A"/>
    <w:rsid w:val="008052ED"/>
    <w:rsid w:val="008058D9"/>
    <w:rsid w:val="0080655C"/>
    <w:rsid w:val="00806980"/>
    <w:rsid w:val="00806E41"/>
    <w:rsid w:val="00806EA0"/>
    <w:rsid w:val="0080716F"/>
    <w:rsid w:val="0080729E"/>
    <w:rsid w:val="008079BF"/>
    <w:rsid w:val="00807A0A"/>
    <w:rsid w:val="00807ABD"/>
    <w:rsid w:val="00807D2E"/>
    <w:rsid w:val="00807FE1"/>
    <w:rsid w:val="00810080"/>
    <w:rsid w:val="008104AC"/>
    <w:rsid w:val="00810504"/>
    <w:rsid w:val="00810987"/>
    <w:rsid w:val="00810BDB"/>
    <w:rsid w:val="00810C56"/>
    <w:rsid w:val="00810FAF"/>
    <w:rsid w:val="008110E5"/>
    <w:rsid w:val="008112D3"/>
    <w:rsid w:val="00811716"/>
    <w:rsid w:val="00811C13"/>
    <w:rsid w:val="008123DE"/>
    <w:rsid w:val="008127FB"/>
    <w:rsid w:val="0081291E"/>
    <w:rsid w:val="00812BC3"/>
    <w:rsid w:val="008131C3"/>
    <w:rsid w:val="008132FC"/>
    <w:rsid w:val="0081352F"/>
    <w:rsid w:val="00813571"/>
    <w:rsid w:val="0081380D"/>
    <w:rsid w:val="00813A86"/>
    <w:rsid w:val="00813ABD"/>
    <w:rsid w:val="00813C58"/>
    <w:rsid w:val="00814033"/>
    <w:rsid w:val="008141C8"/>
    <w:rsid w:val="008142AE"/>
    <w:rsid w:val="008143B8"/>
    <w:rsid w:val="008143CE"/>
    <w:rsid w:val="00814535"/>
    <w:rsid w:val="008145FE"/>
    <w:rsid w:val="008149F8"/>
    <w:rsid w:val="00814BB8"/>
    <w:rsid w:val="00814D1F"/>
    <w:rsid w:val="00815345"/>
    <w:rsid w:val="008154FD"/>
    <w:rsid w:val="008157B8"/>
    <w:rsid w:val="00815B7B"/>
    <w:rsid w:val="00815E1A"/>
    <w:rsid w:val="00816015"/>
    <w:rsid w:val="008167C7"/>
    <w:rsid w:val="00816876"/>
    <w:rsid w:val="00816F4A"/>
    <w:rsid w:val="008174F1"/>
    <w:rsid w:val="00817F55"/>
    <w:rsid w:val="00820155"/>
    <w:rsid w:val="008201AB"/>
    <w:rsid w:val="00820A94"/>
    <w:rsid w:val="00821824"/>
    <w:rsid w:val="00821B65"/>
    <w:rsid w:val="00821B6A"/>
    <w:rsid w:val="008223E8"/>
    <w:rsid w:val="008224E3"/>
    <w:rsid w:val="00822703"/>
    <w:rsid w:val="00822710"/>
    <w:rsid w:val="00822AD0"/>
    <w:rsid w:val="008230D1"/>
    <w:rsid w:val="008232DB"/>
    <w:rsid w:val="008233E7"/>
    <w:rsid w:val="008238A3"/>
    <w:rsid w:val="008238B9"/>
    <w:rsid w:val="00823AE1"/>
    <w:rsid w:val="00823AE5"/>
    <w:rsid w:val="00823B4D"/>
    <w:rsid w:val="00823D24"/>
    <w:rsid w:val="00823F46"/>
    <w:rsid w:val="008241AA"/>
    <w:rsid w:val="008251A5"/>
    <w:rsid w:val="00825C25"/>
    <w:rsid w:val="00825DA7"/>
    <w:rsid w:val="00826590"/>
    <w:rsid w:val="00826691"/>
    <w:rsid w:val="008268EF"/>
    <w:rsid w:val="00826905"/>
    <w:rsid w:val="00826DFC"/>
    <w:rsid w:val="00827CF5"/>
    <w:rsid w:val="008301EE"/>
    <w:rsid w:val="008303A8"/>
    <w:rsid w:val="0083051C"/>
    <w:rsid w:val="00830539"/>
    <w:rsid w:val="0083065E"/>
    <w:rsid w:val="00830A08"/>
    <w:rsid w:val="00830A65"/>
    <w:rsid w:val="00830B8D"/>
    <w:rsid w:val="00831034"/>
    <w:rsid w:val="008310B9"/>
    <w:rsid w:val="00831489"/>
    <w:rsid w:val="00831504"/>
    <w:rsid w:val="0083158F"/>
    <w:rsid w:val="00831822"/>
    <w:rsid w:val="00831A94"/>
    <w:rsid w:val="00831F91"/>
    <w:rsid w:val="008322ED"/>
    <w:rsid w:val="0083255A"/>
    <w:rsid w:val="00832816"/>
    <w:rsid w:val="00832860"/>
    <w:rsid w:val="0083344E"/>
    <w:rsid w:val="00833649"/>
    <w:rsid w:val="00833824"/>
    <w:rsid w:val="00833ED4"/>
    <w:rsid w:val="00834204"/>
    <w:rsid w:val="008342F4"/>
    <w:rsid w:val="008350C6"/>
    <w:rsid w:val="00835274"/>
    <w:rsid w:val="00835395"/>
    <w:rsid w:val="00835667"/>
    <w:rsid w:val="00835780"/>
    <w:rsid w:val="008361AB"/>
    <w:rsid w:val="008362B6"/>
    <w:rsid w:val="0083649B"/>
    <w:rsid w:val="008370FA"/>
    <w:rsid w:val="00837201"/>
    <w:rsid w:val="0083756E"/>
    <w:rsid w:val="0083759C"/>
    <w:rsid w:val="00837CE8"/>
    <w:rsid w:val="00837D84"/>
    <w:rsid w:val="008400CA"/>
    <w:rsid w:val="008403E2"/>
    <w:rsid w:val="00840430"/>
    <w:rsid w:val="00840440"/>
    <w:rsid w:val="008405DF"/>
    <w:rsid w:val="00840A59"/>
    <w:rsid w:val="00840CBA"/>
    <w:rsid w:val="00841274"/>
    <w:rsid w:val="00841309"/>
    <w:rsid w:val="008414C0"/>
    <w:rsid w:val="00841543"/>
    <w:rsid w:val="00841598"/>
    <w:rsid w:val="00841788"/>
    <w:rsid w:val="0084181F"/>
    <w:rsid w:val="0084191B"/>
    <w:rsid w:val="00841AE8"/>
    <w:rsid w:val="00841F3B"/>
    <w:rsid w:val="0084258C"/>
    <w:rsid w:val="008426F9"/>
    <w:rsid w:val="008428AB"/>
    <w:rsid w:val="008432F2"/>
    <w:rsid w:val="00843664"/>
    <w:rsid w:val="00843B92"/>
    <w:rsid w:val="0084414D"/>
    <w:rsid w:val="0084452A"/>
    <w:rsid w:val="00844620"/>
    <w:rsid w:val="00844885"/>
    <w:rsid w:val="00844CD5"/>
    <w:rsid w:val="0084504F"/>
    <w:rsid w:val="008450F8"/>
    <w:rsid w:val="008453A3"/>
    <w:rsid w:val="008458E5"/>
    <w:rsid w:val="00845C44"/>
    <w:rsid w:val="00845ED5"/>
    <w:rsid w:val="008460AB"/>
    <w:rsid w:val="00846497"/>
    <w:rsid w:val="00846658"/>
    <w:rsid w:val="0084703C"/>
    <w:rsid w:val="008471F2"/>
    <w:rsid w:val="00847464"/>
    <w:rsid w:val="0084751A"/>
    <w:rsid w:val="0084755C"/>
    <w:rsid w:val="0084756E"/>
    <w:rsid w:val="0084761D"/>
    <w:rsid w:val="0085051D"/>
    <w:rsid w:val="008506A7"/>
    <w:rsid w:val="00850A1A"/>
    <w:rsid w:val="00850DF6"/>
    <w:rsid w:val="00850E81"/>
    <w:rsid w:val="00851223"/>
    <w:rsid w:val="0085148E"/>
    <w:rsid w:val="00851A11"/>
    <w:rsid w:val="00851B08"/>
    <w:rsid w:val="008520AF"/>
    <w:rsid w:val="008520B9"/>
    <w:rsid w:val="00852205"/>
    <w:rsid w:val="0085228B"/>
    <w:rsid w:val="00852337"/>
    <w:rsid w:val="0085254E"/>
    <w:rsid w:val="008525C6"/>
    <w:rsid w:val="00854744"/>
    <w:rsid w:val="00854872"/>
    <w:rsid w:val="00854B02"/>
    <w:rsid w:val="00854CDC"/>
    <w:rsid w:val="00855085"/>
    <w:rsid w:val="00855471"/>
    <w:rsid w:val="0085555A"/>
    <w:rsid w:val="00855566"/>
    <w:rsid w:val="00855657"/>
    <w:rsid w:val="0085571D"/>
    <w:rsid w:val="00855EB0"/>
    <w:rsid w:val="00856025"/>
    <w:rsid w:val="00856BD5"/>
    <w:rsid w:val="00856FD3"/>
    <w:rsid w:val="00857035"/>
    <w:rsid w:val="008574E5"/>
    <w:rsid w:val="00857613"/>
    <w:rsid w:val="00857922"/>
    <w:rsid w:val="00857E6E"/>
    <w:rsid w:val="00860778"/>
    <w:rsid w:val="00860AFF"/>
    <w:rsid w:val="00861132"/>
    <w:rsid w:val="0086128D"/>
    <w:rsid w:val="0086133E"/>
    <w:rsid w:val="00861A29"/>
    <w:rsid w:val="00861DE3"/>
    <w:rsid w:val="00861E40"/>
    <w:rsid w:val="00862579"/>
    <w:rsid w:val="008626BE"/>
    <w:rsid w:val="008627F4"/>
    <w:rsid w:val="0086313A"/>
    <w:rsid w:val="008632A9"/>
    <w:rsid w:val="008634CA"/>
    <w:rsid w:val="00863646"/>
    <w:rsid w:val="0086388F"/>
    <w:rsid w:val="008640D7"/>
    <w:rsid w:val="00864103"/>
    <w:rsid w:val="008645C3"/>
    <w:rsid w:val="008646A5"/>
    <w:rsid w:val="008651D6"/>
    <w:rsid w:val="008651FB"/>
    <w:rsid w:val="00865283"/>
    <w:rsid w:val="008653DB"/>
    <w:rsid w:val="0086545F"/>
    <w:rsid w:val="00865AE1"/>
    <w:rsid w:val="00865E12"/>
    <w:rsid w:val="0086601A"/>
    <w:rsid w:val="008664A6"/>
    <w:rsid w:val="008669A6"/>
    <w:rsid w:val="00866CCD"/>
    <w:rsid w:val="00866DBC"/>
    <w:rsid w:val="00867370"/>
    <w:rsid w:val="008675B1"/>
    <w:rsid w:val="00867DC1"/>
    <w:rsid w:val="008704C9"/>
    <w:rsid w:val="00871197"/>
    <w:rsid w:val="00871736"/>
    <w:rsid w:val="008718A7"/>
    <w:rsid w:val="0087194A"/>
    <w:rsid w:val="00871DA5"/>
    <w:rsid w:val="00871E5B"/>
    <w:rsid w:val="008725A6"/>
    <w:rsid w:val="0087263E"/>
    <w:rsid w:val="0087275F"/>
    <w:rsid w:val="00872B73"/>
    <w:rsid w:val="00872C30"/>
    <w:rsid w:val="00872F90"/>
    <w:rsid w:val="008734AC"/>
    <w:rsid w:val="0087351C"/>
    <w:rsid w:val="00873708"/>
    <w:rsid w:val="0087410F"/>
    <w:rsid w:val="00874707"/>
    <w:rsid w:val="00874A6A"/>
    <w:rsid w:val="00874AAE"/>
    <w:rsid w:val="00875202"/>
    <w:rsid w:val="0087542F"/>
    <w:rsid w:val="008755BA"/>
    <w:rsid w:val="008755F8"/>
    <w:rsid w:val="00875A25"/>
    <w:rsid w:val="00875D75"/>
    <w:rsid w:val="00875F12"/>
    <w:rsid w:val="00875F2F"/>
    <w:rsid w:val="00876184"/>
    <w:rsid w:val="00876902"/>
    <w:rsid w:val="00876BDC"/>
    <w:rsid w:val="00876EA5"/>
    <w:rsid w:val="00877844"/>
    <w:rsid w:val="00877A91"/>
    <w:rsid w:val="008809D2"/>
    <w:rsid w:val="00880D1C"/>
    <w:rsid w:val="00880DCC"/>
    <w:rsid w:val="0088113F"/>
    <w:rsid w:val="008817C5"/>
    <w:rsid w:val="00881A4D"/>
    <w:rsid w:val="00881CF9"/>
    <w:rsid w:val="00882349"/>
    <w:rsid w:val="0088275D"/>
    <w:rsid w:val="00882857"/>
    <w:rsid w:val="00882DD6"/>
    <w:rsid w:val="00882F18"/>
    <w:rsid w:val="008833F6"/>
    <w:rsid w:val="00883754"/>
    <w:rsid w:val="00883C70"/>
    <w:rsid w:val="008841EC"/>
    <w:rsid w:val="008846FD"/>
    <w:rsid w:val="00884738"/>
    <w:rsid w:val="0088491D"/>
    <w:rsid w:val="00884AAA"/>
    <w:rsid w:val="00884E4A"/>
    <w:rsid w:val="0088503D"/>
    <w:rsid w:val="0088505E"/>
    <w:rsid w:val="0088530B"/>
    <w:rsid w:val="0088585E"/>
    <w:rsid w:val="00885E13"/>
    <w:rsid w:val="008862E6"/>
    <w:rsid w:val="00886368"/>
    <w:rsid w:val="0088665D"/>
    <w:rsid w:val="008868D0"/>
    <w:rsid w:val="00886B15"/>
    <w:rsid w:val="00886D58"/>
    <w:rsid w:val="00886FEF"/>
    <w:rsid w:val="00887164"/>
    <w:rsid w:val="00887336"/>
    <w:rsid w:val="00887794"/>
    <w:rsid w:val="008879A6"/>
    <w:rsid w:val="00887F19"/>
    <w:rsid w:val="0089048E"/>
    <w:rsid w:val="008909F5"/>
    <w:rsid w:val="00890A85"/>
    <w:rsid w:val="00890CB5"/>
    <w:rsid w:val="00890D60"/>
    <w:rsid w:val="0089100C"/>
    <w:rsid w:val="008910C6"/>
    <w:rsid w:val="0089123A"/>
    <w:rsid w:val="0089171E"/>
    <w:rsid w:val="00891AED"/>
    <w:rsid w:val="00891D1C"/>
    <w:rsid w:val="00891E03"/>
    <w:rsid w:val="00892485"/>
    <w:rsid w:val="0089262A"/>
    <w:rsid w:val="00892697"/>
    <w:rsid w:val="00892A3C"/>
    <w:rsid w:val="00892E68"/>
    <w:rsid w:val="008936FE"/>
    <w:rsid w:val="008937B8"/>
    <w:rsid w:val="008938A1"/>
    <w:rsid w:val="00893ACB"/>
    <w:rsid w:val="00893D4E"/>
    <w:rsid w:val="00893F90"/>
    <w:rsid w:val="00894535"/>
    <w:rsid w:val="00894B1B"/>
    <w:rsid w:val="00894C9F"/>
    <w:rsid w:val="00894D4D"/>
    <w:rsid w:val="0089569C"/>
    <w:rsid w:val="008958A9"/>
    <w:rsid w:val="00895C79"/>
    <w:rsid w:val="00896314"/>
    <w:rsid w:val="0089635F"/>
    <w:rsid w:val="008963E3"/>
    <w:rsid w:val="00896FB8"/>
    <w:rsid w:val="0089716E"/>
    <w:rsid w:val="00897185"/>
    <w:rsid w:val="00897207"/>
    <w:rsid w:val="00897425"/>
    <w:rsid w:val="008975BD"/>
    <w:rsid w:val="0089765C"/>
    <w:rsid w:val="00897669"/>
    <w:rsid w:val="008976E5"/>
    <w:rsid w:val="00897853"/>
    <w:rsid w:val="00897A9A"/>
    <w:rsid w:val="00897DF4"/>
    <w:rsid w:val="008A04FA"/>
    <w:rsid w:val="008A0752"/>
    <w:rsid w:val="008A0769"/>
    <w:rsid w:val="008A135D"/>
    <w:rsid w:val="008A1935"/>
    <w:rsid w:val="008A197D"/>
    <w:rsid w:val="008A1A1D"/>
    <w:rsid w:val="008A1ED9"/>
    <w:rsid w:val="008A24EF"/>
    <w:rsid w:val="008A2984"/>
    <w:rsid w:val="008A2A4E"/>
    <w:rsid w:val="008A2D55"/>
    <w:rsid w:val="008A325C"/>
    <w:rsid w:val="008A326A"/>
    <w:rsid w:val="008A3315"/>
    <w:rsid w:val="008A3695"/>
    <w:rsid w:val="008A3D21"/>
    <w:rsid w:val="008A3EEC"/>
    <w:rsid w:val="008A3FAC"/>
    <w:rsid w:val="008A4285"/>
    <w:rsid w:val="008A42D8"/>
    <w:rsid w:val="008A436F"/>
    <w:rsid w:val="008A44D5"/>
    <w:rsid w:val="008A4578"/>
    <w:rsid w:val="008A45D7"/>
    <w:rsid w:val="008A4AF8"/>
    <w:rsid w:val="008A4D32"/>
    <w:rsid w:val="008A51C7"/>
    <w:rsid w:val="008A52FC"/>
    <w:rsid w:val="008A53C2"/>
    <w:rsid w:val="008A5609"/>
    <w:rsid w:val="008A5828"/>
    <w:rsid w:val="008A5990"/>
    <w:rsid w:val="008A5ABD"/>
    <w:rsid w:val="008A5C7F"/>
    <w:rsid w:val="008A6083"/>
    <w:rsid w:val="008A6162"/>
    <w:rsid w:val="008A6E59"/>
    <w:rsid w:val="008A6E69"/>
    <w:rsid w:val="008A71A3"/>
    <w:rsid w:val="008A76DF"/>
    <w:rsid w:val="008A772C"/>
    <w:rsid w:val="008A7818"/>
    <w:rsid w:val="008A7C9E"/>
    <w:rsid w:val="008B0148"/>
    <w:rsid w:val="008B018B"/>
    <w:rsid w:val="008B146B"/>
    <w:rsid w:val="008B1676"/>
    <w:rsid w:val="008B1EA6"/>
    <w:rsid w:val="008B2318"/>
    <w:rsid w:val="008B2322"/>
    <w:rsid w:val="008B2B72"/>
    <w:rsid w:val="008B30A5"/>
    <w:rsid w:val="008B37FD"/>
    <w:rsid w:val="008B39D0"/>
    <w:rsid w:val="008B43C4"/>
    <w:rsid w:val="008B441F"/>
    <w:rsid w:val="008B444A"/>
    <w:rsid w:val="008B4776"/>
    <w:rsid w:val="008B4EB7"/>
    <w:rsid w:val="008B55E0"/>
    <w:rsid w:val="008B5CD6"/>
    <w:rsid w:val="008B5F02"/>
    <w:rsid w:val="008B5F51"/>
    <w:rsid w:val="008B6024"/>
    <w:rsid w:val="008B6742"/>
    <w:rsid w:val="008B68F6"/>
    <w:rsid w:val="008B6C24"/>
    <w:rsid w:val="008B6FDC"/>
    <w:rsid w:val="008B7054"/>
    <w:rsid w:val="008B7243"/>
    <w:rsid w:val="008B739D"/>
    <w:rsid w:val="008B7409"/>
    <w:rsid w:val="008B7B02"/>
    <w:rsid w:val="008B7E2A"/>
    <w:rsid w:val="008B7EBB"/>
    <w:rsid w:val="008C02A5"/>
    <w:rsid w:val="008C048E"/>
    <w:rsid w:val="008C05D0"/>
    <w:rsid w:val="008C08C3"/>
    <w:rsid w:val="008C17B4"/>
    <w:rsid w:val="008C1A87"/>
    <w:rsid w:val="008C1C29"/>
    <w:rsid w:val="008C1DBE"/>
    <w:rsid w:val="008C25A5"/>
    <w:rsid w:val="008C3955"/>
    <w:rsid w:val="008C3F8B"/>
    <w:rsid w:val="008C40C2"/>
    <w:rsid w:val="008C422B"/>
    <w:rsid w:val="008C42D5"/>
    <w:rsid w:val="008C4765"/>
    <w:rsid w:val="008C4819"/>
    <w:rsid w:val="008C4A0F"/>
    <w:rsid w:val="008C4C37"/>
    <w:rsid w:val="008C4FBF"/>
    <w:rsid w:val="008C5134"/>
    <w:rsid w:val="008C536F"/>
    <w:rsid w:val="008C5386"/>
    <w:rsid w:val="008C5C28"/>
    <w:rsid w:val="008C5F75"/>
    <w:rsid w:val="008C606F"/>
    <w:rsid w:val="008C64C7"/>
    <w:rsid w:val="008C6CBB"/>
    <w:rsid w:val="008C7A57"/>
    <w:rsid w:val="008D025C"/>
    <w:rsid w:val="008D05B1"/>
    <w:rsid w:val="008D0F75"/>
    <w:rsid w:val="008D1130"/>
    <w:rsid w:val="008D117E"/>
    <w:rsid w:val="008D14A1"/>
    <w:rsid w:val="008D1740"/>
    <w:rsid w:val="008D1DF8"/>
    <w:rsid w:val="008D20CF"/>
    <w:rsid w:val="008D2173"/>
    <w:rsid w:val="008D23B6"/>
    <w:rsid w:val="008D2484"/>
    <w:rsid w:val="008D2863"/>
    <w:rsid w:val="008D2A14"/>
    <w:rsid w:val="008D2AD7"/>
    <w:rsid w:val="008D2DCD"/>
    <w:rsid w:val="008D3144"/>
    <w:rsid w:val="008D3367"/>
    <w:rsid w:val="008D38E5"/>
    <w:rsid w:val="008D3F2E"/>
    <w:rsid w:val="008D40A5"/>
    <w:rsid w:val="008D41D1"/>
    <w:rsid w:val="008D431E"/>
    <w:rsid w:val="008D470E"/>
    <w:rsid w:val="008D4CB0"/>
    <w:rsid w:val="008D4FAE"/>
    <w:rsid w:val="008D50DA"/>
    <w:rsid w:val="008D54BA"/>
    <w:rsid w:val="008D5B7B"/>
    <w:rsid w:val="008D5CBC"/>
    <w:rsid w:val="008D6145"/>
    <w:rsid w:val="008D6302"/>
    <w:rsid w:val="008D65A8"/>
    <w:rsid w:val="008D69A7"/>
    <w:rsid w:val="008D69D5"/>
    <w:rsid w:val="008D6E0B"/>
    <w:rsid w:val="008D7055"/>
    <w:rsid w:val="008D762B"/>
    <w:rsid w:val="008D77F0"/>
    <w:rsid w:val="008D79F0"/>
    <w:rsid w:val="008D7A39"/>
    <w:rsid w:val="008D7E22"/>
    <w:rsid w:val="008E008D"/>
    <w:rsid w:val="008E02A3"/>
    <w:rsid w:val="008E09EA"/>
    <w:rsid w:val="008E0AD8"/>
    <w:rsid w:val="008E0B8A"/>
    <w:rsid w:val="008E0EEE"/>
    <w:rsid w:val="008E1083"/>
    <w:rsid w:val="008E12F1"/>
    <w:rsid w:val="008E1B26"/>
    <w:rsid w:val="008E1DF7"/>
    <w:rsid w:val="008E213F"/>
    <w:rsid w:val="008E2312"/>
    <w:rsid w:val="008E2465"/>
    <w:rsid w:val="008E2520"/>
    <w:rsid w:val="008E2574"/>
    <w:rsid w:val="008E28DE"/>
    <w:rsid w:val="008E2945"/>
    <w:rsid w:val="008E3251"/>
    <w:rsid w:val="008E33DE"/>
    <w:rsid w:val="008E38A1"/>
    <w:rsid w:val="008E4AF1"/>
    <w:rsid w:val="008E562D"/>
    <w:rsid w:val="008E5D9C"/>
    <w:rsid w:val="008E5DDF"/>
    <w:rsid w:val="008E6718"/>
    <w:rsid w:val="008E67BE"/>
    <w:rsid w:val="008E694F"/>
    <w:rsid w:val="008E7198"/>
    <w:rsid w:val="008E72F7"/>
    <w:rsid w:val="008E7533"/>
    <w:rsid w:val="008E7D93"/>
    <w:rsid w:val="008E7E3D"/>
    <w:rsid w:val="008F00D9"/>
    <w:rsid w:val="008F0C09"/>
    <w:rsid w:val="008F0D44"/>
    <w:rsid w:val="008F0DF1"/>
    <w:rsid w:val="008F13CB"/>
    <w:rsid w:val="008F14A0"/>
    <w:rsid w:val="008F1CED"/>
    <w:rsid w:val="008F1D72"/>
    <w:rsid w:val="008F1E60"/>
    <w:rsid w:val="008F1F6D"/>
    <w:rsid w:val="008F22DF"/>
    <w:rsid w:val="008F249C"/>
    <w:rsid w:val="008F277B"/>
    <w:rsid w:val="008F2853"/>
    <w:rsid w:val="008F3627"/>
    <w:rsid w:val="008F3C0E"/>
    <w:rsid w:val="008F40FD"/>
    <w:rsid w:val="008F4A3B"/>
    <w:rsid w:val="008F4E47"/>
    <w:rsid w:val="008F4FA1"/>
    <w:rsid w:val="008F648C"/>
    <w:rsid w:val="008F67C7"/>
    <w:rsid w:val="008F6C67"/>
    <w:rsid w:val="008F7289"/>
    <w:rsid w:val="008F7ECC"/>
    <w:rsid w:val="0090028C"/>
    <w:rsid w:val="00900C6F"/>
    <w:rsid w:val="00900FF6"/>
    <w:rsid w:val="00901969"/>
    <w:rsid w:val="00901C72"/>
    <w:rsid w:val="00901D7F"/>
    <w:rsid w:val="0090273F"/>
    <w:rsid w:val="00902B5E"/>
    <w:rsid w:val="00902C5A"/>
    <w:rsid w:val="00902F9B"/>
    <w:rsid w:val="0090344F"/>
    <w:rsid w:val="00903612"/>
    <w:rsid w:val="00903988"/>
    <w:rsid w:val="00903DBA"/>
    <w:rsid w:val="00904076"/>
    <w:rsid w:val="009040B5"/>
    <w:rsid w:val="00904177"/>
    <w:rsid w:val="0090427B"/>
    <w:rsid w:val="00904472"/>
    <w:rsid w:val="009047CB"/>
    <w:rsid w:val="009047D6"/>
    <w:rsid w:val="009049C8"/>
    <w:rsid w:val="00904A7D"/>
    <w:rsid w:val="00905017"/>
    <w:rsid w:val="0090513C"/>
    <w:rsid w:val="009054E4"/>
    <w:rsid w:val="0090603E"/>
    <w:rsid w:val="009060B6"/>
    <w:rsid w:val="009064CE"/>
    <w:rsid w:val="009065CF"/>
    <w:rsid w:val="0090677D"/>
    <w:rsid w:val="0090748E"/>
    <w:rsid w:val="009075B9"/>
    <w:rsid w:val="0090791A"/>
    <w:rsid w:val="009079DA"/>
    <w:rsid w:val="00907CD4"/>
    <w:rsid w:val="00910113"/>
    <w:rsid w:val="0091037A"/>
    <w:rsid w:val="0091073F"/>
    <w:rsid w:val="00910D4C"/>
    <w:rsid w:val="009113E2"/>
    <w:rsid w:val="009117BD"/>
    <w:rsid w:val="00911863"/>
    <w:rsid w:val="009119EF"/>
    <w:rsid w:val="00911A0F"/>
    <w:rsid w:val="00911BEC"/>
    <w:rsid w:val="00911EF9"/>
    <w:rsid w:val="0091206D"/>
    <w:rsid w:val="009120CA"/>
    <w:rsid w:val="009122C4"/>
    <w:rsid w:val="00912331"/>
    <w:rsid w:val="009125AE"/>
    <w:rsid w:val="009127BA"/>
    <w:rsid w:val="00912800"/>
    <w:rsid w:val="00912C8E"/>
    <w:rsid w:val="00912CBC"/>
    <w:rsid w:val="00912EE2"/>
    <w:rsid w:val="00912FBC"/>
    <w:rsid w:val="0091388B"/>
    <w:rsid w:val="00913D16"/>
    <w:rsid w:val="00913F41"/>
    <w:rsid w:val="00913FB4"/>
    <w:rsid w:val="0091481B"/>
    <w:rsid w:val="0091484F"/>
    <w:rsid w:val="00914AA9"/>
    <w:rsid w:val="00915286"/>
    <w:rsid w:val="009155B9"/>
    <w:rsid w:val="00915634"/>
    <w:rsid w:val="00915650"/>
    <w:rsid w:val="00915852"/>
    <w:rsid w:val="00915867"/>
    <w:rsid w:val="00915925"/>
    <w:rsid w:val="00915EDE"/>
    <w:rsid w:val="0091626D"/>
    <w:rsid w:val="009168FD"/>
    <w:rsid w:val="009169C6"/>
    <w:rsid w:val="00916D39"/>
    <w:rsid w:val="00916D77"/>
    <w:rsid w:val="009170B4"/>
    <w:rsid w:val="009172DE"/>
    <w:rsid w:val="009174D4"/>
    <w:rsid w:val="00917563"/>
    <w:rsid w:val="00917803"/>
    <w:rsid w:val="00917E7F"/>
    <w:rsid w:val="00920750"/>
    <w:rsid w:val="00920999"/>
    <w:rsid w:val="009209CC"/>
    <w:rsid w:val="00920D5F"/>
    <w:rsid w:val="00921E6F"/>
    <w:rsid w:val="00921F93"/>
    <w:rsid w:val="0092209F"/>
    <w:rsid w:val="00922103"/>
    <w:rsid w:val="0092221E"/>
    <w:rsid w:val="00922855"/>
    <w:rsid w:val="00922E83"/>
    <w:rsid w:val="00923202"/>
    <w:rsid w:val="00923304"/>
    <w:rsid w:val="00923943"/>
    <w:rsid w:val="009242F4"/>
    <w:rsid w:val="00924367"/>
    <w:rsid w:val="00924592"/>
    <w:rsid w:val="009245FC"/>
    <w:rsid w:val="009252C0"/>
    <w:rsid w:val="009254C4"/>
    <w:rsid w:val="00925558"/>
    <w:rsid w:val="00925AB3"/>
    <w:rsid w:val="00925ABB"/>
    <w:rsid w:val="00926428"/>
    <w:rsid w:val="0092693B"/>
    <w:rsid w:val="0092726F"/>
    <w:rsid w:val="009301B0"/>
    <w:rsid w:val="009304D5"/>
    <w:rsid w:val="00930AFC"/>
    <w:rsid w:val="00930B8E"/>
    <w:rsid w:val="009310D7"/>
    <w:rsid w:val="00931414"/>
    <w:rsid w:val="0093152A"/>
    <w:rsid w:val="00931C73"/>
    <w:rsid w:val="00931D08"/>
    <w:rsid w:val="0093232C"/>
    <w:rsid w:val="009323B3"/>
    <w:rsid w:val="00932B09"/>
    <w:rsid w:val="00932E8F"/>
    <w:rsid w:val="00933268"/>
    <w:rsid w:val="0093330D"/>
    <w:rsid w:val="0093377D"/>
    <w:rsid w:val="00933943"/>
    <w:rsid w:val="00933BB1"/>
    <w:rsid w:val="00933F42"/>
    <w:rsid w:val="0093447C"/>
    <w:rsid w:val="00934509"/>
    <w:rsid w:val="0093468F"/>
    <w:rsid w:val="009347D9"/>
    <w:rsid w:val="009348D7"/>
    <w:rsid w:val="00935225"/>
    <w:rsid w:val="0093598C"/>
    <w:rsid w:val="00935E75"/>
    <w:rsid w:val="0093612F"/>
    <w:rsid w:val="009361CC"/>
    <w:rsid w:val="009364F0"/>
    <w:rsid w:val="00936D2F"/>
    <w:rsid w:val="00936F37"/>
    <w:rsid w:val="00936F3A"/>
    <w:rsid w:val="009371DD"/>
    <w:rsid w:val="00937BE7"/>
    <w:rsid w:val="00937CF2"/>
    <w:rsid w:val="00937ECF"/>
    <w:rsid w:val="009400AE"/>
    <w:rsid w:val="00940BEC"/>
    <w:rsid w:val="00941171"/>
    <w:rsid w:val="00941618"/>
    <w:rsid w:val="00941879"/>
    <w:rsid w:val="00941F2C"/>
    <w:rsid w:val="0094256A"/>
    <w:rsid w:val="00942609"/>
    <w:rsid w:val="009426C3"/>
    <w:rsid w:val="00942824"/>
    <w:rsid w:val="0094284A"/>
    <w:rsid w:val="00942D66"/>
    <w:rsid w:val="00942DD9"/>
    <w:rsid w:val="00942ED7"/>
    <w:rsid w:val="00942F13"/>
    <w:rsid w:val="009436CF"/>
    <w:rsid w:val="00943B39"/>
    <w:rsid w:val="00943F29"/>
    <w:rsid w:val="009441AD"/>
    <w:rsid w:val="009441B2"/>
    <w:rsid w:val="009444CA"/>
    <w:rsid w:val="009448FD"/>
    <w:rsid w:val="00944B29"/>
    <w:rsid w:val="00944C18"/>
    <w:rsid w:val="0094501A"/>
    <w:rsid w:val="0094533D"/>
    <w:rsid w:val="009455C1"/>
    <w:rsid w:val="00945B71"/>
    <w:rsid w:val="00945B9F"/>
    <w:rsid w:val="00946398"/>
    <w:rsid w:val="009465B1"/>
    <w:rsid w:val="00946A61"/>
    <w:rsid w:val="009470B5"/>
    <w:rsid w:val="00947151"/>
    <w:rsid w:val="009473A4"/>
    <w:rsid w:val="00947A18"/>
    <w:rsid w:val="00947BB2"/>
    <w:rsid w:val="00947E77"/>
    <w:rsid w:val="0095034F"/>
    <w:rsid w:val="0095066D"/>
    <w:rsid w:val="009506F7"/>
    <w:rsid w:val="0095097C"/>
    <w:rsid w:val="00950B1B"/>
    <w:rsid w:val="00950DBF"/>
    <w:rsid w:val="00950F77"/>
    <w:rsid w:val="00951066"/>
    <w:rsid w:val="00951070"/>
    <w:rsid w:val="00951185"/>
    <w:rsid w:val="00951BAD"/>
    <w:rsid w:val="00951ED0"/>
    <w:rsid w:val="00951FB4"/>
    <w:rsid w:val="009521B1"/>
    <w:rsid w:val="009523B7"/>
    <w:rsid w:val="00952CD9"/>
    <w:rsid w:val="00953021"/>
    <w:rsid w:val="00953068"/>
    <w:rsid w:val="00953CCF"/>
    <w:rsid w:val="00954383"/>
    <w:rsid w:val="00954815"/>
    <w:rsid w:val="00954DA6"/>
    <w:rsid w:val="0095514D"/>
    <w:rsid w:val="00955180"/>
    <w:rsid w:val="00955216"/>
    <w:rsid w:val="00955388"/>
    <w:rsid w:val="00955512"/>
    <w:rsid w:val="009555A7"/>
    <w:rsid w:val="00955DFC"/>
    <w:rsid w:val="00955EB3"/>
    <w:rsid w:val="00956359"/>
    <w:rsid w:val="0095698F"/>
    <w:rsid w:val="009569A4"/>
    <w:rsid w:val="009571CC"/>
    <w:rsid w:val="0095729E"/>
    <w:rsid w:val="009576F2"/>
    <w:rsid w:val="00957DA3"/>
    <w:rsid w:val="00957F23"/>
    <w:rsid w:val="00957F27"/>
    <w:rsid w:val="00960F8E"/>
    <w:rsid w:val="00961021"/>
    <w:rsid w:val="00961657"/>
    <w:rsid w:val="00961856"/>
    <w:rsid w:val="009618B5"/>
    <w:rsid w:val="00961A9F"/>
    <w:rsid w:val="00961BA5"/>
    <w:rsid w:val="0096213D"/>
    <w:rsid w:val="00962290"/>
    <w:rsid w:val="00962ED2"/>
    <w:rsid w:val="00963133"/>
    <w:rsid w:val="009632F8"/>
    <w:rsid w:val="00963388"/>
    <w:rsid w:val="00963702"/>
    <w:rsid w:val="00963709"/>
    <w:rsid w:val="00963D65"/>
    <w:rsid w:val="009640F5"/>
    <w:rsid w:val="0096453C"/>
    <w:rsid w:val="00964899"/>
    <w:rsid w:val="00964B41"/>
    <w:rsid w:val="00964D6F"/>
    <w:rsid w:val="00964DE9"/>
    <w:rsid w:val="00965571"/>
    <w:rsid w:val="00965673"/>
    <w:rsid w:val="00965E29"/>
    <w:rsid w:val="00965FAA"/>
    <w:rsid w:val="00966474"/>
    <w:rsid w:val="00966688"/>
    <w:rsid w:val="00966785"/>
    <w:rsid w:val="0096684D"/>
    <w:rsid w:val="00966992"/>
    <w:rsid w:val="00966B67"/>
    <w:rsid w:val="00966C9B"/>
    <w:rsid w:val="00966F1D"/>
    <w:rsid w:val="0096732F"/>
    <w:rsid w:val="00967B33"/>
    <w:rsid w:val="0097009C"/>
    <w:rsid w:val="00970386"/>
    <w:rsid w:val="009703FD"/>
    <w:rsid w:val="00970764"/>
    <w:rsid w:val="0097083B"/>
    <w:rsid w:val="00970ABB"/>
    <w:rsid w:val="00970D7A"/>
    <w:rsid w:val="009710D8"/>
    <w:rsid w:val="009717AB"/>
    <w:rsid w:val="00971D96"/>
    <w:rsid w:val="00971EBF"/>
    <w:rsid w:val="0097207E"/>
    <w:rsid w:val="0097244E"/>
    <w:rsid w:val="00972897"/>
    <w:rsid w:val="00972B23"/>
    <w:rsid w:val="00972D17"/>
    <w:rsid w:val="00973057"/>
    <w:rsid w:val="009732B2"/>
    <w:rsid w:val="00973A10"/>
    <w:rsid w:val="009744CE"/>
    <w:rsid w:val="00974B8C"/>
    <w:rsid w:val="0097523B"/>
    <w:rsid w:val="0097556E"/>
    <w:rsid w:val="00975E22"/>
    <w:rsid w:val="00975F76"/>
    <w:rsid w:val="00975FC1"/>
    <w:rsid w:val="009760B8"/>
    <w:rsid w:val="009762F0"/>
    <w:rsid w:val="0097663B"/>
    <w:rsid w:val="00976837"/>
    <w:rsid w:val="009768EF"/>
    <w:rsid w:val="009768F3"/>
    <w:rsid w:val="0097699A"/>
    <w:rsid w:val="00976BA2"/>
    <w:rsid w:val="00976C7C"/>
    <w:rsid w:val="00976D40"/>
    <w:rsid w:val="0097709C"/>
    <w:rsid w:val="00977963"/>
    <w:rsid w:val="00977B2B"/>
    <w:rsid w:val="00977DBF"/>
    <w:rsid w:val="00977EB2"/>
    <w:rsid w:val="0098004E"/>
    <w:rsid w:val="00980308"/>
    <w:rsid w:val="0098030F"/>
    <w:rsid w:val="00980BAD"/>
    <w:rsid w:val="00981118"/>
    <w:rsid w:val="009816E4"/>
    <w:rsid w:val="00981A06"/>
    <w:rsid w:val="00981D81"/>
    <w:rsid w:val="00981D87"/>
    <w:rsid w:val="00981F55"/>
    <w:rsid w:val="0098209B"/>
    <w:rsid w:val="0098262F"/>
    <w:rsid w:val="00982783"/>
    <w:rsid w:val="009828A7"/>
    <w:rsid w:val="0098296A"/>
    <w:rsid w:val="00982C0B"/>
    <w:rsid w:val="00982D21"/>
    <w:rsid w:val="00982D75"/>
    <w:rsid w:val="009834E5"/>
    <w:rsid w:val="00984114"/>
    <w:rsid w:val="0098412C"/>
    <w:rsid w:val="0098441C"/>
    <w:rsid w:val="009846F5"/>
    <w:rsid w:val="00984C42"/>
    <w:rsid w:val="00985048"/>
    <w:rsid w:val="00985121"/>
    <w:rsid w:val="00985876"/>
    <w:rsid w:val="00986470"/>
    <w:rsid w:val="009865B4"/>
    <w:rsid w:val="00986835"/>
    <w:rsid w:val="00986DCF"/>
    <w:rsid w:val="009878DD"/>
    <w:rsid w:val="00987C4A"/>
    <w:rsid w:val="00987C65"/>
    <w:rsid w:val="00987CC7"/>
    <w:rsid w:val="00987F0C"/>
    <w:rsid w:val="00990077"/>
    <w:rsid w:val="009905CF"/>
    <w:rsid w:val="00990890"/>
    <w:rsid w:val="009909A2"/>
    <w:rsid w:val="00990DB5"/>
    <w:rsid w:val="009911BC"/>
    <w:rsid w:val="00991A09"/>
    <w:rsid w:val="00991ED3"/>
    <w:rsid w:val="00992078"/>
    <w:rsid w:val="009923B1"/>
    <w:rsid w:val="00992B46"/>
    <w:rsid w:val="00993438"/>
    <w:rsid w:val="00994334"/>
    <w:rsid w:val="00994445"/>
    <w:rsid w:val="00994664"/>
    <w:rsid w:val="00994715"/>
    <w:rsid w:val="009947CF"/>
    <w:rsid w:val="0099483F"/>
    <w:rsid w:val="00994898"/>
    <w:rsid w:val="00994DEE"/>
    <w:rsid w:val="00995998"/>
    <w:rsid w:val="009959D4"/>
    <w:rsid w:val="00995CB0"/>
    <w:rsid w:val="00995D17"/>
    <w:rsid w:val="00996228"/>
    <w:rsid w:val="0099639F"/>
    <w:rsid w:val="00996613"/>
    <w:rsid w:val="00996642"/>
    <w:rsid w:val="00996C7E"/>
    <w:rsid w:val="00997162"/>
    <w:rsid w:val="00997302"/>
    <w:rsid w:val="00997332"/>
    <w:rsid w:val="0099739D"/>
    <w:rsid w:val="00997E0A"/>
    <w:rsid w:val="009A009F"/>
    <w:rsid w:val="009A010B"/>
    <w:rsid w:val="009A122F"/>
    <w:rsid w:val="009A1386"/>
    <w:rsid w:val="009A153F"/>
    <w:rsid w:val="009A18E6"/>
    <w:rsid w:val="009A19D0"/>
    <w:rsid w:val="009A1D70"/>
    <w:rsid w:val="009A2208"/>
    <w:rsid w:val="009A253A"/>
    <w:rsid w:val="009A27EF"/>
    <w:rsid w:val="009A2937"/>
    <w:rsid w:val="009A2A1C"/>
    <w:rsid w:val="009A3307"/>
    <w:rsid w:val="009A354B"/>
    <w:rsid w:val="009A3FE7"/>
    <w:rsid w:val="009A431D"/>
    <w:rsid w:val="009A4853"/>
    <w:rsid w:val="009A4927"/>
    <w:rsid w:val="009A516C"/>
    <w:rsid w:val="009A575A"/>
    <w:rsid w:val="009A5ADE"/>
    <w:rsid w:val="009A5B74"/>
    <w:rsid w:val="009A614B"/>
    <w:rsid w:val="009A6165"/>
    <w:rsid w:val="009A62C3"/>
    <w:rsid w:val="009A638A"/>
    <w:rsid w:val="009A6866"/>
    <w:rsid w:val="009A6AAD"/>
    <w:rsid w:val="009A6AF2"/>
    <w:rsid w:val="009A73B7"/>
    <w:rsid w:val="009A748B"/>
    <w:rsid w:val="009A75B8"/>
    <w:rsid w:val="009A75BD"/>
    <w:rsid w:val="009A76C7"/>
    <w:rsid w:val="009B044A"/>
    <w:rsid w:val="009B04E3"/>
    <w:rsid w:val="009B0511"/>
    <w:rsid w:val="009B0B26"/>
    <w:rsid w:val="009B0E20"/>
    <w:rsid w:val="009B0EA7"/>
    <w:rsid w:val="009B12D0"/>
    <w:rsid w:val="009B169D"/>
    <w:rsid w:val="009B18BE"/>
    <w:rsid w:val="009B1C71"/>
    <w:rsid w:val="009B1DF4"/>
    <w:rsid w:val="009B1E4C"/>
    <w:rsid w:val="009B218A"/>
    <w:rsid w:val="009B2257"/>
    <w:rsid w:val="009B23A8"/>
    <w:rsid w:val="009B244E"/>
    <w:rsid w:val="009B2631"/>
    <w:rsid w:val="009B2709"/>
    <w:rsid w:val="009B28BD"/>
    <w:rsid w:val="009B2C7A"/>
    <w:rsid w:val="009B2D58"/>
    <w:rsid w:val="009B2E91"/>
    <w:rsid w:val="009B3177"/>
    <w:rsid w:val="009B3224"/>
    <w:rsid w:val="009B3565"/>
    <w:rsid w:val="009B35E6"/>
    <w:rsid w:val="009B3E2F"/>
    <w:rsid w:val="009B4136"/>
    <w:rsid w:val="009B48C7"/>
    <w:rsid w:val="009B493E"/>
    <w:rsid w:val="009B4A55"/>
    <w:rsid w:val="009B4AC6"/>
    <w:rsid w:val="009B4B19"/>
    <w:rsid w:val="009B4BB4"/>
    <w:rsid w:val="009B4DD5"/>
    <w:rsid w:val="009B5032"/>
    <w:rsid w:val="009B525E"/>
    <w:rsid w:val="009B52C1"/>
    <w:rsid w:val="009B5317"/>
    <w:rsid w:val="009B550B"/>
    <w:rsid w:val="009B5A3E"/>
    <w:rsid w:val="009B5E5A"/>
    <w:rsid w:val="009B6608"/>
    <w:rsid w:val="009B666C"/>
    <w:rsid w:val="009B6689"/>
    <w:rsid w:val="009B714B"/>
    <w:rsid w:val="009B76B8"/>
    <w:rsid w:val="009B7B82"/>
    <w:rsid w:val="009B7F40"/>
    <w:rsid w:val="009C0419"/>
    <w:rsid w:val="009C0735"/>
    <w:rsid w:val="009C085A"/>
    <w:rsid w:val="009C0A93"/>
    <w:rsid w:val="009C11ED"/>
    <w:rsid w:val="009C1239"/>
    <w:rsid w:val="009C132F"/>
    <w:rsid w:val="009C133A"/>
    <w:rsid w:val="009C1632"/>
    <w:rsid w:val="009C198D"/>
    <w:rsid w:val="009C19C6"/>
    <w:rsid w:val="009C1C33"/>
    <w:rsid w:val="009C1E2F"/>
    <w:rsid w:val="009C20E9"/>
    <w:rsid w:val="009C25FC"/>
    <w:rsid w:val="009C282B"/>
    <w:rsid w:val="009C2B1C"/>
    <w:rsid w:val="009C2BB2"/>
    <w:rsid w:val="009C2EEB"/>
    <w:rsid w:val="009C363A"/>
    <w:rsid w:val="009C3E21"/>
    <w:rsid w:val="009C4412"/>
    <w:rsid w:val="009C45C9"/>
    <w:rsid w:val="009C4884"/>
    <w:rsid w:val="009C49A6"/>
    <w:rsid w:val="009C51BE"/>
    <w:rsid w:val="009C569C"/>
    <w:rsid w:val="009C5754"/>
    <w:rsid w:val="009C5C4F"/>
    <w:rsid w:val="009C5F63"/>
    <w:rsid w:val="009C60CB"/>
    <w:rsid w:val="009C613F"/>
    <w:rsid w:val="009C61B2"/>
    <w:rsid w:val="009C64E3"/>
    <w:rsid w:val="009C6FD4"/>
    <w:rsid w:val="009C7F6D"/>
    <w:rsid w:val="009D0697"/>
    <w:rsid w:val="009D08BA"/>
    <w:rsid w:val="009D092A"/>
    <w:rsid w:val="009D0A5A"/>
    <w:rsid w:val="009D0A7D"/>
    <w:rsid w:val="009D0DDD"/>
    <w:rsid w:val="009D0DE3"/>
    <w:rsid w:val="009D126B"/>
    <w:rsid w:val="009D1344"/>
    <w:rsid w:val="009D1560"/>
    <w:rsid w:val="009D163D"/>
    <w:rsid w:val="009D1B64"/>
    <w:rsid w:val="009D1C75"/>
    <w:rsid w:val="009D1F36"/>
    <w:rsid w:val="009D204B"/>
    <w:rsid w:val="009D21B0"/>
    <w:rsid w:val="009D248D"/>
    <w:rsid w:val="009D2752"/>
    <w:rsid w:val="009D27BD"/>
    <w:rsid w:val="009D2AA1"/>
    <w:rsid w:val="009D2DD4"/>
    <w:rsid w:val="009D2FEE"/>
    <w:rsid w:val="009D3276"/>
    <w:rsid w:val="009D3604"/>
    <w:rsid w:val="009D3AAC"/>
    <w:rsid w:val="009D3AD4"/>
    <w:rsid w:val="009D4120"/>
    <w:rsid w:val="009D43F1"/>
    <w:rsid w:val="009D4E46"/>
    <w:rsid w:val="009D54CE"/>
    <w:rsid w:val="009D584E"/>
    <w:rsid w:val="009D5898"/>
    <w:rsid w:val="009D5974"/>
    <w:rsid w:val="009D59ED"/>
    <w:rsid w:val="009D5CFB"/>
    <w:rsid w:val="009D631A"/>
    <w:rsid w:val="009D68F1"/>
    <w:rsid w:val="009D6E64"/>
    <w:rsid w:val="009D7695"/>
    <w:rsid w:val="009D78D4"/>
    <w:rsid w:val="009E0534"/>
    <w:rsid w:val="009E0880"/>
    <w:rsid w:val="009E0BF9"/>
    <w:rsid w:val="009E0C7E"/>
    <w:rsid w:val="009E0D5F"/>
    <w:rsid w:val="009E0F9B"/>
    <w:rsid w:val="009E128B"/>
    <w:rsid w:val="009E1735"/>
    <w:rsid w:val="009E1B76"/>
    <w:rsid w:val="009E1B91"/>
    <w:rsid w:val="009E2079"/>
    <w:rsid w:val="009E23C3"/>
    <w:rsid w:val="009E269E"/>
    <w:rsid w:val="009E2A11"/>
    <w:rsid w:val="009E2D9E"/>
    <w:rsid w:val="009E2F68"/>
    <w:rsid w:val="009E3196"/>
    <w:rsid w:val="009E36C6"/>
    <w:rsid w:val="009E3B57"/>
    <w:rsid w:val="009E3E5C"/>
    <w:rsid w:val="009E438F"/>
    <w:rsid w:val="009E4700"/>
    <w:rsid w:val="009E4763"/>
    <w:rsid w:val="009E5308"/>
    <w:rsid w:val="009E541C"/>
    <w:rsid w:val="009E5496"/>
    <w:rsid w:val="009E5591"/>
    <w:rsid w:val="009E58B8"/>
    <w:rsid w:val="009E5B48"/>
    <w:rsid w:val="009E5E8C"/>
    <w:rsid w:val="009E5E97"/>
    <w:rsid w:val="009E628B"/>
    <w:rsid w:val="009E6750"/>
    <w:rsid w:val="009E6897"/>
    <w:rsid w:val="009E6C40"/>
    <w:rsid w:val="009E71C3"/>
    <w:rsid w:val="009E755E"/>
    <w:rsid w:val="009E7759"/>
    <w:rsid w:val="009E7A7A"/>
    <w:rsid w:val="009E7D47"/>
    <w:rsid w:val="009E7F51"/>
    <w:rsid w:val="009F008B"/>
    <w:rsid w:val="009F00ED"/>
    <w:rsid w:val="009F0179"/>
    <w:rsid w:val="009F05CC"/>
    <w:rsid w:val="009F0600"/>
    <w:rsid w:val="009F0673"/>
    <w:rsid w:val="009F0932"/>
    <w:rsid w:val="009F09E8"/>
    <w:rsid w:val="009F0FAF"/>
    <w:rsid w:val="009F127E"/>
    <w:rsid w:val="009F1468"/>
    <w:rsid w:val="009F1583"/>
    <w:rsid w:val="009F164A"/>
    <w:rsid w:val="009F16A1"/>
    <w:rsid w:val="009F1793"/>
    <w:rsid w:val="009F2CB9"/>
    <w:rsid w:val="009F3162"/>
    <w:rsid w:val="009F3652"/>
    <w:rsid w:val="009F3689"/>
    <w:rsid w:val="009F384D"/>
    <w:rsid w:val="009F398E"/>
    <w:rsid w:val="009F3D6C"/>
    <w:rsid w:val="009F4329"/>
    <w:rsid w:val="009F48D5"/>
    <w:rsid w:val="009F4E1A"/>
    <w:rsid w:val="009F4EFB"/>
    <w:rsid w:val="009F4F0C"/>
    <w:rsid w:val="009F5374"/>
    <w:rsid w:val="009F53F6"/>
    <w:rsid w:val="009F5973"/>
    <w:rsid w:val="009F5A18"/>
    <w:rsid w:val="009F5AFC"/>
    <w:rsid w:val="009F607D"/>
    <w:rsid w:val="009F62ED"/>
    <w:rsid w:val="009F704C"/>
    <w:rsid w:val="00A00059"/>
    <w:rsid w:val="00A00371"/>
    <w:rsid w:val="00A00864"/>
    <w:rsid w:val="00A00D6B"/>
    <w:rsid w:val="00A00E83"/>
    <w:rsid w:val="00A00F04"/>
    <w:rsid w:val="00A01193"/>
    <w:rsid w:val="00A012AB"/>
    <w:rsid w:val="00A012BC"/>
    <w:rsid w:val="00A0138A"/>
    <w:rsid w:val="00A01A30"/>
    <w:rsid w:val="00A01D3B"/>
    <w:rsid w:val="00A0201A"/>
    <w:rsid w:val="00A0203C"/>
    <w:rsid w:val="00A02772"/>
    <w:rsid w:val="00A02832"/>
    <w:rsid w:val="00A029EB"/>
    <w:rsid w:val="00A02A0E"/>
    <w:rsid w:val="00A0304A"/>
    <w:rsid w:val="00A032F2"/>
    <w:rsid w:val="00A035AE"/>
    <w:rsid w:val="00A03A6E"/>
    <w:rsid w:val="00A03C2E"/>
    <w:rsid w:val="00A03D83"/>
    <w:rsid w:val="00A03D97"/>
    <w:rsid w:val="00A03DCF"/>
    <w:rsid w:val="00A04159"/>
    <w:rsid w:val="00A043C1"/>
    <w:rsid w:val="00A04781"/>
    <w:rsid w:val="00A04A5B"/>
    <w:rsid w:val="00A04B17"/>
    <w:rsid w:val="00A05097"/>
    <w:rsid w:val="00A0544B"/>
    <w:rsid w:val="00A05457"/>
    <w:rsid w:val="00A05459"/>
    <w:rsid w:val="00A05AA7"/>
    <w:rsid w:val="00A05EBD"/>
    <w:rsid w:val="00A063CB"/>
    <w:rsid w:val="00A0641E"/>
    <w:rsid w:val="00A066B1"/>
    <w:rsid w:val="00A06A2B"/>
    <w:rsid w:val="00A06A4B"/>
    <w:rsid w:val="00A06E5E"/>
    <w:rsid w:val="00A07125"/>
    <w:rsid w:val="00A07352"/>
    <w:rsid w:val="00A073EE"/>
    <w:rsid w:val="00A07D10"/>
    <w:rsid w:val="00A07DCD"/>
    <w:rsid w:val="00A07EF1"/>
    <w:rsid w:val="00A07F0E"/>
    <w:rsid w:val="00A07F5E"/>
    <w:rsid w:val="00A10247"/>
    <w:rsid w:val="00A10356"/>
    <w:rsid w:val="00A103E8"/>
    <w:rsid w:val="00A10450"/>
    <w:rsid w:val="00A108CB"/>
    <w:rsid w:val="00A10C3F"/>
    <w:rsid w:val="00A10E22"/>
    <w:rsid w:val="00A111C6"/>
    <w:rsid w:val="00A1145A"/>
    <w:rsid w:val="00A11901"/>
    <w:rsid w:val="00A11AB5"/>
    <w:rsid w:val="00A11CBA"/>
    <w:rsid w:val="00A11D3E"/>
    <w:rsid w:val="00A12069"/>
    <w:rsid w:val="00A1247A"/>
    <w:rsid w:val="00A1299C"/>
    <w:rsid w:val="00A12CC8"/>
    <w:rsid w:val="00A13439"/>
    <w:rsid w:val="00A13760"/>
    <w:rsid w:val="00A13AC2"/>
    <w:rsid w:val="00A13F51"/>
    <w:rsid w:val="00A1403F"/>
    <w:rsid w:val="00A144D9"/>
    <w:rsid w:val="00A1459A"/>
    <w:rsid w:val="00A146B6"/>
    <w:rsid w:val="00A149DF"/>
    <w:rsid w:val="00A14B95"/>
    <w:rsid w:val="00A14DEB"/>
    <w:rsid w:val="00A14F42"/>
    <w:rsid w:val="00A1566D"/>
    <w:rsid w:val="00A15707"/>
    <w:rsid w:val="00A15722"/>
    <w:rsid w:val="00A15777"/>
    <w:rsid w:val="00A15805"/>
    <w:rsid w:val="00A15A83"/>
    <w:rsid w:val="00A16009"/>
    <w:rsid w:val="00A16A02"/>
    <w:rsid w:val="00A16E7C"/>
    <w:rsid w:val="00A16F91"/>
    <w:rsid w:val="00A173B4"/>
    <w:rsid w:val="00A176EB"/>
    <w:rsid w:val="00A17713"/>
    <w:rsid w:val="00A17C2B"/>
    <w:rsid w:val="00A17CF3"/>
    <w:rsid w:val="00A17D2F"/>
    <w:rsid w:val="00A20124"/>
    <w:rsid w:val="00A2027C"/>
    <w:rsid w:val="00A202B9"/>
    <w:rsid w:val="00A20A99"/>
    <w:rsid w:val="00A219CF"/>
    <w:rsid w:val="00A22089"/>
    <w:rsid w:val="00A223ED"/>
    <w:rsid w:val="00A2257B"/>
    <w:rsid w:val="00A22696"/>
    <w:rsid w:val="00A228C5"/>
    <w:rsid w:val="00A22DDB"/>
    <w:rsid w:val="00A23374"/>
    <w:rsid w:val="00A2344C"/>
    <w:rsid w:val="00A23717"/>
    <w:rsid w:val="00A23C40"/>
    <w:rsid w:val="00A23DD8"/>
    <w:rsid w:val="00A2450A"/>
    <w:rsid w:val="00A24C0F"/>
    <w:rsid w:val="00A24C32"/>
    <w:rsid w:val="00A24E4D"/>
    <w:rsid w:val="00A250D5"/>
    <w:rsid w:val="00A250FC"/>
    <w:rsid w:val="00A2527A"/>
    <w:rsid w:val="00A25DA0"/>
    <w:rsid w:val="00A25E6F"/>
    <w:rsid w:val="00A2600A"/>
    <w:rsid w:val="00A2636F"/>
    <w:rsid w:val="00A26479"/>
    <w:rsid w:val="00A2661F"/>
    <w:rsid w:val="00A267F3"/>
    <w:rsid w:val="00A268BD"/>
    <w:rsid w:val="00A26E29"/>
    <w:rsid w:val="00A270F9"/>
    <w:rsid w:val="00A27D82"/>
    <w:rsid w:val="00A30045"/>
    <w:rsid w:val="00A30410"/>
    <w:rsid w:val="00A30F66"/>
    <w:rsid w:val="00A31198"/>
    <w:rsid w:val="00A3133B"/>
    <w:rsid w:val="00A318F3"/>
    <w:rsid w:val="00A31C3E"/>
    <w:rsid w:val="00A31E67"/>
    <w:rsid w:val="00A31E86"/>
    <w:rsid w:val="00A32134"/>
    <w:rsid w:val="00A3232A"/>
    <w:rsid w:val="00A32374"/>
    <w:rsid w:val="00A323E6"/>
    <w:rsid w:val="00A32883"/>
    <w:rsid w:val="00A3299B"/>
    <w:rsid w:val="00A32DAF"/>
    <w:rsid w:val="00A32DF8"/>
    <w:rsid w:val="00A32E8C"/>
    <w:rsid w:val="00A33455"/>
    <w:rsid w:val="00A3350D"/>
    <w:rsid w:val="00A3375C"/>
    <w:rsid w:val="00A339EC"/>
    <w:rsid w:val="00A3403B"/>
    <w:rsid w:val="00A340B8"/>
    <w:rsid w:val="00A342D1"/>
    <w:rsid w:val="00A3460A"/>
    <w:rsid w:val="00A3497D"/>
    <w:rsid w:val="00A34ED7"/>
    <w:rsid w:val="00A35259"/>
    <w:rsid w:val="00A357D9"/>
    <w:rsid w:val="00A35F8C"/>
    <w:rsid w:val="00A35FDF"/>
    <w:rsid w:val="00A362C6"/>
    <w:rsid w:val="00A362FB"/>
    <w:rsid w:val="00A365ED"/>
    <w:rsid w:val="00A36B97"/>
    <w:rsid w:val="00A36DB6"/>
    <w:rsid w:val="00A37202"/>
    <w:rsid w:val="00A37742"/>
    <w:rsid w:val="00A3779F"/>
    <w:rsid w:val="00A400AA"/>
    <w:rsid w:val="00A404B9"/>
    <w:rsid w:val="00A40512"/>
    <w:rsid w:val="00A40763"/>
    <w:rsid w:val="00A407B0"/>
    <w:rsid w:val="00A409A5"/>
    <w:rsid w:val="00A40FAA"/>
    <w:rsid w:val="00A41069"/>
    <w:rsid w:val="00A41605"/>
    <w:rsid w:val="00A417F6"/>
    <w:rsid w:val="00A4182F"/>
    <w:rsid w:val="00A419E7"/>
    <w:rsid w:val="00A41ACB"/>
    <w:rsid w:val="00A41B65"/>
    <w:rsid w:val="00A41DF6"/>
    <w:rsid w:val="00A42324"/>
    <w:rsid w:val="00A423FA"/>
    <w:rsid w:val="00A4248E"/>
    <w:rsid w:val="00A42549"/>
    <w:rsid w:val="00A426D4"/>
    <w:rsid w:val="00A42B9C"/>
    <w:rsid w:val="00A42CB9"/>
    <w:rsid w:val="00A42CC9"/>
    <w:rsid w:val="00A4319B"/>
    <w:rsid w:val="00A4355C"/>
    <w:rsid w:val="00A43593"/>
    <w:rsid w:val="00A43763"/>
    <w:rsid w:val="00A43D51"/>
    <w:rsid w:val="00A43E81"/>
    <w:rsid w:val="00A440A1"/>
    <w:rsid w:val="00A44119"/>
    <w:rsid w:val="00A449CA"/>
    <w:rsid w:val="00A44BAF"/>
    <w:rsid w:val="00A44EBF"/>
    <w:rsid w:val="00A44FD2"/>
    <w:rsid w:val="00A45BFD"/>
    <w:rsid w:val="00A45E52"/>
    <w:rsid w:val="00A4635F"/>
    <w:rsid w:val="00A46372"/>
    <w:rsid w:val="00A463EE"/>
    <w:rsid w:val="00A465B5"/>
    <w:rsid w:val="00A466B4"/>
    <w:rsid w:val="00A4673D"/>
    <w:rsid w:val="00A4678F"/>
    <w:rsid w:val="00A46B81"/>
    <w:rsid w:val="00A46C60"/>
    <w:rsid w:val="00A46DC4"/>
    <w:rsid w:val="00A4723D"/>
    <w:rsid w:val="00A472D8"/>
    <w:rsid w:val="00A473D0"/>
    <w:rsid w:val="00A47400"/>
    <w:rsid w:val="00A474AC"/>
    <w:rsid w:val="00A47704"/>
    <w:rsid w:val="00A4795E"/>
    <w:rsid w:val="00A47D7D"/>
    <w:rsid w:val="00A50084"/>
    <w:rsid w:val="00A5023E"/>
    <w:rsid w:val="00A50365"/>
    <w:rsid w:val="00A503E4"/>
    <w:rsid w:val="00A5046E"/>
    <w:rsid w:val="00A507DD"/>
    <w:rsid w:val="00A50845"/>
    <w:rsid w:val="00A50861"/>
    <w:rsid w:val="00A508BC"/>
    <w:rsid w:val="00A50CFE"/>
    <w:rsid w:val="00A50F9F"/>
    <w:rsid w:val="00A518C0"/>
    <w:rsid w:val="00A519C5"/>
    <w:rsid w:val="00A51D2A"/>
    <w:rsid w:val="00A5228A"/>
    <w:rsid w:val="00A52299"/>
    <w:rsid w:val="00A5262D"/>
    <w:rsid w:val="00A52631"/>
    <w:rsid w:val="00A52981"/>
    <w:rsid w:val="00A52B31"/>
    <w:rsid w:val="00A53078"/>
    <w:rsid w:val="00A53702"/>
    <w:rsid w:val="00A53BA5"/>
    <w:rsid w:val="00A541FC"/>
    <w:rsid w:val="00A54350"/>
    <w:rsid w:val="00A54388"/>
    <w:rsid w:val="00A54547"/>
    <w:rsid w:val="00A549F3"/>
    <w:rsid w:val="00A54A28"/>
    <w:rsid w:val="00A54DF0"/>
    <w:rsid w:val="00A54FAD"/>
    <w:rsid w:val="00A550B8"/>
    <w:rsid w:val="00A55705"/>
    <w:rsid w:val="00A558B8"/>
    <w:rsid w:val="00A55A63"/>
    <w:rsid w:val="00A562EB"/>
    <w:rsid w:val="00A569DE"/>
    <w:rsid w:val="00A56A0A"/>
    <w:rsid w:val="00A56AC0"/>
    <w:rsid w:val="00A56C29"/>
    <w:rsid w:val="00A56D49"/>
    <w:rsid w:val="00A56E46"/>
    <w:rsid w:val="00A570D0"/>
    <w:rsid w:val="00A5740D"/>
    <w:rsid w:val="00A57804"/>
    <w:rsid w:val="00A57B9B"/>
    <w:rsid w:val="00A57CD2"/>
    <w:rsid w:val="00A57CE2"/>
    <w:rsid w:val="00A601BF"/>
    <w:rsid w:val="00A60831"/>
    <w:rsid w:val="00A60A40"/>
    <w:rsid w:val="00A60BDE"/>
    <w:rsid w:val="00A60C80"/>
    <w:rsid w:val="00A6138B"/>
    <w:rsid w:val="00A616F0"/>
    <w:rsid w:val="00A618C1"/>
    <w:rsid w:val="00A61AEC"/>
    <w:rsid w:val="00A61ECF"/>
    <w:rsid w:val="00A61F2D"/>
    <w:rsid w:val="00A620AB"/>
    <w:rsid w:val="00A62198"/>
    <w:rsid w:val="00A625D9"/>
    <w:rsid w:val="00A627A7"/>
    <w:rsid w:val="00A6283F"/>
    <w:rsid w:val="00A62CC4"/>
    <w:rsid w:val="00A62E8D"/>
    <w:rsid w:val="00A63310"/>
    <w:rsid w:val="00A64076"/>
    <w:rsid w:val="00A6407C"/>
    <w:rsid w:val="00A64124"/>
    <w:rsid w:val="00A645FC"/>
    <w:rsid w:val="00A6468D"/>
    <w:rsid w:val="00A646BD"/>
    <w:rsid w:val="00A648E2"/>
    <w:rsid w:val="00A64914"/>
    <w:rsid w:val="00A64B2C"/>
    <w:rsid w:val="00A64B9F"/>
    <w:rsid w:val="00A64DCA"/>
    <w:rsid w:val="00A65845"/>
    <w:rsid w:val="00A65892"/>
    <w:rsid w:val="00A65948"/>
    <w:rsid w:val="00A65BF8"/>
    <w:rsid w:val="00A6615E"/>
    <w:rsid w:val="00A665F6"/>
    <w:rsid w:val="00A667B0"/>
    <w:rsid w:val="00A66CEE"/>
    <w:rsid w:val="00A6710D"/>
    <w:rsid w:val="00A67142"/>
    <w:rsid w:val="00A6723D"/>
    <w:rsid w:val="00A674ED"/>
    <w:rsid w:val="00A67A11"/>
    <w:rsid w:val="00A67AC2"/>
    <w:rsid w:val="00A67F8E"/>
    <w:rsid w:val="00A701B7"/>
    <w:rsid w:val="00A70424"/>
    <w:rsid w:val="00A70EC2"/>
    <w:rsid w:val="00A715FC"/>
    <w:rsid w:val="00A717FA"/>
    <w:rsid w:val="00A71803"/>
    <w:rsid w:val="00A71805"/>
    <w:rsid w:val="00A7183C"/>
    <w:rsid w:val="00A71893"/>
    <w:rsid w:val="00A71926"/>
    <w:rsid w:val="00A720B9"/>
    <w:rsid w:val="00A724C4"/>
    <w:rsid w:val="00A72B2A"/>
    <w:rsid w:val="00A73031"/>
    <w:rsid w:val="00A73484"/>
    <w:rsid w:val="00A7351A"/>
    <w:rsid w:val="00A735D3"/>
    <w:rsid w:val="00A73FC0"/>
    <w:rsid w:val="00A742F4"/>
    <w:rsid w:val="00A74779"/>
    <w:rsid w:val="00A748C7"/>
    <w:rsid w:val="00A74D5F"/>
    <w:rsid w:val="00A74DF5"/>
    <w:rsid w:val="00A74E23"/>
    <w:rsid w:val="00A74F74"/>
    <w:rsid w:val="00A75346"/>
    <w:rsid w:val="00A75707"/>
    <w:rsid w:val="00A75711"/>
    <w:rsid w:val="00A75B01"/>
    <w:rsid w:val="00A75B1F"/>
    <w:rsid w:val="00A75B76"/>
    <w:rsid w:val="00A75BD1"/>
    <w:rsid w:val="00A75BFF"/>
    <w:rsid w:val="00A75C9E"/>
    <w:rsid w:val="00A7661B"/>
    <w:rsid w:val="00A766B6"/>
    <w:rsid w:val="00A766C9"/>
    <w:rsid w:val="00A76DDB"/>
    <w:rsid w:val="00A771C5"/>
    <w:rsid w:val="00A772C7"/>
    <w:rsid w:val="00A772D8"/>
    <w:rsid w:val="00A77A41"/>
    <w:rsid w:val="00A80871"/>
    <w:rsid w:val="00A80B7A"/>
    <w:rsid w:val="00A80C1D"/>
    <w:rsid w:val="00A813E1"/>
    <w:rsid w:val="00A81956"/>
    <w:rsid w:val="00A8195A"/>
    <w:rsid w:val="00A81CB2"/>
    <w:rsid w:val="00A81E3D"/>
    <w:rsid w:val="00A826F1"/>
    <w:rsid w:val="00A834F4"/>
    <w:rsid w:val="00A8369E"/>
    <w:rsid w:val="00A83823"/>
    <w:rsid w:val="00A83832"/>
    <w:rsid w:val="00A838BB"/>
    <w:rsid w:val="00A83B7B"/>
    <w:rsid w:val="00A83C6D"/>
    <w:rsid w:val="00A83D13"/>
    <w:rsid w:val="00A847B2"/>
    <w:rsid w:val="00A84927"/>
    <w:rsid w:val="00A84A2A"/>
    <w:rsid w:val="00A84B29"/>
    <w:rsid w:val="00A84C20"/>
    <w:rsid w:val="00A84ECF"/>
    <w:rsid w:val="00A85104"/>
    <w:rsid w:val="00A85147"/>
    <w:rsid w:val="00A852C8"/>
    <w:rsid w:val="00A854EB"/>
    <w:rsid w:val="00A85C13"/>
    <w:rsid w:val="00A85D54"/>
    <w:rsid w:val="00A86041"/>
    <w:rsid w:val="00A86989"/>
    <w:rsid w:val="00A869FE"/>
    <w:rsid w:val="00A86ADD"/>
    <w:rsid w:val="00A86C69"/>
    <w:rsid w:val="00A86D0B"/>
    <w:rsid w:val="00A86F87"/>
    <w:rsid w:val="00A8702D"/>
    <w:rsid w:val="00A876A6"/>
    <w:rsid w:val="00A87ADC"/>
    <w:rsid w:val="00A90085"/>
    <w:rsid w:val="00A901D0"/>
    <w:rsid w:val="00A9026E"/>
    <w:rsid w:val="00A90743"/>
    <w:rsid w:val="00A90ABE"/>
    <w:rsid w:val="00A90D1D"/>
    <w:rsid w:val="00A90E80"/>
    <w:rsid w:val="00A90EFC"/>
    <w:rsid w:val="00A90F22"/>
    <w:rsid w:val="00A91023"/>
    <w:rsid w:val="00A91096"/>
    <w:rsid w:val="00A91342"/>
    <w:rsid w:val="00A915A1"/>
    <w:rsid w:val="00A917B2"/>
    <w:rsid w:val="00A91EA8"/>
    <w:rsid w:val="00A920B9"/>
    <w:rsid w:val="00A921C9"/>
    <w:rsid w:val="00A92413"/>
    <w:rsid w:val="00A92A00"/>
    <w:rsid w:val="00A92C17"/>
    <w:rsid w:val="00A9309E"/>
    <w:rsid w:val="00A932C6"/>
    <w:rsid w:val="00A9361C"/>
    <w:rsid w:val="00A938B2"/>
    <w:rsid w:val="00A93C84"/>
    <w:rsid w:val="00A9401F"/>
    <w:rsid w:val="00A94138"/>
    <w:rsid w:val="00A94386"/>
    <w:rsid w:val="00A94A9B"/>
    <w:rsid w:val="00A954C3"/>
    <w:rsid w:val="00A957C8"/>
    <w:rsid w:val="00A959A0"/>
    <w:rsid w:val="00A95A9E"/>
    <w:rsid w:val="00A95E33"/>
    <w:rsid w:val="00A95FAB"/>
    <w:rsid w:val="00A96397"/>
    <w:rsid w:val="00A969BC"/>
    <w:rsid w:val="00A96A25"/>
    <w:rsid w:val="00A97832"/>
    <w:rsid w:val="00A9787C"/>
    <w:rsid w:val="00A978EC"/>
    <w:rsid w:val="00A97A08"/>
    <w:rsid w:val="00A97BA9"/>
    <w:rsid w:val="00A97CF4"/>
    <w:rsid w:val="00A97EAC"/>
    <w:rsid w:val="00AA024D"/>
    <w:rsid w:val="00AA06BF"/>
    <w:rsid w:val="00AA078C"/>
    <w:rsid w:val="00AA0B16"/>
    <w:rsid w:val="00AA0B65"/>
    <w:rsid w:val="00AA0C21"/>
    <w:rsid w:val="00AA0F11"/>
    <w:rsid w:val="00AA138A"/>
    <w:rsid w:val="00AA16C8"/>
    <w:rsid w:val="00AA17A8"/>
    <w:rsid w:val="00AA1AA4"/>
    <w:rsid w:val="00AA215E"/>
    <w:rsid w:val="00AA2419"/>
    <w:rsid w:val="00AA25C5"/>
    <w:rsid w:val="00AA2648"/>
    <w:rsid w:val="00AA2828"/>
    <w:rsid w:val="00AA2884"/>
    <w:rsid w:val="00AA29D1"/>
    <w:rsid w:val="00AA2B0B"/>
    <w:rsid w:val="00AA2BD2"/>
    <w:rsid w:val="00AA2C9A"/>
    <w:rsid w:val="00AA2FEE"/>
    <w:rsid w:val="00AA3117"/>
    <w:rsid w:val="00AA328A"/>
    <w:rsid w:val="00AA361A"/>
    <w:rsid w:val="00AA3A1F"/>
    <w:rsid w:val="00AA3B0F"/>
    <w:rsid w:val="00AA4205"/>
    <w:rsid w:val="00AA43E1"/>
    <w:rsid w:val="00AA55D9"/>
    <w:rsid w:val="00AA590A"/>
    <w:rsid w:val="00AA5989"/>
    <w:rsid w:val="00AA5D49"/>
    <w:rsid w:val="00AA5F8D"/>
    <w:rsid w:val="00AA6015"/>
    <w:rsid w:val="00AA61A7"/>
    <w:rsid w:val="00AA6489"/>
    <w:rsid w:val="00AA6C1D"/>
    <w:rsid w:val="00AA6C6F"/>
    <w:rsid w:val="00AA6C8E"/>
    <w:rsid w:val="00AA76EC"/>
    <w:rsid w:val="00AA7AA7"/>
    <w:rsid w:val="00AA7DB4"/>
    <w:rsid w:val="00AB0027"/>
    <w:rsid w:val="00AB032A"/>
    <w:rsid w:val="00AB0337"/>
    <w:rsid w:val="00AB0453"/>
    <w:rsid w:val="00AB06FC"/>
    <w:rsid w:val="00AB0982"/>
    <w:rsid w:val="00AB0ABF"/>
    <w:rsid w:val="00AB0C2E"/>
    <w:rsid w:val="00AB13CA"/>
    <w:rsid w:val="00AB16A8"/>
    <w:rsid w:val="00AB1736"/>
    <w:rsid w:val="00AB17A0"/>
    <w:rsid w:val="00AB17D7"/>
    <w:rsid w:val="00AB1AA6"/>
    <w:rsid w:val="00AB1B18"/>
    <w:rsid w:val="00AB1C66"/>
    <w:rsid w:val="00AB1CD7"/>
    <w:rsid w:val="00AB20AD"/>
    <w:rsid w:val="00AB2420"/>
    <w:rsid w:val="00AB28C6"/>
    <w:rsid w:val="00AB28EC"/>
    <w:rsid w:val="00AB2FF5"/>
    <w:rsid w:val="00AB356E"/>
    <w:rsid w:val="00AB35EC"/>
    <w:rsid w:val="00AB3EF7"/>
    <w:rsid w:val="00AB4118"/>
    <w:rsid w:val="00AB4163"/>
    <w:rsid w:val="00AB41E1"/>
    <w:rsid w:val="00AB4814"/>
    <w:rsid w:val="00AB48A7"/>
    <w:rsid w:val="00AB48BA"/>
    <w:rsid w:val="00AB4B95"/>
    <w:rsid w:val="00AB4E1D"/>
    <w:rsid w:val="00AB53FE"/>
    <w:rsid w:val="00AB56C1"/>
    <w:rsid w:val="00AB6AE4"/>
    <w:rsid w:val="00AB7378"/>
    <w:rsid w:val="00AB73FB"/>
    <w:rsid w:val="00AB74EC"/>
    <w:rsid w:val="00AB7703"/>
    <w:rsid w:val="00AB7871"/>
    <w:rsid w:val="00AB7DEF"/>
    <w:rsid w:val="00AB7E20"/>
    <w:rsid w:val="00AC058F"/>
    <w:rsid w:val="00AC061E"/>
    <w:rsid w:val="00AC07A1"/>
    <w:rsid w:val="00AC08F8"/>
    <w:rsid w:val="00AC0AC1"/>
    <w:rsid w:val="00AC10BC"/>
    <w:rsid w:val="00AC12D1"/>
    <w:rsid w:val="00AC182C"/>
    <w:rsid w:val="00AC189E"/>
    <w:rsid w:val="00AC190D"/>
    <w:rsid w:val="00AC19D2"/>
    <w:rsid w:val="00AC1A30"/>
    <w:rsid w:val="00AC1D67"/>
    <w:rsid w:val="00AC2108"/>
    <w:rsid w:val="00AC210C"/>
    <w:rsid w:val="00AC24EC"/>
    <w:rsid w:val="00AC275C"/>
    <w:rsid w:val="00AC2CD4"/>
    <w:rsid w:val="00AC324E"/>
    <w:rsid w:val="00AC35AF"/>
    <w:rsid w:val="00AC41F5"/>
    <w:rsid w:val="00AC420E"/>
    <w:rsid w:val="00AC421F"/>
    <w:rsid w:val="00AC433A"/>
    <w:rsid w:val="00AC475D"/>
    <w:rsid w:val="00AC477B"/>
    <w:rsid w:val="00AC483A"/>
    <w:rsid w:val="00AC4B46"/>
    <w:rsid w:val="00AC4D03"/>
    <w:rsid w:val="00AC4F8A"/>
    <w:rsid w:val="00AC540E"/>
    <w:rsid w:val="00AC581C"/>
    <w:rsid w:val="00AC5C7A"/>
    <w:rsid w:val="00AC5E2C"/>
    <w:rsid w:val="00AC6106"/>
    <w:rsid w:val="00AC6508"/>
    <w:rsid w:val="00AC6B29"/>
    <w:rsid w:val="00AC6CF2"/>
    <w:rsid w:val="00AC6D85"/>
    <w:rsid w:val="00AC7068"/>
    <w:rsid w:val="00AC7220"/>
    <w:rsid w:val="00AC74F5"/>
    <w:rsid w:val="00AC7923"/>
    <w:rsid w:val="00AC7B9B"/>
    <w:rsid w:val="00AC7BF3"/>
    <w:rsid w:val="00AC7D3C"/>
    <w:rsid w:val="00AC7EAA"/>
    <w:rsid w:val="00AD0161"/>
    <w:rsid w:val="00AD0923"/>
    <w:rsid w:val="00AD0C59"/>
    <w:rsid w:val="00AD0D6D"/>
    <w:rsid w:val="00AD0E80"/>
    <w:rsid w:val="00AD107D"/>
    <w:rsid w:val="00AD15CB"/>
    <w:rsid w:val="00AD1C32"/>
    <w:rsid w:val="00AD2359"/>
    <w:rsid w:val="00AD29C0"/>
    <w:rsid w:val="00AD2BF7"/>
    <w:rsid w:val="00AD2FB8"/>
    <w:rsid w:val="00AD33D4"/>
    <w:rsid w:val="00AD4101"/>
    <w:rsid w:val="00AD42A7"/>
    <w:rsid w:val="00AD44C2"/>
    <w:rsid w:val="00AD4910"/>
    <w:rsid w:val="00AD4E78"/>
    <w:rsid w:val="00AD51CD"/>
    <w:rsid w:val="00AD5AD7"/>
    <w:rsid w:val="00AD5B0D"/>
    <w:rsid w:val="00AD5D48"/>
    <w:rsid w:val="00AD5D52"/>
    <w:rsid w:val="00AD5DF7"/>
    <w:rsid w:val="00AD5EFE"/>
    <w:rsid w:val="00AD5F36"/>
    <w:rsid w:val="00AD5FF7"/>
    <w:rsid w:val="00AD6C8F"/>
    <w:rsid w:val="00AD718C"/>
    <w:rsid w:val="00AD7261"/>
    <w:rsid w:val="00AD73CA"/>
    <w:rsid w:val="00AE00B4"/>
    <w:rsid w:val="00AE059C"/>
    <w:rsid w:val="00AE05F0"/>
    <w:rsid w:val="00AE066A"/>
    <w:rsid w:val="00AE068B"/>
    <w:rsid w:val="00AE073F"/>
    <w:rsid w:val="00AE0834"/>
    <w:rsid w:val="00AE087A"/>
    <w:rsid w:val="00AE092C"/>
    <w:rsid w:val="00AE0969"/>
    <w:rsid w:val="00AE0A5F"/>
    <w:rsid w:val="00AE0BA7"/>
    <w:rsid w:val="00AE0E4A"/>
    <w:rsid w:val="00AE1390"/>
    <w:rsid w:val="00AE15D1"/>
    <w:rsid w:val="00AE1B1E"/>
    <w:rsid w:val="00AE1DF5"/>
    <w:rsid w:val="00AE2297"/>
    <w:rsid w:val="00AE22BB"/>
    <w:rsid w:val="00AE25B1"/>
    <w:rsid w:val="00AE28FF"/>
    <w:rsid w:val="00AE298F"/>
    <w:rsid w:val="00AE2A4E"/>
    <w:rsid w:val="00AE2A5C"/>
    <w:rsid w:val="00AE2BB1"/>
    <w:rsid w:val="00AE38D7"/>
    <w:rsid w:val="00AE39CD"/>
    <w:rsid w:val="00AE3DA7"/>
    <w:rsid w:val="00AE40B7"/>
    <w:rsid w:val="00AE4199"/>
    <w:rsid w:val="00AE424E"/>
    <w:rsid w:val="00AE46CA"/>
    <w:rsid w:val="00AE47B6"/>
    <w:rsid w:val="00AE48C4"/>
    <w:rsid w:val="00AE4F49"/>
    <w:rsid w:val="00AE5152"/>
    <w:rsid w:val="00AE53A6"/>
    <w:rsid w:val="00AE54BF"/>
    <w:rsid w:val="00AE580E"/>
    <w:rsid w:val="00AE58C5"/>
    <w:rsid w:val="00AE5DEC"/>
    <w:rsid w:val="00AE6146"/>
    <w:rsid w:val="00AE63AA"/>
    <w:rsid w:val="00AE6482"/>
    <w:rsid w:val="00AE6873"/>
    <w:rsid w:val="00AE713E"/>
    <w:rsid w:val="00AE77F8"/>
    <w:rsid w:val="00AE7AB0"/>
    <w:rsid w:val="00AE7BBE"/>
    <w:rsid w:val="00AE7BF5"/>
    <w:rsid w:val="00AE7DE1"/>
    <w:rsid w:val="00AE7F46"/>
    <w:rsid w:val="00AF0100"/>
    <w:rsid w:val="00AF0BF5"/>
    <w:rsid w:val="00AF12A0"/>
    <w:rsid w:val="00AF14E8"/>
    <w:rsid w:val="00AF175D"/>
    <w:rsid w:val="00AF1790"/>
    <w:rsid w:val="00AF19D4"/>
    <w:rsid w:val="00AF1CF3"/>
    <w:rsid w:val="00AF1D28"/>
    <w:rsid w:val="00AF2942"/>
    <w:rsid w:val="00AF2A35"/>
    <w:rsid w:val="00AF2B29"/>
    <w:rsid w:val="00AF2B2B"/>
    <w:rsid w:val="00AF2E8B"/>
    <w:rsid w:val="00AF336C"/>
    <w:rsid w:val="00AF3978"/>
    <w:rsid w:val="00AF39BC"/>
    <w:rsid w:val="00AF3AAB"/>
    <w:rsid w:val="00AF3C91"/>
    <w:rsid w:val="00AF4024"/>
    <w:rsid w:val="00AF41DA"/>
    <w:rsid w:val="00AF4303"/>
    <w:rsid w:val="00AF4A51"/>
    <w:rsid w:val="00AF5549"/>
    <w:rsid w:val="00AF5665"/>
    <w:rsid w:val="00AF56B6"/>
    <w:rsid w:val="00AF6C15"/>
    <w:rsid w:val="00AF6D4E"/>
    <w:rsid w:val="00AF6E2B"/>
    <w:rsid w:val="00AF7659"/>
    <w:rsid w:val="00AF785B"/>
    <w:rsid w:val="00AF7A54"/>
    <w:rsid w:val="00AF7D25"/>
    <w:rsid w:val="00AF7E0D"/>
    <w:rsid w:val="00AF7F94"/>
    <w:rsid w:val="00B008D5"/>
    <w:rsid w:val="00B00917"/>
    <w:rsid w:val="00B0092C"/>
    <w:rsid w:val="00B00E24"/>
    <w:rsid w:val="00B00FF3"/>
    <w:rsid w:val="00B01334"/>
    <w:rsid w:val="00B01869"/>
    <w:rsid w:val="00B01CD1"/>
    <w:rsid w:val="00B021CD"/>
    <w:rsid w:val="00B026EA"/>
    <w:rsid w:val="00B027A7"/>
    <w:rsid w:val="00B02A9D"/>
    <w:rsid w:val="00B03369"/>
    <w:rsid w:val="00B03535"/>
    <w:rsid w:val="00B03BE5"/>
    <w:rsid w:val="00B03E39"/>
    <w:rsid w:val="00B04033"/>
    <w:rsid w:val="00B042A9"/>
    <w:rsid w:val="00B04320"/>
    <w:rsid w:val="00B04A34"/>
    <w:rsid w:val="00B04ADB"/>
    <w:rsid w:val="00B04D8E"/>
    <w:rsid w:val="00B04DD4"/>
    <w:rsid w:val="00B0555C"/>
    <w:rsid w:val="00B05992"/>
    <w:rsid w:val="00B059F8"/>
    <w:rsid w:val="00B05D64"/>
    <w:rsid w:val="00B05EB7"/>
    <w:rsid w:val="00B060C6"/>
    <w:rsid w:val="00B0610C"/>
    <w:rsid w:val="00B06527"/>
    <w:rsid w:val="00B06708"/>
    <w:rsid w:val="00B0679A"/>
    <w:rsid w:val="00B067F6"/>
    <w:rsid w:val="00B0694E"/>
    <w:rsid w:val="00B06964"/>
    <w:rsid w:val="00B069A1"/>
    <w:rsid w:val="00B07227"/>
    <w:rsid w:val="00B07409"/>
    <w:rsid w:val="00B0761B"/>
    <w:rsid w:val="00B0762F"/>
    <w:rsid w:val="00B079E4"/>
    <w:rsid w:val="00B07DFA"/>
    <w:rsid w:val="00B07E21"/>
    <w:rsid w:val="00B07EB1"/>
    <w:rsid w:val="00B100E2"/>
    <w:rsid w:val="00B11626"/>
    <w:rsid w:val="00B117C0"/>
    <w:rsid w:val="00B11862"/>
    <w:rsid w:val="00B11F1C"/>
    <w:rsid w:val="00B12327"/>
    <w:rsid w:val="00B12352"/>
    <w:rsid w:val="00B12734"/>
    <w:rsid w:val="00B12761"/>
    <w:rsid w:val="00B12ABD"/>
    <w:rsid w:val="00B12B8E"/>
    <w:rsid w:val="00B12D84"/>
    <w:rsid w:val="00B139D2"/>
    <w:rsid w:val="00B13B92"/>
    <w:rsid w:val="00B1430E"/>
    <w:rsid w:val="00B148AA"/>
    <w:rsid w:val="00B14938"/>
    <w:rsid w:val="00B14C95"/>
    <w:rsid w:val="00B14D0D"/>
    <w:rsid w:val="00B14E41"/>
    <w:rsid w:val="00B15196"/>
    <w:rsid w:val="00B1525F"/>
    <w:rsid w:val="00B15681"/>
    <w:rsid w:val="00B15987"/>
    <w:rsid w:val="00B15A30"/>
    <w:rsid w:val="00B15D9F"/>
    <w:rsid w:val="00B15EAA"/>
    <w:rsid w:val="00B160A9"/>
    <w:rsid w:val="00B1643A"/>
    <w:rsid w:val="00B164B4"/>
    <w:rsid w:val="00B16A08"/>
    <w:rsid w:val="00B172D9"/>
    <w:rsid w:val="00B17570"/>
    <w:rsid w:val="00B179AE"/>
    <w:rsid w:val="00B17E88"/>
    <w:rsid w:val="00B20292"/>
    <w:rsid w:val="00B2097C"/>
    <w:rsid w:val="00B21075"/>
    <w:rsid w:val="00B212C6"/>
    <w:rsid w:val="00B21650"/>
    <w:rsid w:val="00B2174C"/>
    <w:rsid w:val="00B21F3A"/>
    <w:rsid w:val="00B21F86"/>
    <w:rsid w:val="00B222FB"/>
    <w:rsid w:val="00B2238F"/>
    <w:rsid w:val="00B228CA"/>
    <w:rsid w:val="00B2291D"/>
    <w:rsid w:val="00B22926"/>
    <w:rsid w:val="00B22AE0"/>
    <w:rsid w:val="00B22CF2"/>
    <w:rsid w:val="00B22F87"/>
    <w:rsid w:val="00B2309D"/>
    <w:rsid w:val="00B2413D"/>
    <w:rsid w:val="00B2418E"/>
    <w:rsid w:val="00B241DA"/>
    <w:rsid w:val="00B244E7"/>
    <w:rsid w:val="00B24827"/>
    <w:rsid w:val="00B24999"/>
    <w:rsid w:val="00B24A17"/>
    <w:rsid w:val="00B24CA9"/>
    <w:rsid w:val="00B24D24"/>
    <w:rsid w:val="00B25088"/>
    <w:rsid w:val="00B252F2"/>
    <w:rsid w:val="00B25B97"/>
    <w:rsid w:val="00B25EBC"/>
    <w:rsid w:val="00B264AE"/>
    <w:rsid w:val="00B26843"/>
    <w:rsid w:val="00B26AB1"/>
    <w:rsid w:val="00B27997"/>
    <w:rsid w:val="00B27DFE"/>
    <w:rsid w:val="00B30195"/>
    <w:rsid w:val="00B3051C"/>
    <w:rsid w:val="00B30953"/>
    <w:rsid w:val="00B322C9"/>
    <w:rsid w:val="00B324A3"/>
    <w:rsid w:val="00B3278A"/>
    <w:rsid w:val="00B328F0"/>
    <w:rsid w:val="00B32933"/>
    <w:rsid w:val="00B32C78"/>
    <w:rsid w:val="00B32F55"/>
    <w:rsid w:val="00B32F61"/>
    <w:rsid w:val="00B330E3"/>
    <w:rsid w:val="00B339FD"/>
    <w:rsid w:val="00B33AED"/>
    <w:rsid w:val="00B33C1F"/>
    <w:rsid w:val="00B33EFD"/>
    <w:rsid w:val="00B3407E"/>
    <w:rsid w:val="00B34324"/>
    <w:rsid w:val="00B34343"/>
    <w:rsid w:val="00B3473C"/>
    <w:rsid w:val="00B34783"/>
    <w:rsid w:val="00B349D5"/>
    <w:rsid w:val="00B34A33"/>
    <w:rsid w:val="00B34EC0"/>
    <w:rsid w:val="00B3563F"/>
    <w:rsid w:val="00B35943"/>
    <w:rsid w:val="00B35CA1"/>
    <w:rsid w:val="00B35CDB"/>
    <w:rsid w:val="00B35DE0"/>
    <w:rsid w:val="00B35F29"/>
    <w:rsid w:val="00B35FD8"/>
    <w:rsid w:val="00B36334"/>
    <w:rsid w:val="00B364D7"/>
    <w:rsid w:val="00B367F2"/>
    <w:rsid w:val="00B36D4C"/>
    <w:rsid w:val="00B37062"/>
    <w:rsid w:val="00B37774"/>
    <w:rsid w:val="00B40174"/>
    <w:rsid w:val="00B401A9"/>
    <w:rsid w:val="00B403AD"/>
    <w:rsid w:val="00B4040A"/>
    <w:rsid w:val="00B40457"/>
    <w:rsid w:val="00B40AF2"/>
    <w:rsid w:val="00B40DDF"/>
    <w:rsid w:val="00B41081"/>
    <w:rsid w:val="00B412F3"/>
    <w:rsid w:val="00B417BE"/>
    <w:rsid w:val="00B41941"/>
    <w:rsid w:val="00B41D4B"/>
    <w:rsid w:val="00B422CE"/>
    <w:rsid w:val="00B424A0"/>
    <w:rsid w:val="00B42605"/>
    <w:rsid w:val="00B42A00"/>
    <w:rsid w:val="00B42B8B"/>
    <w:rsid w:val="00B43445"/>
    <w:rsid w:val="00B435E0"/>
    <w:rsid w:val="00B43792"/>
    <w:rsid w:val="00B43C73"/>
    <w:rsid w:val="00B44149"/>
    <w:rsid w:val="00B44392"/>
    <w:rsid w:val="00B445B1"/>
    <w:rsid w:val="00B44913"/>
    <w:rsid w:val="00B44E4D"/>
    <w:rsid w:val="00B44EE5"/>
    <w:rsid w:val="00B45391"/>
    <w:rsid w:val="00B45A61"/>
    <w:rsid w:val="00B45BCB"/>
    <w:rsid w:val="00B46287"/>
    <w:rsid w:val="00B4649E"/>
    <w:rsid w:val="00B46A8C"/>
    <w:rsid w:val="00B46C21"/>
    <w:rsid w:val="00B46DFC"/>
    <w:rsid w:val="00B475A0"/>
    <w:rsid w:val="00B4770C"/>
    <w:rsid w:val="00B4793D"/>
    <w:rsid w:val="00B47E38"/>
    <w:rsid w:val="00B506FF"/>
    <w:rsid w:val="00B50FDC"/>
    <w:rsid w:val="00B5106E"/>
    <w:rsid w:val="00B51111"/>
    <w:rsid w:val="00B513AA"/>
    <w:rsid w:val="00B516A6"/>
    <w:rsid w:val="00B51CE9"/>
    <w:rsid w:val="00B5237C"/>
    <w:rsid w:val="00B52A1E"/>
    <w:rsid w:val="00B52FCA"/>
    <w:rsid w:val="00B532DF"/>
    <w:rsid w:val="00B532EA"/>
    <w:rsid w:val="00B53C0F"/>
    <w:rsid w:val="00B53C44"/>
    <w:rsid w:val="00B53F57"/>
    <w:rsid w:val="00B54066"/>
    <w:rsid w:val="00B540A4"/>
    <w:rsid w:val="00B540E2"/>
    <w:rsid w:val="00B541D5"/>
    <w:rsid w:val="00B54B8D"/>
    <w:rsid w:val="00B54DD6"/>
    <w:rsid w:val="00B551B4"/>
    <w:rsid w:val="00B5572C"/>
    <w:rsid w:val="00B55BCA"/>
    <w:rsid w:val="00B55EBB"/>
    <w:rsid w:val="00B55EC3"/>
    <w:rsid w:val="00B55EC9"/>
    <w:rsid w:val="00B5610C"/>
    <w:rsid w:val="00B5642A"/>
    <w:rsid w:val="00B5692F"/>
    <w:rsid w:val="00B570C2"/>
    <w:rsid w:val="00B570EE"/>
    <w:rsid w:val="00B57342"/>
    <w:rsid w:val="00B57431"/>
    <w:rsid w:val="00B57496"/>
    <w:rsid w:val="00B57608"/>
    <w:rsid w:val="00B5771E"/>
    <w:rsid w:val="00B57891"/>
    <w:rsid w:val="00B57DE4"/>
    <w:rsid w:val="00B60143"/>
    <w:rsid w:val="00B601E5"/>
    <w:rsid w:val="00B601F3"/>
    <w:rsid w:val="00B60934"/>
    <w:rsid w:val="00B60C10"/>
    <w:rsid w:val="00B61A03"/>
    <w:rsid w:val="00B61EC2"/>
    <w:rsid w:val="00B624D5"/>
    <w:rsid w:val="00B62851"/>
    <w:rsid w:val="00B6336B"/>
    <w:rsid w:val="00B63645"/>
    <w:rsid w:val="00B63810"/>
    <w:rsid w:val="00B6385E"/>
    <w:rsid w:val="00B63BDD"/>
    <w:rsid w:val="00B63EA0"/>
    <w:rsid w:val="00B63F1E"/>
    <w:rsid w:val="00B6433E"/>
    <w:rsid w:val="00B6452C"/>
    <w:rsid w:val="00B64B0D"/>
    <w:rsid w:val="00B64C8E"/>
    <w:rsid w:val="00B65380"/>
    <w:rsid w:val="00B65397"/>
    <w:rsid w:val="00B6580D"/>
    <w:rsid w:val="00B65AA0"/>
    <w:rsid w:val="00B65D0F"/>
    <w:rsid w:val="00B6600F"/>
    <w:rsid w:val="00B6629A"/>
    <w:rsid w:val="00B67100"/>
    <w:rsid w:val="00B67448"/>
    <w:rsid w:val="00B67587"/>
    <w:rsid w:val="00B67B54"/>
    <w:rsid w:val="00B70DB5"/>
    <w:rsid w:val="00B71122"/>
    <w:rsid w:val="00B711DE"/>
    <w:rsid w:val="00B7128E"/>
    <w:rsid w:val="00B7150B"/>
    <w:rsid w:val="00B71556"/>
    <w:rsid w:val="00B71B40"/>
    <w:rsid w:val="00B71B9D"/>
    <w:rsid w:val="00B71D57"/>
    <w:rsid w:val="00B71D74"/>
    <w:rsid w:val="00B725AD"/>
    <w:rsid w:val="00B728CB"/>
    <w:rsid w:val="00B72A71"/>
    <w:rsid w:val="00B72D5E"/>
    <w:rsid w:val="00B72F3D"/>
    <w:rsid w:val="00B733B6"/>
    <w:rsid w:val="00B73489"/>
    <w:rsid w:val="00B735BD"/>
    <w:rsid w:val="00B739CE"/>
    <w:rsid w:val="00B73A50"/>
    <w:rsid w:val="00B73AE5"/>
    <w:rsid w:val="00B73BAC"/>
    <w:rsid w:val="00B742D6"/>
    <w:rsid w:val="00B74411"/>
    <w:rsid w:val="00B744C5"/>
    <w:rsid w:val="00B74659"/>
    <w:rsid w:val="00B7498F"/>
    <w:rsid w:val="00B74CBE"/>
    <w:rsid w:val="00B75330"/>
    <w:rsid w:val="00B75362"/>
    <w:rsid w:val="00B758CF"/>
    <w:rsid w:val="00B75AA7"/>
    <w:rsid w:val="00B75E4F"/>
    <w:rsid w:val="00B7703F"/>
    <w:rsid w:val="00B770A8"/>
    <w:rsid w:val="00B779EE"/>
    <w:rsid w:val="00B77BBC"/>
    <w:rsid w:val="00B77D54"/>
    <w:rsid w:val="00B807C2"/>
    <w:rsid w:val="00B811A4"/>
    <w:rsid w:val="00B81358"/>
    <w:rsid w:val="00B814CD"/>
    <w:rsid w:val="00B81CE3"/>
    <w:rsid w:val="00B81E8D"/>
    <w:rsid w:val="00B81F33"/>
    <w:rsid w:val="00B8255E"/>
    <w:rsid w:val="00B82773"/>
    <w:rsid w:val="00B82E07"/>
    <w:rsid w:val="00B836F8"/>
    <w:rsid w:val="00B83D26"/>
    <w:rsid w:val="00B84631"/>
    <w:rsid w:val="00B84680"/>
    <w:rsid w:val="00B848C3"/>
    <w:rsid w:val="00B84A1F"/>
    <w:rsid w:val="00B84BC7"/>
    <w:rsid w:val="00B84C7E"/>
    <w:rsid w:val="00B84D57"/>
    <w:rsid w:val="00B84EA2"/>
    <w:rsid w:val="00B84F5F"/>
    <w:rsid w:val="00B8502B"/>
    <w:rsid w:val="00B85269"/>
    <w:rsid w:val="00B8574F"/>
    <w:rsid w:val="00B857DD"/>
    <w:rsid w:val="00B858C2"/>
    <w:rsid w:val="00B858EA"/>
    <w:rsid w:val="00B85934"/>
    <w:rsid w:val="00B85A4B"/>
    <w:rsid w:val="00B85B5F"/>
    <w:rsid w:val="00B85E03"/>
    <w:rsid w:val="00B85F41"/>
    <w:rsid w:val="00B86255"/>
    <w:rsid w:val="00B86290"/>
    <w:rsid w:val="00B869FA"/>
    <w:rsid w:val="00B86B88"/>
    <w:rsid w:val="00B870A1"/>
    <w:rsid w:val="00B872C1"/>
    <w:rsid w:val="00B872FF"/>
    <w:rsid w:val="00B8741C"/>
    <w:rsid w:val="00B875C6"/>
    <w:rsid w:val="00B87695"/>
    <w:rsid w:val="00B8780F"/>
    <w:rsid w:val="00B87A72"/>
    <w:rsid w:val="00B87DB0"/>
    <w:rsid w:val="00B87E29"/>
    <w:rsid w:val="00B9034D"/>
    <w:rsid w:val="00B904F7"/>
    <w:rsid w:val="00B905D5"/>
    <w:rsid w:val="00B90E1D"/>
    <w:rsid w:val="00B9178A"/>
    <w:rsid w:val="00B91D71"/>
    <w:rsid w:val="00B91DFA"/>
    <w:rsid w:val="00B92029"/>
    <w:rsid w:val="00B920DC"/>
    <w:rsid w:val="00B9226E"/>
    <w:rsid w:val="00B922FB"/>
    <w:rsid w:val="00B9253E"/>
    <w:rsid w:val="00B9261E"/>
    <w:rsid w:val="00B93082"/>
    <w:rsid w:val="00B932EF"/>
    <w:rsid w:val="00B93897"/>
    <w:rsid w:val="00B93AFE"/>
    <w:rsid w:val="00B93BDF"/>
    <w:rsid w:val="00B93FBD"/>
    <w:rsid w:val="00B941FD"/>
    <w:rsid w:val="00B94E55"/>
    <w:rsid w:val="00B94E62"/>
    <w:rsid w:val="00B95817"/>
    <w:rsid w:val="00B9587D"/>
    <w:rsid w:val="00B95E03"/>
    <w:rsid w:val="00B9618F"/>
    <w:rsid w:val="00B96249"/>
    <w:rsid w:val="00B9629B"/>
    <w:rsid w:val="00B96A99"/>
    <w:rsid w:val="00B972D2"/>
    <w:rsid w:val="00B97861"/>
    <w:rsid w:val="00B978E0"/>
    <w:rsid w:val="00B97C48"/>
    <w:rsid w:val="00BA0089"/>
    <w:rsid w:val="00BA07AE"/>
    <w:rsid w:val="00BA0AA5"/>
    <w:rsid w:val="00BA0AE7"/>
    <w:rsid w:val="00BA112F"/>
    <w:rsid w:val="00BA12CE"/>
    <w:rsid w:val="00BA146E"/>
    <w:rsid w:val="00BA1759"/>
    <w:rsid w:val="00BA1780"/>
    <w:rsid w:val="00BA18E4"/>
    <w:rsid w:val="00BA196E"/>
    <w:rsid w:val="00BA1C03"/>
    <w:rsid w:val="00BA1D04"/>
    <w:rsid w:val="00BA2029"/>
    <w:rsid w:val="00BA220C"/>
    <w:rsid w:val="00BA222A"/>
    <w:rsid w:val="00BA231A"/>
    <w:rsid w:val="00BA3119"/>
    <w:rsid w:val="00BA3714"/>
    <w:rsid w:val="00BA3E2C"/>
    <w:rsid w:val="00BA4912"/>
    <w:rsid w:val="00BA4C1E"/>
    <w:rsid w:val="00BA4C8F"/>
    <w:rsid w:val="00BA4CFE"/>
    <w:rsid w:val="00BA4D09"/>
    <w:rsid w:val="00BA4E7E"/>
    <w:rsid w:val="00BA501F"/>
    <w:rsid w:val="00BA51A9"/>
    <w:rsid w:val="00BA5308"/>
    <w:rsid w:val="00BA5BD9"/>
    <w:rsid w:val="00BA5E1F"/>
    <w:rsid w:val="00BA5FC7"/>
    <w:rsid w:val="00BA6073"/>
    <w:rsid w:val="00BA63F0"/>
    <w:rsid w:val="00BA6715"/>
    <w:rsid w:val="00BA6A5F"/>
    <w:rsid w:val="00BA6A9B"/>
    <w:rsid w:val="00BA73B5"/>
    <w:rsid w:val="00BA75E9"/>
    <w:rsid w:val="00BA76EE"/>
    <w:rsid w:val="00BA7A2B"/>
    <w:rsid w:val="00BA7C3D"/>
    <w:rsid w:val="00BA7CA9"/>
    <w:rsid w:val="00BB0187"/>
    <w:rsid w:val="00BB02B3"/>
    <w:rsid w:val="00BB040C"/>
    <w:rsid w:val="00BB0B41"/>
    <w:rsid w:val="00BB0CFD"/>
    <w:rsid w:val="00BB0D25"/>
    <w:rsid w:val="00BB11BC"/>
    <w:rsid w:val="00BB146D"/>
    <w:rsid w:val="00BB1612"/>
    <w:rsid w:val="00BB1963"/>
    <w:rsid w:val="00BB1BB9"/>
    <w:rsid w:val="00BB1C84"/>
    <w:rsid w:val="00BB1CAA"/>
    <w:rsid w:val="00BB1D95"/>
    <w:rsid w:val="00BB1E39"/>
    <w:rsid w:val="00BB22A3"/>
    <w:rsid w:val="00BB235A"/>
    <w:rsid w:val="00BB2737"/>
    <w:rsid w:val="00BB2751"/>
    <w:rsid w:val="00BB27DB"/>
    <w:rsid w:val="00BB2BEA"/>
    <w:rsid w:val="00BB2D6E"/>
    <w:rsid w:val="00BB3077"/>
    <w:rsid w:val="00BB3191"/>
    <w:rsid w:val="00BB31F5"/>
    <w:rsid w:val="00BB385B"/>
    <w:rsid w:val="00BB386C"/>
    <w:rsid w:val="00BB39FC"/>
    <w:rsid w:val="00BB3A52"/>
    <w:rsid w:val="00BB3AB4"/>
    <w:rsid w:val="00BB3C53"/>
    <w:rsid w:val="00BB3C83"/>
    <w:rsid w:val="00BB44ED"/>
    <w:rsid w:val="00BB470F"/>
    <w:rsid w:val="00BB48AF"/>
    <w:rsid w:val="00BB54A7"/>
    <w:rsid w:val="00BB58EB"/>
    <w:rsid w:val="00BB5974"/>
    <w:rsid w:val="00BB5DFC"/>
    <w:rsid w:val="00BB5E1B"/>
    <w:rsid w:val="00BB5F33"/>
    <w:rsid w:val="00BB5F38"/>
    <w:rsid w:val="00BB5F51"/>
    <w:rsid w:val="00BB60E5"/>
    <w:rsid w:val="00BB6299"/>
    <w:rsid w:val="00BB68A1"/>
    <w:rsid w:val="00BB6931"/>
    <w:rsid w:val="00BB6986"/>
    <w:rsid w:val="00BB6BFB"/>
    <w:rsid w:val="00BB6C90"/>
    <w:rsid w:val="00BB6D65"/>
    <w:rsid w:val="00BB6DFE"/>
    <w:rsid w:val="00BB6F6B"/>
    <w:rsid w:val="00BB720A"/>
    <w:rsid w:val="00BB757A"/>
    <w:rsid w:val="00BB7D45"/>
    <w:rsid w:val="00BB7ECA"/>
    <w:rsid w:val="00BC09D1"/>
    <w:rsid w:val="00BC0E97"/>
    <w:rsid w:val="00BC0FAC"/>
    <w:rsid w:val="00BC105B"/>
    <w:rsid w:val="00BC199C"/>
    <w:rsid w:val="00BC1DAA"/>
    <w:rsid w:val="00BC1DAE"/>
    <w:rsid w:val="00BC2137"/>
    <w:rsid w:val="00BC24D4"/>
    <w:rsid w:val="00BC2B09"/>
    <w:rsid w:val="00BC2E87"/>
    <w:rsid w:val="00BC31B3"/>
    <w:rsid w:val="00BC36C4"/>
    <w:rsid w:val="00BC3806"/>
    <w:rsid w:val="00BC39BE"/>
    <w:rsid w:val="00BC3D03"/>
    <w:rsid w:val="00BC4778"/>
    <w:rsid w:val="00BC4AA6"/>
    <w:rsid w:val="00BC4AB3"/>
    <w:rsid w:val="00BC4B33"/>
    <w:rsid w:val="00BC4C37"/>
    <w:rsid w:val="00BC4D1B"/>
    <w:rsid w:val="00BC4FF1"/>
    <w:rsid w:val="00BC52DA"/>
    <w:rsid w:val="00BC5374"/>
    <w:rsid w:val="00BC5528"/>
    <w:rsid w:val="00BC5555"/>
    <w:rsid w:val="00BC5B26"/>
    <w:rsid w:val="00BC5C8A"/>
    <w:rsid w:val="00BC67FF"/>
    <w:rsid w:val="00BC686F"/>
    <w:rsid w:val="00BC6D74"/>
    <w:rsid w:val="00BC6EF9"/>
    <w:rsid w:val="00BC7090"/>
    <w:rsid w:val="00BC71BB"/>
    <w:rsid w:val="00BC76FE"/>
    <w:rsid w:val="00BC7D22"/>
    <w:rsid w:val="00BC7F96"/>
    <w:rsid w:val="00BD0110"/>
    <w:rsid w:val="00BD024E"/>
    <w:rsid w:val="00BD07BA"/>
    <w:rsid w:val="00BD0DAC"/>
    <w:rsid w:val="00BD0DD7"/>
    <w:rsid w:val="00BD0E4A"/>
    <w:rsid w:val="00BD10CC"/>
    <w:rsid w:val="00BD13B4"/>
    <w:rsid w:val="00BD1536"/>
    <w:rsid w:val="00BD17A2"/>
    <w:rsid w:val="00BD182F"/>
    <w:rsid w:val="00BD1D20"/>
    <w:rsid w:val="00BD1EAC"/>
    <w:rsid w:val="00BD1EF4"/>
    <w:rsid w:val="00BD228F"/>
    <w:rsid w:val="00BD269D"/>
    <w:rsid w:val="00BD26DD"/>
    <w:rsid w:val="00BD2747"/>
    <w:rsid w:val="00BD28C7"/>
    <w:rsid w:val="00BD291C"/>
    <w:rsid w:val="00BD3DAA"/>
    <w:rsid w:val="00BD3ED7"/>
    <w:rsid w:val="00BD44D4"/>
    <w:rsid w:val="00BD463B"/>
    <w:rsid w:val="00BD46B3"/>
    <w:rsid w:val="00BD49EE"/>
    <w:rsid w:val="00BD4D22"/>
    <w:rsid w:val="00BD4F0D"/>
    <w:rsid w:val="00BD53E7"/>
    <w:rsid w:val="00BD57A5"/>
    <w:rsid w:val="00BD5AD8"/>
    <w:rsid w:val="00BD5BC7"/>
    <w:rsid w:val="00BD622F"/>
    <w:rsid w:val="00BD6418"/>
    <w:rsid w:val="00BD65D1"/>
    <w:rsid w:val="00BD65EF"/>
    <w:rsid w:val="00BD69E2"/>
    <w:rsid w:val="00BD6D14"/>
    <w:rsid w:val="00BD7306"/>
    <w:rsid w:val="00BD733C"/>
    <w:rsid w:val="00BD7BB7"/>
    <w:rsid w:val="00BD7C06"/>
    <w:rsid w:val="00BD7C70"/>
    <w:rsid w:val="00BD7EEF"/>
    <w:rsid w:val="00BE07F3"/>
    <w:rsid w:val="00BE0D90"/>
    <w:rsid w:val="00BE0DB5"/>
    <w:rsid w:val="00BE0E55"/>
    <w:rsid w:val="00BE0EF8"/>
    <w:rsid w:val="00BE1141"/>
    <w:rsid w:val="00BE1198"/>
    <w:rsid w:val="00BE13EC"/>
    <w:rsid w:val="00BE1503"/>
    <w:rsid w:val="00BE159D"/>
    <w:rsid w:val="00BE1E05"/>
    <w:rsid w:val="00BE20B3"/>
    <w:rsid w:val="00BE2E12"/>
    <w:rsid w:val="00BE2F60"/>
    <w:rsid w:val="00BE31A8"/>
    <w:rsid w:val="00BE3B4A"/>
    <w:rsid w:val="00BE3CB0"/>
    <w:rsid w:val="00BE3EE0"/>
    <w:rsid w:val="00BE3F70"/>
    <w:rsid w:val="00BE40BA"/>
    <w:rsid w:val="00BE413D"/>
    <w:rsid w:val="00BE47F5"/>
    <w:rsid w:val="00BE483A"/>
    <w:rsid w:val="00BE4E31"/>
    <w:rsid w:val="00BE5D63"/>
    <w:rsid w:val="00BE60EF"/>
    <w:rsid w:val="00BE6E45"/>
    <w:rsid w:val="00BE6F5A"/>
    <w:rsid w:val="00BE720E"/>
    <w:rsid w:val="00BE7A83"/>
    <w:rsid w:val="00BE7B7A"/>
    <w:rsid w:val="00BE7C5D"/>
    <w:rsid w:val="00BE7EA2"/>
    <w:rsid w:val="00BE7FCA"/>
    <w:rsid w:val="00BF014E"/>
    <w:rsid w:val="00BF019F"/>
    <w:rsid w:val="00BF04E2"/>
    <w:rsid w:val="00BF0776"/>
    <w:rsid w:val="00BF0972"/>
    <w:rsid w:val="00BF0A2B"/>
    <w:rsid w:val="00BF0A6A"/>
    <w:rsid w:val="00BF1229"/>
    <w:rsid w:val="00BF1425"/>
    <w:rsid w:val="00BF142E"/>
    <w:rsid w:val="00BF18D4"/>
    <w:rsid w:val="00BF19B0"/>
    <w:rsid w:val="00BF1B80"/>
    <w:rsid w:val="00BF1C3A"/>
    <w:rsid w:val="00BF224D"/>
    <w:rsid w:val="00BF25DB"/>
    <w:rsid w:val="00BF2719"/>
    <w:rsid w:val="00BF2902"/>
    <w:rsid w:val="00BF2AC7"/>
    <w:rsid w:val="00BF2FEC"/>
    <w:rsid w:val="00BF342B"/>
    <w:rsid w:val="00BF3A4D"/>
    <w:rsid w:val="00BF3B92"/>
    <w:rsid w:val="00BF3BA7"/>
    <w:rsid w:val="00BF4257"/>
    <w:rsid w:val="00BF4450"/>
    <w:rsid w:val="00BF46B1"/>
    <w:rsid w:val="00BF4D32"/>
    <w:rsid w:val="00BF4E12"/>
    <w:rsid w:val="00BF5849"/>
    <w:rsid w:val="00BF5902"/>
    <w:rsid w:val="00BF5996"/>
    <w:rsid w:val="00BF5CD0"/>
    <w:rsid w:val="00BF5EE4"/>
    <w:rsid w:val="00BF5FEC"/>
    <w:rsid w:val="00BF61D9"/>
    <w:rsid w:val="00BF63D4"/>
    <w:rsid w:val="00BF65FC"/>
    <w:rsid w:val="00BF66A4"/>
    <w:rsid w:val="00BF6CEF"/>
    <w:rsid w:val="00BF6F29"/>
    <w:rsid w:val="00BF7804"/>
    <w:rsid w:val="00BF7AEE"/>
    <w:rsid w:val="00BF7B0A"/>
    <w:rsid w:val="00BF7C69"/>
    <w:rsid w:val="00C00110"/>
    <w:rsid w:val="00C00319"/>
    <w:rsid w:val="00C0064E"/>
    <w:rsid w:val="00C00861"/>
    <w:rsid w:val="00C00A75"/>
    <w:rsid w:val="00C00C07"/>
    <w:rsid w:val="00C0136A"/>
    <w:rsid w:val="00C016DD"/>
    <w:rsid w:val="00C02297"/>
    <w:rsid w:val="00C02510"/>
    <w:rsid w:val="00C02580"/>
    <w:rsid w:val="00C02A37"/>
    <w:rsid w:val="00C02CBC"/>
    <w:rsid w:val="00C02D6F"/>
    <w:rsid w:val="00C02E66"/>
    <w:rsid w:val="00C0301E"/>
    <w:rsid w:val="00C0328F"/>
    <w:rsid w:val="00C0366A"/>
    <w:rsid w:val="00C0384A"/>
    <w:rsid w:val="00C0392B"/>
    <w:rsid w:val="00C0409E"/>
    <w:rsid w:val="00C0426F"/>
    <w:rsid w:val="00C04FD8"/>
    <w:rsid w:val="00C05401"/>
    <w:rsid w:val="00C055A7"/>
    <w:rsid w:val="00C05A32"/>
    <w:rsid w:val="00C05FFE"/>
    <w:rsid w:val="00C06255"/>
    <w:rsid w:val="00C0669C"/>
    <w:rsid w:val="00C06898"/>
    <w:rsid w:val="00C068D7"/>
    <w:rsid w:val="00C06F40"/>
    <w:rsid w:val="00C06FD7"/>
    <w:rsid w:val="00C07071"/>
    <w:rsid w:val="00C07240"/>
    <w:rsid w:val="00C07410"/>
    <w:rsid w:val="00C07489"/>
    <w:rsid w:val="00C076D6"/>
    <w:rsid w:val="00C078F1"/>
    <w:rsid w:val="00C07C2E"/>
    <w:rsid w:val="00C07F78"/>
    <w:rsid w:val="00C102C0"/>
    <w:rsid w:val="00C105F5"/>
    <w:rsid w:val="00C1062A"/>
    <w:rsid w:val="00C1083D"/>
    <w:rsid w:val="00C10965"/>
    <w:rsid w:val="00C10B1A"/>
    <w:rsid w:val="00C1119A"/>
    <w:rsid w:val="00C11221"/>
    <w:rsid w:val="00C1161D"/>
    <w:rsid w:val="00C11896"/>
    <w:rsid w:val="00C11AD2"/>
    <w:rsid w:val="00C11FCA"/>
    <w:rsid w:val="00C12025"/>
    <w:rsid w:val="00C12294"/>
    <w:rsid w:val="00C12522"/>
    <w:rsid w:val="00C125C6"/>
    <w:rsid w:val="00C128A1"/>
    <w:rsid w:val="00C12C81"/>
    <w:rsid w:val="00C12CDB"/>
    <w:rsid w:val="00C1348A"/>
    <w:rsid w:val="00C13A09"/>
    <w:rsid w:val="00C13A69"/>
    <w:rsid w:val="00C14032"/>
    <w:rsid w:val="00C14324"/>
    <w:rsid w:val="00C1461B"/>
    <w:rsid w:val="00C14C98"/>
    <w:rsid w:val="00C15348"/>
    <w:rsid w:val="00C15B79"/>
    <w:rsid w:val="00C16642"/>
    <w:rsid w:val="00C16AA3"/>
    <w:rsid w:val="00C16E05"/>
    <w:rsid w:val="00C17146"/>
    <w:rsid w:val="00C17188"/>
    <w:rsid w:val="00C1761B"/>
    <w:rsid w:val="00C17678"/>
    <w:rsid w:val="00C1786B"/>
    <w:rsid w:val="00C20230"/>
    <w:rsid w:val="00C20289"/>
    <w:rsid w:val="00C20581"/>
    <w:rsid w:val="00C2079B"/>
    <w:rsid w:val="00C2095C"/>
    <w:rsid w:val="00C20B27"/>
    <w:rsid w:val="00C20DDD"/>
    <w:rsid w:val="00C211A8"/>
    <w:rsid w:val="00C2168C"/>
    <w:rsid w:val="00C216EE"/>
    <w:rsid w:val="00C21CA8"/>
    <w:rsid w:val="00C21D29"/>
    <w:rsid w:val="00C21FAA"/>
    <w:rsid w:val="00C227BE"/>
    <w:rsid w:val="00C22C61"/>
    <w:rsid w:val="00C22EC2"/>
    <w:rsid w:val="00C22ECF"/>
    <w:rsid w:val="00C233EC"/>
    <w:rsid w:val="00C23409"/>
    <w:rsid w:val="00C23763"/>
    <w:rsid w:val="00C23AE9"/>
    <w:rsid w:val="00C23C8B"/>
    <w:rsid w:val="00C23D0E"/>
    <w:rsid w:val="00C23F33"/>
    <w:rsid w:val="00C2427A"/>
    <w:rsid w:val="00C24485"/>
    <w:rsid w:val="00C24899"/>
    <w:rsid w:val="00C24AC6"/>
    <w:rsid w:val="00C25239"/>
    <w:rsid w:val="00C260A3"/>
    <w:rsid w:val="00C26268"/>
    <w:rsid w:val="00C2630A"/>
    <w:rsid w:val="00C263C4"/>
    <w:rsid w:val="00C2659D"/>
    <w:rsid w:val="00C2661C"/>
    <w:rsid w:val="00C268F3"/>
    <w:rsid w:val="00C27237"/>
    <w:rsid w:val="00C27859"/>
    <w:rsid w:val="00C27944"/>
    <w:rsid w:val="00C27A0F"/>
    <w:rsid w:val="00C303D1"/>
    <w:rsid w:val="00C305B1"/>
    <w:rsid w:val="00C311EC"/>
    <w:rsid w:val="00C31BA0"/>
    <w:rsid w:val="00C32089"/>
    <w:rsid w:val="00C32384"/>
    <w:rsid w:val="00C324F0"/>
    <w:rsid w:val="00C3285A"/>
    <w:rsid w:val="00C3292C"/>
    <w:rsid w:val="00C32DF7"/>
    <w:rsid w:val="00C32F59"/>
    <w:rsid w:val="00C3312D"/>
    <w:rsid w:val="00C3339D"/>
    <w:rsid w:val="00C333CF"/>
    <w:rsid w:val="00C334E4"/>
    <w:rsid w:val="00C3361D"/>
    <w:rsid w:val="00C33CBB"/>
    <w:rsid w:val="00C342E5"/>
    <w:rsid w:val="00C34364"/>
    <w:rsid w:val="00C3474A"/>
    <w:rsid w:val="00C34947"/>
    <w:rsid w:val="00C34CEE"/>
    <w:rsid w:val="00C34D13"/>
    <w:rsid w:val="00C34FBF"/>
    <w:rsid w:val="00C35198"/>
    <w:rsid w:val="00C35293"/>
    <w:rsid w:val="00C352A1"/>
    <w:rsid w:val="00C352D5"/>
    <w:rsid w:val="00C3549A"/>
    <w:rsid w:val="00C356E7"/>
    <w:rsid w:val="00C35953"/>
    <w:rsid w:val="00C359B6"/>
    <w:rsid w:val="00C361C3"/>
    <w:rsid w:val="00C367F6"/>
    <w:rsid w:val="00C36827"/>
    <w:rsid w:val="00C368A5"/>
    <w:rsid w:val="00C36D24"/>
    <w:rsid w:val="00C370BE"/>
    <w:rsid w:val="00C37EA0"/>
    <w:rsid w:val="00C37F46"/>
    <w:rsid w:val="00C37FD5"/>
    <w:rsid w:val="00C40238"/>
    <w:rsid w:val="00C4081E"/>
    <w:rsid w:val="00C40B75"/>
    <w:rsid w:val="00C40F6E"/>
    <w:rsid w:val="00C4119F"/>
    <w:rsid w:val="00C41361"/>
    <w:rsid w:val="00C41385"/>
    <w:rsid w:val="00C41640"/>
    <w:rsid w:val="00C41777"/>
    <w:rsid w:val="00C418DD"/>
    <w:rsid w:val="00C41CB2"/>
    <w:rsid w:val="00C41D3B"/>
    <w:rsid w:val="00C42148"/>
    <w:rsid w:val="00C423A4"/>
    <w:rsid w:val="00C42746"/>
    <w:rsid w:val="00C42ADF"/>
    <w:rsid w:val="00C42E68"/>
    <w:rsid w:val="00C4304A"/>
    <w:rsid w:val="00C432B7"/>
    <w:rsid w:val="00C435E3"/>
    <w:rsid w:val="00C436A8"/>
    <w:rsid w:val="00C436CF"/>
    <w:rsid w:val="00C438B0"/>
    <w:rsid w:val="00C4392C"/>
    <w:rsid w:val="00C43E7C"/>
    <w:rsid w:val="00C44419"/>
    <w:rsid w:val="00C44DC3"/>
    <w:rsid w:val="00C44F2E"/>
    <w:rsid w:val="00C45028"/>
    <w:rsid w:val="00C4510F"/>
    <w:rsid w:val="00C45182"/>
    <w:rsid w:val="00C4522F"/>
    <w:rsid w:val="00C456A8"/>
    <w:rsid w:val="00C459B0"/>
    <w:rsid w:val="00C45ADB"/>
    <w:rsid w:val="00C45BA2"/>
    <w:rsid w:val="00C45BD4"/>
    <w:rsid w:val="00C45E43"/>
    <w:rsid w:val="00C45FBE"/>
    <w:rsid w:val="00C46070"/>
    <w:rsid w:val="00C46295"/>
    <w:rsid w:val="00C465AD"/>
    <w:rsid w:val="00C4680C"/>
    <w:rsid w:val="00C46BD5"/>
    <w:rsid w:val="00C46FEE"/>
    <w:rsid w:val="00C4732C"/>
    <w:rsid w:val="00C47389"/>
    <w:rsid w:val="00C475B4"/>
    <w:rsid w:val="00C47EFB"/>
    <w:rsid w:val="00C47F6C"/>
    <w:rsid w:val="00C47FA3"/>
    <w:rsid w:val="00C50511"/>
    <w:rsid w:val="00C508DB"/>
    <w:rsid w:val="00C50B66"/>
    <w:rsid w:val="00C50CD1"/>
    <w:rsid w:val="00C50D95"/>
    <w:rsid w:val="00C5170C"/>
    <w:rsid w:val="00C5173C"/>
    <w:rsid w:val="00C518DB"/>
    <w:rsid w:val="00C518EE"/>
    <w:rsid w:val="00C51DB9"/>
    <w:rsid w:val="00C520B6"/>
    <w:rsid w:val="00C520C1"/>
    <w:rsid w:val="00C5289E"/>
    <w:rsid w:val="00C52989"/>
    <w:rsid w:val="00C52CCF"/>
    <w:rsid w:val="00C530A0"/>
    <w:rsid w:val="00C534FF"/>
    <w:rsid w:val="00C53878"/>
    <w:rsid w:val="00C53A72"/>
    <w:rsid w:val="00C53E76"/>
    <w:rsid w:val="00C53F04"/>
    <w:rsid w:val="00C53F45"/>
    <w:rsid w:val="00C53F67"/>
    <w:rsid w:val="00C540C2"/>
    <w:rsid w:val="00C5454B"/>
    <w:rsid w:val="00C545A4"/>
    <w:rsid w:val="00C54B5C"/>
    <w:rsid w:val="00C5512F"/>
    <w:rsid w:val="00C552ED"/>
    <w:rsid w:val="00C55562"/>
    <w:rsid w:val="00C55585"/>
    <w:rsid w:val="00C55B60"/>
    <w:rsid w:val="00C55F89"/>
    <w:rsid w:val="00C5606D"/>
    <w:rsid w:val="00C562A8"/>
    <w:rsid w:val="00C567F3"/>
    <w:rsid w:val="00C568C6"/>
    <w:rsid w:val="00C5697A"/>
    <w:rsid w:val="00C56B84"/>
    <w:rsid w:val="00C56D6D"/>
    <w:rsid w:val="00C56F6C"/>
    <w:rsid w:val="00C57456"/>
    <w:rsid w:val="00C5750F"/>
    <w:rsid w:val="00C5767D"/>
    <w:rsid w:val="00C576C9"/>
    <w:rsid w:val="00C576F6"/>
    <w:rsid w:val="00C578E5"/>
    <w:rsid w:val="00C61498"/>
    <w:rsid w:val="00C61873"/>
    <w:rsid w:val="00C61A6E"/>
    <w:rsid w:val="00C61D13"/>
    <w:rsid w:val="00C61EA9"/>
    <w:rsid w:val="00C623E7"/>
    <w:rsid w:val="00C62811"/>
    <w:rsid w:val="00C631DB"/>
    <w:rsid w:val="00C636CC"/>
    <w:rsid w:val="00C63768"/>
    <w:rsid w:val="00C638CA"/>
    <w:rsid w:val="00C63B8B"/>
    <w:rsid w:val="00C63B94"/>
    <w:rsid w:val="00C63EC9"/>
    <w:rsid w:val="00C64263"/>
    <w:rsid w:val="00C64C04"/>
    <w:rsid w:val="00C6533C"/>
    <w:rsid w:val="00C6573F"/>
    <w:rsid w:val="00C6574C"/>
    <w:rsid w:val="00C65849"/>
    <w:rsid w:val="00C65C25"/>
    <w:rsid w:val="00C6612E"/>
    <w:rsid w:val="00C661C6"/>
    <w:rsid w:val="00C6631E"/>
    <w:rsid w:val="00C663DA"/>
    <w:rsid w:val="00C66C23"/>
    <w:rsid w:val="00C67380"/>
    <w:rsid w:val="00C6747E"/>
    <w:rsid w:val="00C67579"/>
    <w:rsid w:val="00C67732"/>
    <w:rsid w:val="00C67832"/>
    <w:rsid w:val="00C67C02"/>
    <w:rsid w:val="00C67C3B"/>
    <w:rsid w:val="00C70261"/>
    <w:rsid w:val="00C702AD"/>
    <w:rsid w:val="00C7038A"/>
    <w:rsid w:val="00C704F3"/>
    <w:rsid w:val="00C707FA"/>
    <w:rsid w:val="00C71088"/>
    <w:rsid w:val="00C71244"/>
    <w:rsid w:val="00C7156F"/>
    <w:rsid w:val="00C716F7"/>
    <w:rsid w:val="00C7190A"/>
    <w:rsid w:val="00C71932"/>
    <w:rsid w:val="00C7193B"/>
    <w:rsid w:val="00C71C8A"/>
    <w:rsid w:val="00C71FE1"/>
    <w:rsid w:val="00C720C1"/>
    <w:rsid w:val="00C72171"/>
    <w:rsid w:val="00C722A1"/>
    <w:rsid w:val="00C722EE"/>
    <w:rsid w:val="00C72351"/>
    <w:rsid w:val="00C72790"/>
    <w:rsid w:val="00C7279E"/>
    <w:rsid w:val="00C7286F"/>
    <w:rsid w:val="00C72D4B"/>
    <w:rsid w:val="00C72DFE"/>
    <w:rsid w:val="00C73684"/>
    <w:rsid w:val="00C73742"/>
    <w:rsid w:val="00C7394B"/>
    <w:rsid w:val="00C7396A"/>
    <w:rsid w:val="00C73B4B"/>
    <w:rsid w:val="00C73DD6"/>
    <w:rsid w:val="00C74013"/>
    <w:rsid w:val="00C74054"/>
    <w:rsid w:val="00C74178"/>
    <w:rsid w:val="00C74223"/>
    <w:rsid w:val="00C744CF"/>
    <w:rsid w:val="00C745D0"/>
    <w:rsid w:val="00C74749"/>
    <w:rsid w:val="00C747B5"/>
    <w:rsid w:val="00C74DB0"/>
    <w:rsid w:val="00C74E84"/>
    <w:rsid w:val="00C75A19"/>
    <w:rsid w:val="00C75E8D"/>
    <w:rsid w:val="00C76068"/>
    <w:rsid w:val="00C76321"/>
    <w:rsid w:val="00C76364"/>
    <w:rsid w:val="00C765B0"/>
    <w:rsid w:val="00C77580"/>
    <w:rsid w:val="00C77A3A"/>
    <w:rsid w:val="00C77BB8"/>
    <w:rsid w:val="00C8004B"/>
    <w:rsid w:val="00C80073"/>
    <w:rsid w:val="00C80899"/>
    <w:rsid w:val="00C809DA"/>
    <w:rsid w:val="00C80A0C"/>
    <w:rsid w:val="00C80A23"/>
    <w:rsid w:val="00C80DE8"/>
    <w:rsid w:val="00C810D1"/>
    <w:rsid w:val="00C81400"/>
    <w:rsid w:val="00C81E8A"/>
    <w:rsid w:val="00C822B1"/>
    <w:rsid w:val="00C824F9"/>
    <w:rsid w:val="00C82715"/>
    <w:rsid w:val="00C83267"/>
    <w:rsid w:val="00C8345E"/>
    <w:rsid w:val="00C834BC"/>
    <w:rsid w:val="00C834EA"/>
    <w:rsid w:val="00C83A6F"/>
    <w:rsid w:val="00C83D05"/>
    <w:rsid w:val="00C83EB0"/>
    <w:rsid w:val="00C84234"/>
    <w:rsid w:val="00C84445"/>
    <w:rsid w:val="00C844EC"/>
    <w:rsid w:val="00C8481F"/>
    <w:rsid w:val="00C84BAD"/>
    <w:rsid w:val="00C84EAC"/>
    <w:rsid w:val="00C8503E"/>
    <w:rsid w:val="00C85E59"/>
    <w:rsid w:val="00C863C7"/>
    <w:rsid w:val="00C864C7"/>
    <w:rsid w:val="00C866F1"/>
    <w:rsid w:val="00C86794"/>
    <w:rsid w:val="00C86850"/>
    <w:rsid w:val="00C86928"/>
    <w:rsid w:val="00C8692D"/>
    <w:rsid w:val="00C86E19"/>
    <w:rsid w:val="00C87ED2"/>
    <w:rsid w:val="00C87F46"/>
    <w:rsid w:val="00C90827"/>
    <w:rsid w:val="00C90C6E"/>
    <w:rsid w:val="00C912FA"/>
    <w:rsid w:val="00C91561"/>
    <w:rsid w:val="00C91ACB"/>
    <w:rsid w:val="00C91B8A"/>
    <w:rsid w:val="00C91D40"/>
    <w:rsid w:val="00C91F81"/>
    <w:rsid w:val="00C922DD"/>
    <w:rsid w:val="00C929B7"/>
    <w:rsid w:val="00C92E89"/>
    <w:rsid w:val="00C930AA"/>
    <w:rsid w:val="00C93564"/>
    <w:rsid w:val="00C935B9"/>
    <w:rsid w:val="00C9375A"/>
    <w:rsid w:val="00C93AB0"/>
    <w:rsid w:val="00C93B31"/>
    <w:rsid w:val="00C93B3F"/>
    <w:rsid w:val="00C9445B"/>
    <w:rsid w:val="00C945E4"/>
    <w:rsid w:val="00C94658"/>
    <w:rsid w:val="00C9484E"/>
    <w:rsid w:val="00C94B25"/>
    <w:rsid w:val="00C94BB5"/>
    <w:rsid w:val="00C94ECB"/>
    <w:rsid w:val="00C9507A"/>
    <w:rsid w:val="00C9524D"/>
    <w:rsid w:val="00C9529A"/>
    <w:rsid w:val="00C9549E"/>
    <w:rsid w:val="00C960F4"/>
    <w:rsid w:val="00C96145"/>
    <w:rsid w:val="00C965FA"/>
    <w:rsid w:val="00C96700"/>
    <w:rsid w:val="00C96747"/>
    <w:rsid w:val="00C968D4"/>
    <w:rsid w:val="00C96B97"/>
    <w:rsid w:val="00C96D8A"/>
    <w:rsid w:val="00C96F72"/>
    <w:rsid w:val="00C97001"/>
    <w:rsid w:val="00C976F4"/>
    <w:rsid w:val="00C97B7D"/>
    <w:rsid w:val="00C97E6D"/>
    <w:rsid w:val="00CA0174"/>
    <w:rsid w:val="00CA055F"/>
    <w:rsid w:val="00CA0868"/>
    <w:rsid w:val="00CA0F3B"/>
    <w:rsid w:val="00CA0FC7"/>
    <w:rsid w:val="00CA11BF"/>
    <w:rsid w:val="00CA14C2"/>
    <w:rsid w:val="00CA157D"/>
    <w:rsid w:val="00CA1A72"/>
    <w:rsid w:val="00CA1B78"/>
    <w:rsid w:val="00CA1C1C"/>
    <w:rsid w:val="00CA1FAB"/>
    <w:rsid w:val="00CA24F1"/>
    <w:rsid w:val="00CA2702"/>
    <w:rsid w:val="00CA2850"/>
    <w:rsid w:val="00CA2BDF"/>
    <w:rsid w:val="00CA2D9E"/>
    <w:rsid w:val="00CA2E64"/>
    <w:rsid w:val="00CA3240"/>
    <w:rsid w:val="00CA32CA"/>
    <w:rsid w:val="00CA360A"/>
    <w:rsid w:val="00CA363F"/>
    <w:rsid w:val="00CA36F8"/>
    <w:rsid w:val="00CA37FA"/>
    <w:rsid w:val="00CA3E05"/>
    <w:rsid w:val="00CA3E19"/>
    <w:rsid w:val="00CA4007"/>
    <w:rsid w:val="00CA419E"/>
    <w:rsid w:val="00CA475C"/>
    <w:rsid w:val="00CA4899"/>
    <w:rsid w:val="00CA4DB8"/>
    <w:rsid w:val="00CA50B3"/>
    <w:rsid w:val="00CA55E2"/>
    <w:rsid w:val="00CA583D"/>
    <w:rsid w:val="00CA5903"/>
    <w:rsid w:val="00CA5DFE"/>
    <w:rsid w:val="00CA6218"/>
    <w:rsid w:val="00CA65AE"/>
    <w:rsid w:val="00CA770C"/>
    <w:rsid w:val="00CA77D5"/>
    <w:rsid w:val="00CA78E4"/>
    <w:rsid w:val="00CA7942"/>
    <w:rsid w:val="00CA7A6A"/>
    <w:rsid w:val="00CA7A6F"/>
    <w:rsid w:val="00CB00F3"/>
    <w:rsid w:val="00CB05F7"/>
    <w:rsid w:val="00CB0B31"/>
    <w:rsid w:val="00CB0D8D"/>
    <w:rsid w:val="00CB11DE"/>
    <w:rsid w:val="00CB1446"/>
    <w:rsid w:val="00CB151B"/>
    <w:rsid w:val="00CB165D"/>
    <w:rsid w:val="00CB183D"/>
    <w:rsid w:val="00CB1896"/>
    <w:rsid w:val="00CB1AB2"/>
    <w:rsid w:val="00CB1B61"/>
    <w:rsid w:val="00CB1BB6"/>
    <w:rsid w:val="00CB1D8D"/>
    <w:rsid w:val="00CB2093"/>
    <w:rsid w:val="00CB2304"/>
    <w:rsid w:val="00CB241A"/>
    <w:rsid w:val="00CB2938"/>
    <w:rsid w:val="00CB2CD1"/>
    <w:rsid w:val="00CB31FB"/>
    <w:rsid w:val="00CB32F7"/>
    <w:rsid w:val="00CB355E"/>
    <w:rsid w:val="00CB373F"/>
    <w:rsid w:val="00CB375B"/>
    <w:rsid w:val="00CB3950"/>
    <w:rsid w:val="00CB3D74"/>
    <w:rsid w:val="00CB41C4"/>
    <w:rsid w:val="00CB4340"/>
    <w:rsid w:val="00CB4657"/>
    <w:rsid w:val="00CB4854"/>
    <w:rsid w:val="00CB496B"/>
    <w:rsid w:val="00CB4BEB"/>
    <w:rsid w:val="00CB57BB"/>
    <w:rsid w:val="00CB585B"/>
    <w:rsid w:val="00CB60EB"/>
    <w:rsid w:val="00CB6DC5"/>
    <w:rsid w:val="00CB7623"/>
    <w:rsid w:val="00CB782C"/>
    <w:rsid w:val="00CC0561"/>
    <w:rsid w:val="00CC0758"/>
    <w:rsid w:val="00CC0B2B"/>
    <w:rsid w:val="00CC0BE8"/>
    <w:rsid w:val="00CC10BE"/>
    <w:rsid w:val="00CC113E"/>
    <w:rsid w:val="00CC16E6"/>
    <w:rsid w:val="00CC1910"/>
    <w:rsid w:val="00CC1A56"/>
    <w:rsid w:val="00CC27B1"/>
    <w:rsid w:val="00CC2CFD"/>
    <w:rsid w:val="00CC2E2F"/>
    <w:rsid w:val="00CC3309"/>
    <w:rsid w:val="00CC331B"/>
    <w:rsid w:val="00CC349C"/>
    <w:rsid w:val="00CC3B4D"/>
    <w:rsid w:val="00CC46B4"/>
    <w:rsid w:val="00CC499B"/>
    <w:rsid w:val="00CC4D92"/>
    <w:rsid w:val="00CC4FD3"/>
    <w:rsid w:val="00CC50BF"/>
    <w:rsid w:val="00CC545D"/>
    <w:rsid w:val="00CC54A8"/>
    <w:rsid w:val="00CC580D"/>
    <w:rsid w:val="00CC5A1B"/>
    <w:rsid w:val="00CC5A2D"/>
    <w:rsid w:val="00CC5C20"/>
    <w:rsid w:val="00CC61A6"/>
    <w:rsid w:val="00CC61FB"/>
    <w:rsid w:val="00CC6307"/>
    <w:rsid w:val="00CC6A73"/>
    <w:rsid w:val="00CC6B61"/>
    <w:rsid w:val="00CC6CAF"/>
    <w:rsid w:val="00CC6DB6"/>
    <w:rsid w:val="00CC6E2B"/>
    <w:rsid w:val="00CC6EE1"/>
    <w:rsid w:val="00CC6F97"/>
    <w:rsid w:val="00CC7167"/>
    <w:rsid w:val="00CC7285"/>
    <w:rsid w:val="00CC74C9"/>
    <w:rsid w:val="00CC76CF"/>
    <w:rsid w:val="00CC79F5"/>
    <w:rsid w:val="00CC7F9B"/>
    <w:rsid w:val="00CD009E"/>
    <w:rsid w:val="00CD0242"/>
    <w:rsid w:val="00CD0391"/>
    <w:rsid w:val="00CD0855"/>
    <w:rsid w:val="00CD0C53"/>
    <w:rsid w:val="00CD15BD"/>
    <w:rsid w:val="00CD28D5"/>
    <w:rsid w:val="00CD2938"/>
    <w:rsid w:val="00CD2AC5"/>
    <w:rsid w:val="00CD2B30"/>
    <w:rsid w:val="00CD33C0"/>
    <w:rsid w:val="00CD3435"/>
    <w:rsid w:val="00CD35DA"/>
    <w:rsid w:val="00CD39C0"/>
    <w:rsid w:val="00CD3C3B"/>
    <w:rsid w:val="00CD41A3"/>
    <w:rsid w:val="00CD443F"/>
    <w:rsid w:val="00CD444F"/>
    <w:rsid w:val="00CD458F"/>
    <w:rsid w:val="00CD4D88"/>
    <w:rsid w:val="00CD4EFC"/>
    <w:rsid w:val="00CD4F64"/>
    <w:rsid w:val="00CD517C"/>
    <w:rsid w:val="00CD5242"/>
    <w:rsid w:val="00CD5C24"/>
    <w:rsid w:val="00CD6087"/>
    <w:rsid w:val="00CD6176"/>
    <w:rsid w:val="00CD6193"/>
    <w:rsid w:val="00CD7031"/>
    <w:rsid w:val="00CD73F1"/>
    <w:rsid w:val="00CD76D5"/>
    <w:rsid w:val="00CD7A29"/>
    <w:rsid w:val="00CE01D0"/>
    <w:rsid w:val="00CE06C8"/>
    <w:rsid w:val="00CE08AF"/>
    <w:rsid w:val="00CE0A91"/>
    <w:rsid w:val="00CE0DAC"/>
    <w:rsid w:val="00CE0FD0"/>
    <w:rsid w:val="00CE1009"/>
    <w:rsid w:val="00CE1C3E"/>
    <w:rsid w:val="00CE1D1C"/>
    <w:rsid w:val="00CE2240"/>
    <w:rsid w:val="00CE2902"/>
    <w:rsid w:val="00CE29B3"/>
    <w:rsid w:val="00CE2ECD"/>
    <w:rsid w:val="00CE30FB"/>
    <w:rsid w:val="00CE3180"/>
    <w:rsid w:val="00CE39BE"/>
    <w:rsid w:val="00CE3B6E"/>
    <w:rsid w:val="00CE3F61"/>
    <w:rsid w:val="00CE3FC9"/>
    <w:rsid w:val="00CE41A2"/>
    <w:rsid w:val="00CE432A"/>
    <w:rsid w:val="00CE4561"/>
    <w:rsid w:val="00CE4624"/>
    <w:rsid w:val="00CE4C70"/>
    <w:rsid w:val="00CE4DE2"/>
    <w:rsid w:val="00CE4E61"/>
    <w:rsid w:val="00CE56C8"/>
    <w:rsid w:val="00CE5DBC"/>
    <w:rsid w:val="00CE5F4C"/>
    <w:rsid w:val="00CE64EC"/>
    <w:rsid w:val="00CE656D"/>
    <w:rsid w:val="00CE6B9D"/>
    <w:rsid w:val="00CE7216"/>
    <w:rsid w:val="00CE7558"/>
    <w:rsid w:val="00CE7735"/>
    <w:rsid w:val="00CE7969"/>
    <w:rsid w:val="00CE7BA6"/>
    <w:rsid w:val="00CE7D59"/>
    <w:rsid w:val="00CE7EEC"/>
    <w:rsid w:val="00CF01A2"/>
    <w:rsid w:val="00CF0466"/>
    <w:rsid w:val="00CF046A"/>
    <w:rsid w:val="00CF04E8"/>
    <w:rsid w:val="00CF0E31"/>
    <w:rsid w:val="00CF12C6"/>
    <w:rsid w:val="00CF135A"/>
    <w:rsid w:val="00CF15F4"/>
    <w:rsid w:val="00CF1AD4"/>
    <w:rsid w:val="00CF1DB3"/>
    <w:rsid w:val="00CF1F27"/>
    <w:rsid w:val="00CF1FF3"/>
    <w:rsid w:val="00CF22F7"/>
    <w:rsid w:val="00CF343E"/>
    <w:rsid w:val="00CF3554"/>
    <w:rsid w:val="00CF35DB"/>
    <w:rsid w:val="00CF38F3"/>
    <w:rsid w:val="00CF3CEE"/>
    <w:rsid w:val="00CF3E9F"/>
    <w:rsid w:val="00CF452B"/>
    <w:rsid w:val="00CF4551"/>
    <w:rsid w:val="00CF4573"/>
    <w:rsid w:val="00CF4817"/>
    <w:rsid w:val="00CF4BE5"/>
    <w:rsid w:val="00CF4FC3"/>
    <w:rsid w:val="00CF4FDA"/>
    <w:rsid w:val="00CF5387"/>
    <w:rsid w:val="00CF541C"/>
    <w:rsid w:val="00CF5529"/>
    <w:rsid w:val="00CF5DEC"/>
    <w:rsid w:val="00CF6021"/>
    <w:rsid w:val="00CF6518"/>
    <w:rsid w:val="00CF6906"/>
    <w:rsid w:val="00CF6BCF"/>
    <w:rsid w:val="00CF700F"/>
    <w:rsid w:val="00CF713A"/>
    <w:rsid w:val="00CF7257"/>
    <w:rsid w:val="00CF784D"/>
    <w:rsid w:val="00CF7DDA"/>
    <w:rsid w:val="00CF7E00"/>
    <w:rsid w:val="00CF7E42"/>
    <w:rsid w:val="00CF7F4A"/>
    <w:rsid w:val="00D0013D"/>
    <w:rsid w:val="00D00193"/>
    <w:rsid w:val="00D006C0"/>
    <w:rsid w:val="00D009F0"/>
    <w:rsid w:val="00D00ABE"/>
    <w:rsid w:val="00D00F98"/>
    <w:rsid w:val="00D01122"/>
    <w:rsid w:val="00D0128C"/>
    <w:rsid w:val="00D016F6"/>
    <w:rsid w:val="00D0191B"/>
    <w:rsid w:val="00D02593"/>
    <w:rsid w:val="00D02945"/>
    <w:rsid w:val="00D02B90"/>
    <w:rsid w:val="00D02D28"/>
    <w:rsid w:val="00D02FD3"/>
    <w:rsid w:val="00D03177"/>
    <w:rsid w:val="00D034F9"/>
    <w:rsid w:val="00D03A8C"/>
    <w:rsid w:val="00D03AA6"/>
    <w:rsid w:val="00D03C5A"/>
    <w:rsid w:val="00D03F1C"/>
    <w:rsid w:val="00D04258"/>
    <w:rsid w:val="00D043C8"/>
    <w:rsid w:val="00D049B4"/>
    <w:rsid w:val="00D04B6D"/>
    <w:rsid w:val="00D05304"/>
    <w:rsid w:val="00D05323"/>
    <w:rsid w:val="00D053A2"/>
    <w:rsid w:val="00D0551D"/>
    <w:rsid w:val="00D05CDF"/>
    <w:rsid w:val="00D06441"/>
    <w:rsid w:val="00D06990"/>
    <w:rsid w:val="00D06A5D"/>
    <w:rsid w:val="00D06CB6"/>
    <w:rsid w:val="00D071D9"/>
    <w:rsid w:val="00D078BB"/>
    <w:rsid w:val="00D0798E"/>
    <w:rsid w:val="00D07F8D"/>
    <w:rsid w:val="00D07FB5"/>
    <w:rsid w:val="00D10420"/>
    <w:rsid w:val="00D10482"/>
    <w:rsid w:val="00D107CC"/>
    <w:rsid w:val="00D1080C"/>
    <w:rsid w:val="00D108B0"/>
    <w:rsid w:val="00D108EA"/>
    <w:rsid w:val="00D10AE3"/>
    <w:rsid w:val="00D10AF9"/>
    <w:rsid w:val="00D10C7E"/>
    <w:rsid w:val="00D10C97"/>
    <w:rsid w:val="00D110D7"/>
    <w:rsid w:val="00D11242"/>
    <w:rsid w:val="00D113DD"/>
    <w:rsid w:val="00D113F6"/>
    <w:rsid w:val="00D11721"/>
    <w:rsid w:val="00D11768"/>
    <w:rsid w:val="00D11B01"/>
    <w:rsid w:val="00D1202E"/>
    <w:rsid w:val="00D12068"/>
    <w:rsid w:val="00D12286"/>
    <w:rsid w:val="00D1265A"/>
    <w:rsid w:val="00D12815"/>
    <w:rsid w:val="00D1306D"/>
    <w:rsid w:val="00D130DD"/>
    <w:rsid w:val="00D131B2"/>
    <w:rsid w:val="00D13AF9"/>
    <w:rsid w:val="00D13E9F"/>
    <w:rsid w:val="00D1413E"/>
    <w:rsid w:val="00D143F0"/>
    <w:rsid w:val="00D14424"/>
    <w:rsid w:val="00D14673"/>
    <w:rsid w:val="00D14723"/>
    <w:rsid w:val="00D14B93"/>
    <w:rsid w:val="00D14D15"/>
    <w:rsid w:val="00D14D56"/>
    <w:rsid w:val="00D14E3E"/>
    <w:rsid w:val="00D14F81"/>
    <w:rsid w:val="00D15245"/>
    <w:rsid w:val="00D153DB"/>
    <w:rsid w:val="00D15DF3"/>
    <w:rsid w:val="00D15F40"/>
    <w:rsid w:val="00D1633B"/>
    <w:rsid w:val="00D16A3B"/>
    <w:rsid w:val="00D16B5F"/>
    <w:rsid w:val="00D171DC"/>
    <w:rsid w:val="00D17552"/>
    <w:rsid w:val="00D17CCA"/>
    <w:rsid w:val="00D206D8"/>
    <w:rsid w:val="00D20C55"/>
    <w:rsid w:val="00D21829"/>
    <w:rsid w:val="00D2195E"/>
    <w:rsid w:val="00D21AD8"/>
    <w:rsid w:val="00D21B1B"/>
    <w:rsid w:val="00D21CCD"/>
    <w:rsid w:val="00D226A8"/>
    <w:rsid w:val="00D226B9"/>
    <w:rsid w:val="00D22A19"/>
    <w:rsid w:val="00D22C0F"/>
    <w:rsid w:val="00D22EC8"/>
    <w:rsid w:val="00D2323A"/>
    <w:rsid w:val="00D2358C"/>
    <w:rsid w:val="00D23735"/>
    <w:rsid w:val="00D245EB"/>
    <w:rsid w:val="00D24681"/>
    <w:rsid w:val="00D250E7"/>
    <w:rsid w:val="00D25710"/>
    <w:rsid w:val="00D25B9B"/>
    <w:rsid w:val="00D25CA1"/>
    <w:rsid w:val="00D25EE4"/>
    <w:rsid w:val="00D260C9"/>
    <w:rsid w:val="00D26125"/>
    <w:rsid w:val="00D26950"/>
    <w:rsid w:val="00D27292"/>
    <w:rsid w:val="00D27612"/>
    <w:rsid w:val="00D27685"/>
    <w:rsid w:val="00D278F1"/>
    <w:rsid w:val="00D27DB9"/>
    <w:rsid w:val="00D30936"/>
    <w:rsid w:val="00D30CE7"/>
    <w:rsid w:val="00D310EC"/>
    <w:rsid w:val="00D314EE"/>
    <w:rsid w:val="00D316D3"/>
    <w:rsid w:val="00D31B8A"/>
    <w:rsid w:val="00D31D9D"/>
    <w:rsid w:val="00D32337"/>
    <w:rsid w:val="00D32683"/>
    <w:rsid w:val="00D328C9"/>
    <w:rsid w:val="00D32D04"/>
    <w:rsid w:val="00D331EA"/>
    <w:rsid w:val="00D3347C"/>
    <w:rsid w:val="00D340EA"/>
    <w:rsid w:val="00D342F7"/>
    <w:rsid w:val="00D3434C"/>
    <w:rsid w:val="00D344D1"/>
    <w:rsid w:val="00D34920"/>
    <w:rsid w:val="00D34A3F"/>
    <w:rsid w:val="00D34A73"/>
    <w:rsid w:val="00D352C6"/>
    <w:rsid w:val="00D35529"/>
    <w:rsid w:val="00D35569"/>
    <w:rsid w:val="00D3559B"/>
    <w:rsid w:val="00D35621"/>
    <w:rsid w:val="00D3607C"/>
    <w:rsid w:val="00D36235"/>
    <w:rsid w:val="00D364B6"/>
    <w:rsid w:val="00D366D8"/>
    <w:rsid w:val="00D368EA"/>
    <w:rsid w:val="00D368F3"/>
    <w:rsid w:val="00D36BF7"/>
    <w:rsid w:val="00D36DC4"/>
    <w:rsid w:val="00D36EC7"/>
    <w:rsid w:val="00D37775"/>
    <w:rsid w:val="00D37882"/>
    <w:rsid w:val="00D37D40"/>
    <w:rsid w:val="00D37E0C"/>
    <w:rsid w:val="00D37F02"/>
    <w:rsid w:val="00D402AE"/>
    <w:rsid w:val="00D40558"/>
    <w:rsid w:val="00D41049"/>
    <w:rsid w:val="00D41668"/>
    <w:rsid w:val="00D41677"/>
    <w:rsid w:val="00D41D5D"/>
    <w:rsid w:val="00D41D78"/>
    <w:rsid w:val="00D41FF4"/>
    <w:rsid w:val="00D42C31"/>
    <w:rsid w:val="00D42EEC"/>
    <w:rsid w:val="00D433C0"/>
    <w:rsid w:val="00D433EA"/>
    <w:rsid w:val="00D43D7B"/>
    <w:rsid w:val="00D440B6"/>
    <w:rsid w:val="00D441C5"/>
    <w:rsid w:val="00D442F8"/>
    <w:rsid w:val="00D448D3"/>
    <w:rsid w:val="00D44B20"/>
    <w:rsid w:val="00D44CC7"/>
    <w:rsid w:val="00D4530D"/>
    <w:rsid w:val="00D454D8"/>
    <w:rsid w:val="00D459AE"/>
    <w:rsid w:val="00D45A08"/>
    <w:rsid w:val="00D45E1E"/>
    <w:rsid w:val="00D45FA4"/>
    <w:rsid w:val="00D468D3"/>
    <w:rsid w:val="00D46C1F"/>
    <w:rsid w:val="00D46ED4"/>
    <w:rsid w:val="00D47125"/>
    <w:rsid w:val="00D472F5"/>
    <w:rsid w:val="00D479BF"/>
    <w:rsid w:val="00D47AD0"/>
    <w:rsid w:val="00D47B02"/>
    <w:rsid w:val="00D47C06"/>
    <w:rsid w:val="00D50241"/>
    <w:rsid w:val="00D50307"/>
    <w:rsid w:val="00D50760"/>
    <w:rsid w:val="00D50AE8"/>
    <w:rsid w:val="00D50B53"/>
    <w:rsid w:val="00D50FCB"/>
    <w:rsid w:val="00D5127A"/>
    <w:rsid w:val="00D51E99"/>
    <w:rsid w:val="00D51F77"/>
    <w:rsid w:val="00D51F99"/>
    <w:rsid w:val="00D52F2B"/>
    <w:rsid w:val="00D53133"/>
    <w:rsid w:val="00D534E0"/>
    <w:rsid w:val="00D53865"/>
    <w:rsid w:val="00D53966"/>
    <w:rsid w:val="00D53C85"/>
    <w:rsid w:val="00D5421C"/>
    <w:rsid w:val="00D54538"/>
    <w:rsid w:val="00D54F91"/>
    <w:rsid w:val="00D54FA8"/>
    <w:rsid w:val="00D54FB5"/>
    <w:rsid w:val="00D55070"/>
    <w:rsid w:val="00D55394"/>
    <w:rsid w:val="00D55408"/>
    <w:rsid w:val="00D55425"/>
    <w:rsid w:val="00D5553D"/>
    <w:rsid w:val="00D55808"/>
    <w:rsid w:val="00D55883"/>
    <w:rsid w:val="00D55AE2"/>
    <w:rsid w:val="00D55BA0"/>
    <w:rsid w:val="00D55BE4"/>
    <w:rsid w:val="00D5601C"/>
    <w:rsid w:val="00D560B3"/>
    <w:rsid w:val="00D5647F"/>
    <w:rsid w:val="00D566F0"/>
    <w:rsid w:val="00D568EB"/>
    <w:rsid w:val="00D56AC7"/>
    <w:rsid w:val="00D56DB2"/>
    <w:rsid w:val="00D56F72"/>
    <w:rsid w:val="00D574DF"/>
    <w:rsid w:val="00D57887"/>
    <w:rsid w:val="00D57B73"/>
    <w:rsid w:val="00D57D19"/>
    <w:rsid w:val="00D57E39"/>
    <w:rsid w:val="00D60205"/>
    <w:rsid w:val="00D602CA"/>
    <w:rsid w:val="00D60CD6"/>
    <w:rsid w:val="00D60FC0"/>
    <w:rsid w:val="00D612C4"/>
    <w:rsid w:val="00D61317"/>
    <w:rsid w:val="00D61417"/>
    <w:rsid w:val="00D61819"/>
    <w:rsid w:val="00D6246A"/>
    <w:rsid w:val="00D6272A"/>
    <w:rsid w:val="00D627BF"/>
    <w:rsid w:val="00D628A9"/>
    <w:rsid w:val="00D628D5"/>
    <w:rsid w:val="00D62EF7"/>
    <w:rsid w:val="00D630D2"/>
    <w:rsid w:val="00D63183"/>
    <w:rsid w:val="00D6377F"/>
    <w:rsid w:val="00D63C5F"/>
    <w:rsid w:val="00D6416E"/>
    <w:rsid w:val="00D64433"/>
    <w:rsid w:val="00D64466"/>
    <w:rsid w:val="00D64594"/>
    <w:rsid w:val="00D645E8"/>
    <w:rsid w:val="00D6463B"/>
    <w:rsid w:val="00D64981"/>
    <w:rsid w:val="00D64E09"/>
    <w:rsid w:val="00D64EDA"/>
    <w:rsid w:val="00D6521E"/>
    <w:rsid w:val="00D65540"/>
    <w:rsid w:val="00D65687"/>
    <w:rsid w:val="00D659A9"/>
    <w:rsid w:val="00D65EE6"/>
    <w:rsid w:val="00D65FCD"/>
    <w:rsid w:val="00D6613A"/>
    <w:rsid w:val="00D66704"/>
    <w:rsid w:val="00D66CAF"/>
    <w:rsid w:val="00D6700C"/>
    <w:rsid w:val="00D67151"/>
    <w:rsid w:val="00D6719C"/>
    <w:rsid w:val="00D6750A"/>
    <w:rsid w:val="00D6755B"/>
    <w:rsid w:val="00D67676"/>
    <w:rsid w:val="00D67AE4"/>
    <w:rsid w:val="00D70090"/>
    <w:rsid w:val="00D705B9"/>
    <w:rsid w:val="00D707D2"/>
    <w:rsid w:val="00D71D26"/>
    <w:rsid w:val="00D71D5C"/>
    <w:rsid w:val="00D71DAD"/>
    <w:rsid w:val="00D71DAF"/>
    <w:rsid w:val="00D72643"/>
    <w:rsid w:val="00D729B1"/>
    <w:rsid w:val="00D72EBA"/>
    <w:rsid w:val="00D73243"/>
    <w:rsid w:val="00D73746"/>
    <w:rsid w:val="00D739C0"/>
    <w:rsid w:val="00D74232"/>
    <w:rsid w:val="00D74291"/>
    <w:rsid w:val="00D74AC0"/>
    <w:rsid w:val="00D74F29"/>
    <w:rsid w:val="00D753C7"/>
    <w:rsid w:val="00D75B4B"/>
    <w:rsid w:val="00D76590"/>
    <w:rsid w:val="00D76679"/>
    <w:rsid w:val="00D76732"/>
    <w:rsid w:val="00D76AC0"/>
    <w:rsid w:val="00D76B11"/>
    <w:rsid w:val="00D77005"/>
    <w:rsid w:val="00D7731E"/>
    <w:rsid w:val="00D773E9"/>
    <w:rsid w:val="00D77706"/>
    <w:rsid w:val="00D77884"/>
    <w:rsid w:val="00D778F5"/>
    <w:rsid w:val="00D77BB4"/>
    <w:rsid w:val="00D8002E"/>
    <w:rsid w:val="00D801F4"/>
    <w:rsid w:val="00D80405"/>
    <w:rsid w:val="00D80882"/>
    <w:rsid w:val="00D80B6A"/>
    <w:rsid w:val="00D80F5D"/>
    <w:rsid w:val="00D810AE"/>
    <w:rsid w:val="00D81274"/>
    <w:rsid w:val="00D816DF"/>
    <w:rsid w:val="00D8227E"/>
    <w:rsid w:val="00D822EC"/>
    <w:rsid w:val="00D824BD"/>
    <w:rsid w:val="00D828E7"/>
    <w:rsid w:val="00D82935"/>
    <w:rsid w:val="00D8297D"/>
    <w:rsid w:val="00D82D5A"/>
    <w:rsid w:val="00D82F1E"/>
    <w:rsid w:val="00D836E4"/>
    <w:rsid w:val="00D83711"/>
    <w:rsid w:val="00D83B8B"/>
    <w:rsid w:val="00D83E56"/>
    <w:rsid w:val="00D84325"/>
    <w:rsid w:val="00D84650"/>
    <w:rsid w:val="00D84737"/>
    <w:rsid w:val="00D848A8"/>
    <w:rsid w:val="00D8540E"/>
    <w:rsid w:val="00D85469"/>
    <w:rsid w:val="00D856A8"/>
    <w:rsid w:val="00D85874"/>
    <w:rsid w:val="00D85986"/>
    <w:rsid w:val="00D85C64"/>
    <w:rsid w:val="00D85D62"/>
    <w:rsid w:val="00D863A7"/>
    <w:rsid w:val="00D8648B"/>
    <w:rsid w:val="00D8656D"/>
    <w:rsid w:val="00D86835"/>
    <w:rsid w:val="00D86978"/>
    <w:rsid w:val="00D873D2"/>
    <w:rsid w:val="00D87CD1"/>
    <w:rsid w:val="00D908CF"/>
    <w:rsid w:val="00D911CC"/>
    <w:rsid w:val="00D919D9"/>
    <w:rsid w:val="00D922DB"/>
    <w:rsid w:val="00D92691"/>
    <w:rsid w:val="00D9290C"/>
    <w:rsid w:val="00D92A37"/>
    <w:rsid w:val="00D92B82"/>
    <w:rsid w:val="00D92BD9"/>
    <w:rsid w:val="00D92D18"/>
    <w:rsid w:val="00D92FDD"/>
    <w:rsid w:val="00D930BE"/>
    <w:rsid w:val="00D9350C"/>
    <w:rsid w:val="00D93634"/>
    <w:rsid w:val="00D93D80"/>
    <w:rsid w:val="00D93E02"/>
    <w:rsid w:val="00D93F7C"/>
    <w:rsid w:val="00D94305"/>
    <w:rsid w:val="00D94457"/>
    <w:rsid w:val="00D945BC"/>
    <w:rsid w:val="00D94EEB"/>
    <w:rsid w:val="00D9651A"/>
    <w:rsid w:val="00D9655D"/>
    <w:rsid w:val="00D96767"/>
    <w:rsid w:val="00D9678F"/>
    <w:rsid w:val="00D96866"/>
    <w:rsid w:val="00D97261"/>
    <w:rsid w:val="00D97300"/>
    <w:rsid w:val="00D97739"/>
    <w:rsid w:val="00D97D2C"/>
    <w:rsid w:val="00D97DE5"/>
    <w:rsid w:val="00D97EC8"/>
    <w:rsid w:val="00DA0131"/>
    <w:rsid w:val="00DA09E6"/>
    <w:rsid w:val="00DA0B03"/>
    <w:rsid w:val="00DA0BD0"/>
    <w:rsid w:val="00DA0D74"/>
    <w:rsid w:val="00DA11CE"/>
    <w:rsid w:val="00DA14BD"/>
    <w:rsid w:val="00DA17D0"/>
    <w:rsid w:val="00DA186B"/>
    <w:rsid w:val="00DA1871"/>
    <w:rsid w:val="00DA19FB"/>
    <w:rsid w:val="00DA201C"/>
    <w:rsid w:val="00DA2071"/>
    <w:rsid w:val="00DA2151"/>
    <w:rsid w:val="00DA2571"/>
    <w:rsid w:val="00DA27CD"/>
    <w:rsid w:val="00DA2887"/>
    <w:rsid w:val="00DA288F"/>
    <w:rsid w:val="00DA2976"/>
    <w:rsid w:val="00DA2C2D"/>
    <w:rsid w:val="00DA2DF8"/>
    <w:rsid w:val="00DA3178"/>
    <w:rsid w:val="00DA3485"/>
    <w:rsid w:val="00DA3520"/>
    <w:rsid w:val="00DA3C98"/>
    <w:rsid w:val="00DA3D7F"/>
    <w:rsid w:val="00DA40B1"/>
    <w:rsid w:val="00DA435E"/>
    <w:rsid w:val="00DA45C1"/>
    <w:rsid w:val="00DA4876"/>
    <w:rsid w:val="00DA498A"/>
    <w:rsid w:val="00DA4A7D"/>
    <w:rsid w:val="00DA4C6D"/>
    <w:rsid w:val="00DA4E2C"/>
    <w:rsid w:val="00DA4F1F"/>
    <w:rsid w:val="00DA51F7"/>
    <w:rsid w:val="00DA54EC"/>
    <w:rsid w:val="00DA583E"/>
    <w:rsid w:val="00DA5A8F"/>
    <w:rsid w:val="00DA5FA1"/>
    <w:rsid w:val="00DA65F0"/>
    <w:rsid w:val="00DA7142"/>
    <w:rsid w:val="00DA776B"/>
    <w:rsid w:val="00DA792C"/>
    <w:rsid w:val="00DB04E1"/>
    <w:rsid w:val="00DB078D"/>
    <w:rsid w:val="00DB0F08"/>
    <w:rsid w:val="00DB0FBF"/>
    <w:rsid w:val="00DB11A1"/>
    <w:rsid w:val="00DB157C"/>
    <w:rsid w:val="00DB194E"/>
    <w:rsid w:val="00DB1A95"/>
    <w:rsid w:val="00DB1C5A"/>
    <w:rsid w:val="00DB1EF2"/>
    <w:rsid w:val="00DB26E0"/>
    <w:rsid w:val="00DB29B9"/>
    <w:rsid w:val="00DB3111"/>
    <w:rsid w:val="00DB3436"/>
    <w:rsid w:val="00DB3476"/>
    <w:rsid w:val="00DB3998"/>
    <w:rsid w:val="00DB39B4"/>
    <w:rsid w:val="00DB3D8E"/>
    <w:rsid w:val="00DB4489"/>
    <w:rsid w:val="00DB48AA"/>
    <w:rsid w:val="00DB4D5D"/>
    <w:rsid w:val="00DB5357"/>
    <w:rsid w:val="00DB538B"/>
    <w:rsid w:val="00DB5657"/>
    <w:rsid w:val="00DB58E7"/>
    <w:rsid w:val="00DB5971"/>
    <w:rsid w:val="00DB59D5"/>
    <w:rsid w:val="00DB5C33"/>
    <w:rsid w:val="00DB5CBD"/>
    <w:rsid w:val="00DB5D0B"/>
    <w:rsid w:val="00DB6A36"/>
    <w:rsid w:val="00DB6BC7"/>
    <w:rsid w:val="00DB7337"/>
    <w:rsid w:val="00DB79A4"/>
    <w:rsid w:val="00DB7CEF"/>
    <w:rsid w:val="00DB7D06"/>
    <w:rsid w:val="00DB7F34"/>
    <w:rsid w:val="00DC0081"/>
    <w:rsid w:val="00DC0413"/>
    <w:rsid w:val="00DC0ADA"/>
    <w:rsid w:val="00DC0B03"/>
    <w:rsid w:val="00DC0DCA"/>
    <w:rsid w:val="00DC1124"/>
    <w:rsid w:val="00DC1127"/>
    <w:rsid w:val="00DC1774"/>
    <w:rsid w:val="00DC1B85"/>
    <w:rsid w:val="00DC1BB9"/>
    <w:rsid w:val="00DC1DA4"/>
    <w:rsid w:val="00DC1F90"/>
    <w:rsid w:val="00DC2306"/>
    <w:rsid w:val="00DC2BF9"/>
    <w:rsid w:val="00DC2CAF"/>
    <w:rsid w:val="00DC2D4F"/>
    <w:rsid w:val="00DC2E07"/>
    <w:rsid w:val="00DC2E62"/>
    <w:rsid w:val="00DC2E7B"/>
    <w:rsid w:val="00DC2F14"/>
    <w:rsid w:val="00DC3682"/>
    <w:rsid w:val="00DC38C2"/>
    <w:rsid w:val="00DC4496"/>
    <w:rsid w:val="00DC479C"/>
    <w:rsid w:val="00DC486B"/>
    <w:rsid w:val="00DC4F25"/>
    <w:rsid w:val="00DC54B5"/>
    <w:rsid w:val="00DC5E9F"/>
    <w:rsid w:val="00DC5F86"/>
    <w:rsid w:val="00DC6137"/>
    <w:rsid w:val="00DC62DA"/>
    <w:rsid w:val="00DC65B3"/>
    <w:rsid w:val="00DC6770"/>
    <w:rsid w:val="00DC6E2B"/>
    <w:rsid w:val="00DC6EBF"/>
    <w:rsid w:val="00DC7195"/>
    <w:rsid w:val="00DC73BD"/>
    <w:rsid w:val="00DC746E"/>
    <w:rsid w:val="00DC7A0A"/>
    <w:rsid w:val="00DD029F"/>
    <w:rsid w:val="00DD0ADC"/>
    <w:rsid w:val="00DD0CC4"/>
    <w:rsid w:val="00DD0DB6"/>
    <w:rsid w:val="00DD0F34"/>
    <w:rsid w:val="00DD1106"/>
    <w:rsid w:val="00DD11DB"/>
    <w:rsid w:val="00DD1473"/>
    <w:rsid w:val="00DD19B3"/>
    <w:rsid w:val="00DD1CAB"/>
    <w:rsid w:val="00DD2033"/>
    <w:rsid w:val="00DD22D9"/>
    <w:rsid w:val="00DD262F"/>
    <w:rsid w:val="00DD26F4"/>
    <w:rsid w:val="00DD2788"/>
    <w:rsid w:val="00DD28BC"/>
    <w:rsid w:val="00DD2970"/>
    <w:rsid w:val="00DD2C6F"/>
    <w:rsid w:val="00DD2D83"/>
    <w:rsid w:val="00DD2F15"/>
    <w:rsid w:val="00DD3264"/>
    <w:rsid w:val="00DD3483"/>
    <w:rsid w:val="00DD46A1"/>
    <w:rsid w:val="00DD46DF"/>
    <w:rsid w:val="00DD4986"/>
    <w:rsid w:val="00DD4D86"/>
    <w:rsid w:val="00DD5CEE"/>
    <w:rsid w:val="00DD5D0E"/>
    <w:rsid w:val="00DD5FAA"/>
    <w:rsid w:val="00DD6670"/>
    <w:rsid w:val="00DD682B"/>
    <w:rsid w:val="00DD6A45"/>
    <w:rsid w:val="00DD715E"/>
    <w:rsid w:val="00DD7F4C"/>
    <w:rsid w:val="00DE02A4"/>
    <w:rsid w:val="00DE04C9"/>
    <w:rsid w:val="00DE054B"/>
    <w:rsid w:val="00DE05D1"/>
    <w:rsid w:val="00DE0922"/>
    <w:rsid w:val="00DE0A11"/>
    <w:rsid w:val="00DE0A77"/>
    <w:rsid w:val="00DE187E"/>
    <w:rsid w:val="00DE1894"/>
    <w:rsid w:val="00DE2519"/>
    <w:rsid w:val="00DE2696"/>
    <w:rsid w:val="00DE279B"/>
    <w:rsid w:val="00DE27C8"/>
    <w:rsid w:val="00DE2A11"/>
    <w:rsid w:val="00DE2CB3"/>
    <w:rsid w:val="00DE2D14"/>
    <w:rsid w:val="00DE2D82"/>
    <w:rsid w:val="00DE2E6D"/>
    <w:rsid w:val="00DE2EED"/>
    <w:rsid w:val="00DE33EA"/>
    <w:rsid w:val="00DE3937"/>
    <w:rsid w:val="00DE40DA"/>
    <w:rsid w:val="00DE44D3"/>
    <w:rsid w:val="00DE4648"/>
    <w:rsid w:val="00DE477C"/>
    <w:rsid w:val="00DE4B89"/>
    <w:rsid w:val="00DE4E3C"/>
    <w:rsid w:val="00DE52B9"/>
    <w:rsid w:val="00DE5B69"/>
    <w:rsid w:val="00DE5BB7"/>
    <w:rsid w:val="00DE5D61"/>
    <w:rsid w:val="00DE6271"/>
    <w:rsid w:val="00DE6A34"/>
    <w:rsid w:val="00DE6C11"/>
    <w:rsid w:val="00DE70AC"/>
    <w:rsid w:val="00DE719C"/>
    <w:rsid w:val="00DE7798"/>
    <w:rsid w:val="00DE7E34"/>
    <w:rsid w:val="00DE7F54"/>
    <w:rsid w:val="00DF0128"/>
    <w:rsid w:val="00DF0365"/>
    <w:rsid w:val="00DF076E"/>
    <w:rsid w:val="00DF07A1"/>
    <w:rsid w:val="00DF094B"/>
    <w:rsid w:val="00DF09AE"/>
    <w:rsid w:val="00DF0A18"/>
    <w:rsid w:val="00DF1216"/>
    <w:rsid w:val="00DF1927"/>
    <w:rsid w:val="00DF1FF3"/>
    <w:rsid w:val="00DF2537"/>
    <w:rsid w:val="00DF25B8"/>
    <w:rsid w:val="00DF2B65"/>
    <w:rsid w:val="00DF311D"/>
    <w:rsid w:val="00DF35C0"/>
    <w:rsid w:val="00DF391D"/>
    <w:rsid w:val="00DF3988"/>
    <w:rsid w:val="00DF3ECA"/>
    <w:rsid w:val="00DF3F74"/>
    <w:rsid w:val="00DF44FA"/>
    <w:rsid w:val="00DF45B7"/>
    <w:rsid w:val="00DF460B"/>
    <w:rsid w:val="00DF4796"/>
    <w:rsid w:val="00DF4877"/>
    <w:rsid w:val="00DF55EE"/>
    <w:rsid w:val="00DF59E2"/>
    <w:rsid w:val="00DF5AC9"/>
    <w:rsid w:val="00DF61F6"/>
    <w:rsid w:val="00DF629B"/>
    <w:rsid w:val="00DF651B"/>
    <w:rsid w:val="00DF6775"/>
    <w:rsid w:val="00DF6A17"/>
    <w:rsid w:val="00DF6B28"/>
    <w:rsid w:val="00DF6CFE"/>
    <w:rsid w:val="00DF6D98"/>
    <w:rsid w:val="00DF6DA4"/>
    <w:rsid w:val="00DF6F8F"/>
    <w:rsid w:val="00DF700C"/>
    <w:rsid w:val="00DF708E"/>
    <w:rsid w:val="00DF71E9"/>
    <w:rsid w:val="00DF788B"/>
    <w:rsid w:val="00DF7B65"/>
    <w:rsid w:val="00E001AF"/>
    <w:rsid w:val="00E0061B"/>
    <w:rsid w:val="00E0088C"/>
    <w:rsid w:val="00E0120A"/>
    <w:rsid w:val="00E01484"/>
    <w:rsid w:val="00E015C5"/>
    <w:rsid w:val="00E01B28"/>
    <w:rsid w:val="00E01D1E"/>
    <w:rsid w:val="00E02476"/>
    <w:rsid w:val="00E027F6"/>
    <w:rsid w:val="00E02B44"/>
    <w:rsid w:val="00E02B82"/>
    <w:rsid w:val="00E02E26"/>
    <w:rsid w:val="00E0300E"/>
    <w:rsid w:val="00E032B2"/>
    <w:rsid w:val="00E035D9"/>
    <w:rsid w:val="00E03640"/>
    <w:rsid w:val="00E03DF4"/>
    <w:rsid w:val="00E03EE3"/>
    <w:rsid w:val="00E043E4"/>
    <w:rsid w:val="00E0507B"/>
    <w:rsid w:val="00E050F1"/>
    <w:rsid w:val="00E053EF"/>
    <w:rsid w:val="00E05791"/>
    <w:rsid w:val="00E05B31"/>
    <w:rsid w:val="00E06741"/>
    <w:rsid w:val="00E07217"/>
    <w:rsid w:val="00E07247"/>
    <w:rsid w:val="00E07332"/>
    <w:rsid w:val="00E07871"/>
    <w:rsid w:val="00E07905"/>
    <w:rsid w:val="00E07A8B"/>
    <w:rsid w:val="00E07B1A"/>
    <w:rsid w:val="00E07EB6"/>
    <w:rsid w:val="00E07FDB"/>
    <w:rsid w:val="00E1014B"/>
    <w:rsid w:val="00E10399"/>
    <w:rsid w:val="00E1053B"/>
    <w:rsid w:val="00E1053C"/>
    <w:rsid w:val="00E10A33"/>
    <w:rsid w:val="00E10BE2"/>
    <w:rsid w:val="00E111F4"/>
    <w:rsid w:val="00E112A2"/>
    <w:rsid w:val="00E1134D"/>
    <w:rsid w:val="00E1147E"/>
    <w:rsid w:val="00E114A6"/>
    <w:rsid w:val="00E114E2"/>
    <w:rsid w:val="00E1158F"/>
    <w:rsid w:val="00E12038"/>
    <w:rsid w:val="00E1242D"/>
    <w:rsid w:val="00E1263B"/>
    <w:rsid w:val="00E12861"/>
    <w:rsid w:val="00E12C35"/>
    <w:rsid w:val="00E12F8A"/>
    <w:rsid w:val="00E13670"/>
    <w:rsid w:val="00E138BA"/>
    <w:rsid w:val="00E13A61"/>
    <w:rsid w:val="00E13E86"/>
    <w:rsid w:val="00E14103"/>
    <w:rsid w:val="00E142D0"/>
    <w:rsid w:val="00E1434D"/>
    <w:rsid w:val="00E143F7"/>
    <w:rsid w:val="00E14CF6"/>
    <w:rsid w:val="00E14E81"/>
    <w:rsid w:val="00E14F4F"/>
    <w:rsid w:val="00E14FCE"/>
    <w:rsid w:val="00E1508C"/>
    <w:rsid w:val="00E15195"/>
    <w:rsid w:val="00E152E3"/>
    <w:rsid w:val="00E154ED"/>
    <w:rsid w:val="00E15678"/>
    <w:rsid w:val="00E157DE"/>
    <w:rsid w:val="00E15A2D"/>
    <w:rsid w:val="00E161E1"/>
    <w:rsid w:val="00E16453"/>
    <w:rsid w:val="00E1665E"/>
    <w:rsid w:val="00E167D1"/>
    <w:rsid w:val="00E16A5B"/>
    <w:rsid w:val="00E16B0C"/>
    <w:rsid w:val="00E17583"/>
    <w:rsid w:val="00E175AD"/>
    <w:rsid w:val="00E179A9"/>
    <w:rsid w:val="00E17AEB"/>
    <w:rsid w:val="00E17B68"/>
    <w:rsid w:val="00E17FA3"/>
    <w:rsid w:val="00E2012D"/>
    <w:rsid w:val="00E2039A"/>
    <w:rsid w:val="00E20563"/>
    <w:rsid w:val="00E20D47"/>
    <w:rsid w:val="00E21246"/>
    <w:rsid w:val="00E213FB"/>
    <w:rsid w:val="00E21606"/>
    <w:rsid w:val="00E217F6"/>
    <w:rsid w:val="00E21818"/>
    <w:rsid w:val="00E218C0"/>
    <w:rsid w:val="00E21968"/>
    <w:rsid w:val="00E21B4D"/>
    <w:rsid w:val="00E21BF2"/>
    <w:rsid w:val="00E21C63"/>
    <w:rsid w:val="00E21D36"/>
    <w:rsid w:val="00E21E7A"/>
    <w:rsid w:val="00E22062"/>
    <w:rsid w:val="00E229C0"/>
    <w:rsid w:val="00E229E9"/>
    <w:rsid w:val="00E22A99"/>
    <w:rsid w:val="00E22AAC"/>
    <w:rsid w:val="00E22D3F"/>
    <w:rsid w:val="00E232F9"/>
    <w:rsid w:val="00E236F8"/>
    <w:rsid w:val="00E23956"/>
    <w:rsid w:val="00E23F9F"/>
    <w:rsid w:val="00E24245"/>
    <w:rsid w:val="00E24264"/>
    <w:rsid w:val="00E24765"/>
    <w:rsid w:val="00E2482A"/>
    <w:rsid w:val="00E2487E"/>
    <w:rsid w:val="00E24A17"/>
    <w:rsid w:val="00E24C9B"/>
    <w:rsid w:val="00E25987"/>
    <w:rsid w:val="00E2607C"/>
    <w:rsid w:val="00E263ED"/>
    <w:rsid w:val="00E2655C"/>
    <w:rsid w:val="00E265EC"/>
    <w:rsid w:val="00E26FDB"/>
    <w:rsid w:val="00E272CD"/>
    <w:rsid w:val="00E27CB9"/>
    <w:rsid w:val="00E30196"/>
    <w:rsid w:val="00E301FC"/>
    <w:rsid w:val="00E306F9"/>
    <w:rsid w:val="00E311E3"/>
    <w:rsid w:val="00E312A3"/>
    <w:rsid w:val="00E31807"/>
    <w:rsid w:val="00E31DC9"/>
    <w:rsid w:val="00E31EF7"/>
    <w:rsid w:val="00E31FE4"/>
    <w:rsid w:val="00E32158"/>
    <w:rsid w:val="00E32437"/>
    <w:rsid w:val="00E3250C"/>
    <w:rsid w:val="00E3264D"/>
    <w:rsid w:val="00E327F3"/>
    <w:rsid w:val="00E33BDE"/>
    <w:rsid w:val="00E33D8B"/>
    <w:rsid w:val="00E348CC"/>
    <w:rsid w:val="00E348E1"/>
    <w:rsid w:val="00E34950"/>
    <w:rsid w:val="00E34997"/>
    <w:rsid w:val="00E34A04"/>
    <w:rsid w:val="00E34D5D"/>
    <w:rsid w:val="00E35068"/>
    <w:rsid w:val="00E354FD"/>
    <w:rsid w:val="00E35A40"/>
    <w:rsid w:val="00E35D7A"/>
    <w:rsid w:val="00E35DD7"/>
    <w:rsid w:val="00E35E38"/>
    <w:rsid w:val="00E35EE2"/>
    <w:rsid w:val="00E35F81"/>
    <w:rsid w:val="00E3631B"/>
    <w:rsid w:val="00E36833"/>
    <w:rsid w:val="00E36A42"/>
    <w:rsid w:val="00E36B4B"/>
    <w:rsid w:val="00E36C8C"/>
    <w:rsid w:val="00E36CFC"/>
    <w:rsid w:val="00E371B5"/>
    <w:rsid w:val="00E37971"/>
    <w:rsid w:val="00E4004D"/>
    <w:rsid w:val="00E40525"/>
    <w:rsid w:val="00E40F2C"/>
    <w:rsid w:val="00E4106F"/>
    <w:rsid w:val="00E415AE"/>
    <w:rsid w:val="00E416E1"/>
    <w:rsid w:val="00E41D2B"/>
    <w:rsid w:val="00E42232"/>
    <w:rsid w:val="00E422A0"/>
    <w:rsid w:val="00E4230B"/>
    <w:rsid w:val="00E42EF4"/>
    <w:rsid w:val="00E4303C"/>
    <w:rsid w:val="00E4349D"/>
    <w:rsid w:val="00E4409E"/>
    <w:rsid w:val="00E441AC"/>
    <w:rsid w:val="00E446E4"/>
    <w:rsid w:val="00E44B58"/>
    <w:rsid w:val="00E44FED"/>
    <w:rsid w:val="00E452F4"/>
    <w:rsid w:val="00E45460"/>
    <w:rsid w:val="00E45835"/>
    <w:rsid w:val="00E45861"/>
    <w:rsid w:val="00E459DE"/>
    <w:rsid w:val="00E45A22"/>
    <w:rsid w:val="00E463D3"/>
    <w:rsid w:val="00E46480"/>
    <w:rsid w:val="00E46491"/>
    <w:rsid w:val="00E46870"/>
    <w:rsid w:val="00E46ACA"/>
    <w:rsid w:val="00E46DEF"/>
    <w:rsid w:val="00E46F0E"/>
    <w:rsid w:val="00E47208"/>
    <w:rsid w:val="00E4723C"/>
    <w:rsid w:val="00E4730E"/>
    <w:rsid w:val="00E4761D"/>
    <w:rsid w:val="00E4779C"/>
    <w:rsid w:val="00E47BC8"/>
    <w:rsid w:val="00E47C12"/>
    <w:rsid w:val="00E47E01"/>
    <w:rsid w:val="00E50305"/>
    <w:rsid w:val="00E50709"/>
    <w:rsid w:val="00E5075F"/>
    <w:rsid w:val="00E50A31"/>
    <w:rsid w:val="00E50E1D"/>
    <w:rsid w:val="00E50E2C"/>
    <w:rsid w:val="00E51218"/>
    <w:rsid w:val="00E51F6F"/>
    <w:rsid w:val="00E52013"/>
    <w:rsid w:val="00E52381"/>
    <w:rsid w:val="00E5238A"/>
    <w:rsid w:val="00E5245C"/>
    <w:rsid w:val="00E52746"/>
    <w:rsid w:val="00E5277F"/>
    <w:rsid w:val="00E52BB7"/>
    <w:rsid w:val="00E52CB3"/>
    <w:rsid w:val="00E530A8"/>
    <w:rsid w:val="00E53309"/>
    <w:rsid w:val="00E5330D"/>
    <w:rsid w:val="00E534CE"/>
    <w:rsid w:val="00E53625"/>
    <w:rsid w:val="00E53887"/>
    <w:rsid w:val="00E544B4"/>
    <w:rsid w:val="00E54698"/>
    <w:rsid w:val="00E549A9"/>
    <w:rsid w:val="00E54F9F"/>
    <w:rsid w:val="00E5517C"/>
    <w:rsid w:val="00E552AA"/>
    <w:rsid w:val="00E558B1"/>
    <w:rsid w:val="00E559E2"/>
    <w:rsid w:val="00E55B4A"/>
    <w:rsid w:val="00E55C25"/>
    <w:rsid w:val="00E5622F"/>
    <w:rsid w:val="00E563CF"/>
    <w:rsid w:val="00E5684B"/>
    <w:rsid w:val="00E56898"/>
    <w:rsid w:val="00E56D50"/>
    <w:rsid w:val="00E56ECD"/>
    <w:rsid w:val="00E571A9"/>
    <w:rsid w:val="00E57886"/>
    <w:rsid w:val="00E57BAC"/>
    <w:rsid w:val="00E60558"/>
    <w:rsid w:val="00E60565"/>
    <w:rsid w:val="00E60643"/>
    <w:rsid w:val="00E60651"/>
    <w:rsid w:val="00E6140A"/>
    <w:rsid w:val="00E6171D"/>
    <w:rsid w:val="00E618FC"/>
    <w:rsid w:val="00E61A34"/>
    <w:rsid w:val="00E61CA1"/>
    <w:rsid w:val="00E62169"/>
    <w:rsid w:val="00E62183"/>
    <w:rsid w:val="00E62575"/>
    <w:rsid w:val="00E63255"/>
    <w:rsid w:val="00E6333D"/>
    <w:rsid w:val="00E63436"/>
    <w:rsid w:val="00E63639"/>
    <w:rsid w:val="00E63950"/>
    <w:rsid w:val="00E63A84"/>
    <w:rsid w:val="00E63B65"/>
    <w:rsid w:val="00E63E2E"/>
    <w:rsid w:val="00E64372"/>
    <w:rsid w:val="00E643DC"/>
    <w:rsid w:val="00E64644"/>
    <w:rsid w:val="00E64C14"/>
    <w:rsid w:val="00E64D46"/>
    <w:rsid w:val="00E64D93"/>
    <w:rsid w:val="00E65641"/>
    <w:rsid w:val="00E6568E"/>
    <w:rsid w:val="00E658B0"/>
    <w:rsid w:val="00E65AFF"/>
    <w:rsid w:val="00E65B9C"/>
    <w:rsid w:val="00E6651C"/>
    <w:rsid w:val="00E665AA"/>
    <w:rsid w:val="00E668D5"/>
    <w:rsid w:val="00E66D49"/>
    <w:rsid w:val="00E66DB5"/>
    <w:rsid w:val="00E66EC6"/>
    <w:rsid w:val="00E6716E"/>
    <w:rsid w:val="00E675E5"/>
    <w:rsid w:val="00E67948"/>
    <w:rsid w:val="00E67E3D"/>
    <w:rsid w:val="00E7024B"/>
    <w:rsid w:val="00E70351"/>
    <w:rsid w:val="00E706F6"/>
    <w:rsid w:val="00E70702"/>
    <w:rsid w:val="00E70ADC"/>
    <w:rsid w:val="00E71140"/>
    <w:rsid w:val="00E712BC"/>
    <w:rsid w:val="00E714E3"/>
    <w:rsid w:val="00E71DAF"/>
    <w:rsid w:val="00E71F4B"/>
    <w:rsid w:val="00E723AD"/>
    <w:rsid w:val="00E724E6"/>
    <w:rsid w:val="00E72C82"/>
    <w:rsid w:val="00E72CD8"/>
    <w:rsid w:val="00E72DF6"/>
    <w:rsid w:val="00E72F8B"/>
    <w:rsid w:val="00E73AB1"/>
    <w:rsid w:val="00E73AF4"/>
    <w:rsid w:val="00E73EB6"/>
    <w:rsid w:val="00E741CF"/>
    <w:rsid w:val="00E74205"/>
    <w:rsid w:val="00E74724"/>
    <w:rsid w:val="00E749AC"/>
    <w:rsid w:val="00E74CD2"/>
    <w:rsid w:val="00E74E23"/>
    <w:rsid w:val="00E75998"/>
    <w:rsid w:val="00E763F6"/>
    <w:rsid w:val="00E76589"/>
    <w:rsid w:val="00E765CB"/>
    <w:rsid w:val="00E76634"/>
    <w:rsid w:val="00E766A1"/>
    <w:rsid w:val="00E76E70"/>
    <w:rsid w:val="00E777AE"/>
    <w:rsid w:val="00E779C8"/>
    <w:rsid w:val="00E77EC5"/>
    <w:rsid w:val="00E802DC"/>
    <w:rsid w:val="00E80594"/>
    <w:rsid w:val="00E811A2"/>
    <w:rsid w:val="00E81389"/>
    <w:rsid w:val="00E81935"/>
    <w:rsid w:val="00E81B2F"/>
    <w:rsid w:val="00E8219C"/>
    <w:rsid w:val="00E8247A"/>
    <w:rsid w:val="00E824A4"/>
    <w:rsid w:val="00E82544"/>
    <w:rsid w:val="00E825EE"/>
    <w:rsid w:val="00E828E8"/>
    <w:rsid w:val="00E82B44"/>
    <w:rsid w:val="00E82BCE"/>
    <w:rsid w:val="00E82CAE"/>
    <w:rsid w:val="00E82E77"/>
    <w:rsid w:val="00E83001"/>
    <w:rsid w:val="00E8311D"/>
    <w:rsid w:val="00E8315B"/>
    <w:rsid w:val="00E8343B"/>
    <w:rsid w:val="00E83607"/>
    <w:rsid w:val="00E83BBF"/>
    <w:rsid w:val="00E83BCC"/>
    <w:rsid w:val="00E83D37"/>
    <w:rsid w:val="00E83D6D"/>
    <w:rsid w:val="00E840A3"/>
    <w:rsid w:val="00E848B1"/>
    <w:rsid w:val="00E84B99"/>
    <w:rsid w:val="00E8514E"/>
    <w:rsid w:val="00E851D2"/>
    <w:rsid w:val="00E856ED"/>
    <w:rsid w:val="00E85BB8"/>
    <w:rsid w:val="00E85C43"/>
    <w:rsid w:val="00E861F4"/>
    <w:rsid w:val="00E86729"/>
    <w:rsid w:val="00E86B37"/>
    <w:rsid w:val="00E86F19"/>
    <w:rsid w:val="00E86F57"/>
    <w:rsid w:val="00E8709B"/>
    <w:rsid w:val="00E871E5"/>
    <w:rsid w:val="00E8722D"/>
    <w:rsid w:val="00E874B7"/>
    <w:rsid w:val="00E87757"/>
    <w:rsid w:val="00E87B95"/>
    <w:rsid w:val="00E90064"/>
    <w:rsid w:val="00E90429"/>
    <w:rsid w:val="00E90581"/>
    <w:rsid w:val="00E90A48"/>
    <w:rsid w:val="00E90F78"/>
    <w:rsid w:val="00E90FC0"/>
    <w:rsid w:val="00E910E7"/>
    <w:rsid w:val="00E916A8"/>
    <w:rsid w:val="00E91876"/>
    <w:rsid w:val="00E91E66"/>
    <w:rsid w:val="00E926A2"/>
    <w:rsid w:val="00E92791"/>
    <w:rsid w:val="00E92841"/>
    <w:rsid w:val="00E928CC"/>
    <w:rsid w:val="00E92DC7"/>
    <w:rsid w:val="00E92FC2"/>
    <w:rsid w:val="00E93070"/>
    <w:rsid w:val="00E93398"/>
    <w:rsid w:val="00E933D6"/>
    <w:rsid w:val="00E93B32"/>
    <w:rsid w:val="00E93F33"/>
    <w:rsid w:val="00E94058"/>
    <w:rsid w:val="00E943DB"/>
    <w:rsid w:val="00E94D6F"/>
    <w:rsid w:val="00E95049"/>
    <w:rsid w:val="00E955C8"/>
    <w:rsid w:val="00E956A1"/>
    <w:rsid w:val="00E95A2A"/>
    <w:rsid w:val="00E95BBA"/>
    <w:rsid w:val="00E95F0E"/>
    <w:rsid w:val="00E95FF8"/>
    <w:rsid w:val="00E9600F"/>
    <w:rsid w:val="00E96090"/>
    <w:rsid w:val="00E96590"/>
    <w:rsid w:val="00E96AB7"/>
    <w:rsid w:val="00E96B86"/>
    <w:rsid w:val="00E96D64"/>
    <w:rsid w:val="00E96DF0"/>
    <w:rsid w:val="00E96E40"/>
    <w:rsid w:val="00E96FA4"/>
    <w:rsid w:val="00E972D5"/>
    <w:rsid w:val="00E978DE"/>
    <w:rsid w:val="00E97A5C"/>
    <w:rsid w:val="00EA0057"/>
    <w:rsid w:val="00EA0535"/>
    <w:rsid w:val="00EA05C8"/>
    <w:rsid w:val="00EA0A37"/>
    <w:rsid w:val="00EA0CDE"/>
    <w:rsid w:val="00EA0D3A"/>
    <w:rsid w:val="00EA1002"/>
    <w:rsid w:val="00EA103F"/>
    <w:rsid w:val="00EA12AA"/>
    <w:rsid w:val="00EA1C50"/>
    <w:rsid w:val="00EA1FFF"/>
    <w:rsid w:val="00EA20F1"/>
    <w:rsid w:val="00EA21BB"/>
    <w:rsid w:val="00EA24A1"/>
    <w:rsid w:val="00EA2586"/>
    <w:rsid w:val="00EA25E4"/>
    <w:rsid w:val="00EA272F"/>
    <w:rsid w:val="00EA2784"/>
    <w:rsid w:val="00EA27CB"/>
    <w:rsid w:val="00EA2E4A"/>
    <w:rsid w:val="00EA30EA"/>
    <w:rsid w:val="00EA3A37"/>
    <w:rsid w:val="00EA3BC1"/>
    <w:rsid w:val="00EA3C76"/>
    <w:rsid w:val="00EA3DD0"/>
    <w:rsid w:val="00EA4017"/>
    <w:rsid w:val="00EA41B4"/>
    <w:rsid w:val="00EA425B"/>
    <w:rsid w:val="00EA46F5"/>
    <w:rsid w:val="00EA4748"/>
    <w:rsid w:val="00EA4784"/>
    <w:rsid w:val="00EA47BF"/>
    <w:rsid w:val="00EA481A"/>
    <w:rsid w:val="00EA4953"/>
    <w:rsid w:val="00EA49C2"/>
    <w:rsid w:val="00EA4BB7"/>
    <w:rsid w:val="00EA5580"/>
    <w:rsid w:val="00EA5622"/>
    <w:rsid w:val="00EA5AF7"/>
    <w:rsid w:val="00EA5E0F"/>
    <w:rsid w:val="00EA5FF4"/>
    <w:rsid w:val="00EA6125"/>
    <w:rsid w:val="00EA662D"/>
    <w:rsid w:val="00EA680F"/>
    <w:rsid w:val="00EA6A10"/>
    <w:rsid w:val="00EA6D41"/>
    <w:rsid w:val="00EA6D88"/>
    <w:rsid w:val="00EA6DF8"/>
    <w:rsid w:val="00EA6F61"/>
    <w:rsid w:val="00EA75E8"/>
    <w:rsid w:val="00EA7DA3"/>
    <w:rsid w:val="00EA7E1A"/>
    <w:rsid w:val="00EA7FAF"/>
    <w:rsid w:val="00EB0116"/>
    <w:rsid w:val="00EB019A"/>
    <w:rsid w:val="00EB032B"/>
    <w:rsid w:val="00EB043F"/>
    <w:rsid w:val="00EB04EF"/>
    <w:rsid w:val="00EB0759"/>
    <w:rsid w:val="00EB088C"/>
    <w:rsid w:val="00EB094A"/>
    <w:rsid w:val="00EB0E3A"/>
    <w:rsid w:val="00EB0E70"/>
    <w:rsid w:val="00EB10B1"/>
    <w:rsid w:val="00EB17DA"/>
    <w:rsid w:val="00EB1A96"/>
    <w:rsid w:val="00EB1AC2"/>
    <w:rsid w:val="00EB2168"/>
    <w:rsid w:val="00EB21E9"/>
    <w:rsid w:val="00EB2D9A"/>
    <w:rsid w:val="00EB2DF9"/>
    <w:rsid w:val="00EB3119"/>
    <w:rsid w:val="00EB34F4"/>
    <w:rsid w:val="00EB35A6"/>
    <w:rsid w:val="00EB4049"/>
    <w:rsid w:val="00EB46CB"/>
    <w:rsid w:val="00EB472E"/>
    <w:rsid w:val="00EB4FF7"/>
    <w:rsid w:val="00EB5181"/>
    <w:rsid w:val="00EB54F7"/>
    <w:rsid w:val="00EB5A4F"/>
    <w:rsid w:val="00EB5DBD"/>
    <w:rsid w:val="00EB5E9A"/>
    <w:rsid w:val="00EB5F48"/>
    <w:rsid w:val="00EB6D5E"/>
    <w:rsid w:val="00EB6D9B"/>
    <w:rsid w:val="00EB6F60"/>
    <w:rsid w:val="00EB6FF8"/>
    <w:rsid w:val="00EB7EFF"/>
    <w:rsid w:val="00EB7FAD"/>
    <w:rsid w:val="00EC072D"/>
    <w:rsid w:val="00EC12F7"/>
    <w:rsid w:val="00EC164A"/>
    <w:rsid w:val="00EC1789"/>
    <w:rsid w:val="00EC21CB"/>
    <w:rsid w:val="00EC256B"/>
    <w:rsid w:val="00EC26BC"/>
    <w:rsid w:val="00EC2949"/>
    <w:rsid w:val="00EC2960"/>
    <w:rsid w:val="00EC2990"/>
    <w:rsid w:val="00EC2A11"/>
    <w:rsid w:val="00EC2A2D"/>
    <w:rsid w:val="00EC2BFE"/>
    <w:rsid w:val="00EC2DB7"/>
    <w:rsid w:val="00EC2EA2"/>
    <w:rsid w:val="00EC39B0"/>
    <w:rsid w:val="00EC3A00"/>
    <w:rsid w:val="00EC3AA9"/>
    <w:rsid w:val="00EC3AB0"/>
    <w:rsid w:val="00EC3B16"/>
    <w:rsid w:val="00EC3CDA"/>
    <w:rsid w:val="00EC46A1"/>
    <w:rsid w:val="00EC47C6"/>
    <w:rsid w:val="00EC47DC"/>
    <w:rsid w:val="00EC4C05"/>
    <w:rsid w:val="00EC4CD4"/>
    <w:rsid w:val="00EC4CFB"/>
    <w:rsid w:val="00EC4D9D"/>
    <w:rsid w:val="00EC52B9"/>
    <w:rsid w:val="00EC58A1"/>
    <w:rsid w:val="00EC5AB6"/>
    <w:rsid w:val="00EC5EB1"/>
    <w:rsid w:val="00EC5ED0"/>
    <w:rsid w:val="00EC60AE"/>
    <w:rsid w:val="00EC6441"/>
    <w:rsid w:val="00EC68F8"/>
    <w:rsid w:val="00EC690D"/>
    <w:rsid w:val="00EC6964"/>
    <w:rsid w:val="00EC6C9F"/>
    <w:rsid w:val="00EC6F27"/>
    <w:rsid w:val="00EC71CD"/>
    <w:rsid w:val="00EC723E"/>
    <w:rsid w:val="00EC75FC"/>
    <w:rsid w:val="00EC7CA6"/>
    <w:rsid w:val="00EC7ED1"/>
    <w:rsid w:val="00ED0262"/>
    <w:rsid w:val="00ED08F1"/>
    <w:rsid w:val="00ED0B68"/>
    <w:rsid w:val="00ED0E41"/>
    <w:rsid w:val="00ED0E5D"/>
    <w:rsid w:val="00ED12DF"/>
    <w:rsid w:val="00ED1332"/>
    <w:rsid w:val="00ED17BE"/>
    <w:rsid w:val="00ED19EF"/>
    <w:rsid w:val="00ED1A40"/>
    <w:rsid w:val="00ED1B9B"/>
    <w:rsid w:val="00ED1E39"/>
    <w:rsid w:val="00ED21AB"/>
    <w:rsid w:val="00ED25AC"/>
    <w:rsid w:val="00ED27A1"/>
    <w:rsid w:val="00ED28DA"/>
    <w:rsid w:val="00ED2D24"/>
    <w:rsid w:val="00ED305C"/>
    <w:rsid w:val="00ED3139"/>
    <w:rsid w:val="00ED3240"/>
    <w:rsid w:val="00ED32E3"/>
    <w:rsid w:val="00ED35C2"/>
    <w:rsid w:val="00ED3B25"/>
    <w:rsid w:val="00ED3F74"/>
    <w:rsid w:val="00ED41C3"/>
    <w:rsid w:val="00ED4201"/>
    <w:rsid w:val="00ED4254"/>
    <w:rsid w:val="00ED4327"/>
    <w:rsid w:val="00ED4743"/>
    <w:rsid w:val="00ED48D2"/>
    <w:rsid w:val="00ED4C10"/>
    <w:rsid w:val="00ED52FE"/>
    <w:rsid w:val="00ED5B60"/>
    <w:rsid w:val="00ED5C16"/>
    <w:rsid w:val="00ED5C45"/>
    <w:rsid w:val="00ED5D8C"/>
    <w:rsid w:val="00ED6278"/>
    <w:rsid w:val="00ED6697"/>
    <w:rsid w:val="00ED674C"/>
    <w:rsid w:val="00ED68F7"/>
    <w:rsid w:val="00ED6D84"/>
    <w:rsid w:val="00ED6ED7"/>
    <w:rsid w:val="00EE049C"/>
    <w:rsid w:val="00EE0B02"/>
    <w:rsid w:val="00EE0D55"/>
    <w:rsid w:val="00EE12A8"/>
    <w:rsid w:val="00EE17CF"/>
    <w:rsid w:val="00EE1F38"/>
    <w:rsid w:val="00EE228F"/>
    <w:rsid w:val="00EE246F"/>
    <w:rsid w:val="00EE26EB"/>
    <w:rsid w:val="00EE27F9"/>
    <w:rsid w:val="00EE2F03"/>
    <w:rsid w:val="00EE36DB"/>
    <w:rsid w:val="00EE3AF4"/>
    <w:rsid w:val="00EE3B4E"/>
    <w:rsid w:val="00EE3B9E"/>
    <w:rsid w:val="00EE3D81"/>
    <w:rsid w:val="00EE3F38"/>
    <w:rsid w:val="00EE431E"/>
    <w:rsid w:val="00EE45D7"/>
    <w:rsid w:val="00EE5063"/>
    <w:rsid w:val="00EE5628"/>
    <w:rsid w:val="00EE599D"/>
    <w:rsid w:val="00EE5BF9"/>
    <w:rsid w:val="00EE6307"/>
    <w:rsid w:val="00EE6399"/>
    <w:rsid w:val="00EE69CD"/>
    <w:rsid w:val="00EE6BAD"/>
    <w:rsid w:val="00EE6F67"/>
    <w:rsid w:val="00EE7033"/>
    <w:rsid w:val="00EE707B"/>
    <w:rsid w:val="00EE7184"/>
    <w:rsid w:val="00EE7709"/>
    <w:rsid w:val="00EF0298"/>
    <w:rsid w:val="00EF08BE"/>
    <w:rsid w:val="00EF09AE"/>
    <w:rsid w:val="00EF09D3"/>
    <w:rsid w:val="00EF0A91"/>
    <w:rsid w:val="00EF0ACE"/>
    <w:rsid w:val="00EF0B11"/>
    <w:rsid w:val="00EF177C"/>
    <w:rsid w:val="00EF188C"/>
    <w:rsid w:val="00EF18D9"/>
    <w:rsid w:val="00EF1E1E"/>
    <w:rsid w:val="00EF1E84"/>
    <w:rsid w:val="00EF2071"/>
    <w:rsid w:val="00EF20E0"/>
    <w:rsid w:val="00EF235C"/>
    <w:rsid w:val="00EF25DE"/>
    <w:rsid w:val="00EF25E5"/>
    <w:rsid w:val="00EF28CD"/>
    <w:rsid w:val="00EF3197"/>
    <w:rsid w:val="00EF3BCB"/>
    <w:rsid w:val="00EF3D83"/>
    <w:rsid w:val="00EF3D96"/>
    <w:rsid w:val="00EF3EBE"/>
    <w:rsid w:val="00EF406F"/>
    <w:rsid w:val="00EF47A2"/>
    <w:rsid w:val="00EF4983"/>
    <w:rsid w:val="00EF4B9D"/>
    <w:rsid w:val="00EF4BFE"/>
    <w:rsid w:val="00EF4CFB"/>
    <w:rsid w:val="00EF50D4"/>
    <w:rsid w:val="00EF595B"/>
    <w:rsid w:val="00EF5F43"/>
    <w:rsid w:val="00EF65DC"/>
    <w:rsid w:val="00EF67ED"/>
    <w:rsid w:val="00EF699B"/>
    <w:rsid w:val="00EF69DB"/>
    <w:rsid w:val="00EF6A15"/>
    <w:rsid w:val="00EF6CCA"/>
    <w:rsid w:val="00EF6D89"/>
    <w:rsid w:val="00EF6FA7"/>
    <w:rsid w:val="00EF713B"/>
    <w:rsid w:val="00EF78C8"/>
    <w:rsid w:val="00EF79EC"/>
    <w:rsid w:val="00EF7A63"/>
    <w:rsid w:val="00EF7B29"/>
    <w:rsid w:val="00EF7D2C"/>
    <w:rsid w:val="00F00298"/>
    <w:rsid w:val="00F01265"/>
    <w:rsid w:val="00F01485"/>
    <w:rsid w:val="00F014E9"/>
    <w:rsid w:val="00F01612"/>
    <w:rsid w:val="00F01C50"/>
    <w:rsid w:val="00F01CC8"/>
    <w:rsid w:val="00F01F0F"/>
    <w:rsid w:val="00F02097"/>
    <w:rsid w:val="00F020F6"/>
    <w:rsid w:val="00F02291"/>
    <w:rsid w:val="00F022BE"/>
    <w:rsid w:val="00F0232A"/>
    <w:rsid w:val="00F02634"/>
    <w:rsid w:val="00F02BC2"/>
    <w:rsid w:val="00F02C17"/>
    <w:rsid w:val="00F03087"/>
    <w:rsid w:val="00F03506"/>
    <w:rsid w:val="00F035C2"/>
    <w:rsid w:val="00F03CBD"/>
    <w:rsid w:val="00F03CBF"/>
    <w:rsid w:val="00F03F38"/>
    <w:rsid w:val="00F041D1"/>
    <w:rsid w:val="00F04736"/>
    <w:rsid w:val="00F047B1"/>
    <w:rsid w:val="00F048DD"/>
    <w:rsid w:val="00F04F68"/>
    <w:rsid w:val="00F05224"/>
    <w:rsid w:val="00F05696"/>
    <w:rsid w:val="00F05B7E"/>
    <w:rsid w:val="00F05BAC"/>
    <w:rsid w:val="00F05DD7"/>
    <w:rsid w:val="00F067E0"/>
    <w:rsid w:val="00F06CE6"/>
    <w:rsid w:val="00F071EE"/>
    <w:rsid w:val="00F0726C"/>
    <w:rsid w:val="00F07481"/>
    <w:rsid w:val="00F07577"/>
    <w:rsid w:val="00F07696"/>
    <w:rsid w:val="00F07741"/>
    <w:rsid w:val="00F07F1C"/>
    <w:rsid w:val="00F10820"/>
    <w:rsid w:val="00F11126"/>
    <w:rsid w:val="00F111BE"/>
    <w:rsid w:val="00F11335"/>
    <w:rsid w:val="00F11590"/>
    <w:rsid w:val="00F11604"/>
    <w:rsid w:val="00F1166E"/>
    <w:rsid w:val="00F11703"/>
    <w:rsid w:val="00F11769"/>
    <w:rsid w:val="00F11812"/>
    <w:rsid w:val="00F11929"/>
    <w:rsid w:val="00F1198B"/>
    <w:rsid w:val="00F11F1B"/>
    <w:rsid w:val="00F1234C"/>
    <w:rsid w:val="00F12462"/>
    <w:rsid w:val="00F12B45"/>
    <w:rsid w:val="00F12C70"/>
    <w:rsid w:val="00F12C7F"/>
    <w:rsid w:val="00F12CCA"/>
    <w:rsid w:val="00F13621"/>
    <w:rsid w:val="00F1365E"/>
    <w:rsid w:val="00F137A3"/>
    <w:rsid w:val="00F138BB"/>
    <w:rsid w:val="00F138EA"/>
    <w:rsid w:val="00F13AE5"/>
    <w:rsid w:val="00F146CE"/>
    <w:rsid w:val="00F14860"/>
    <w:rsid w:val="00F14979"/>
    <w:rsid w:val="00F14DD6"/>
    <w:rsid w:val="00F14FAF"/>
    <w:rsid w:val="00F154D0"/>
    <w:rsid w:val="00F15535"/>
    <w:rsid w:val="00F1591A"/>
    <w:rsid w:val="00F15E10"/>
    <w:rsid w:val="00F15F3C"/>
    <w:rsid w:val="00F163C3"/>
    <w:rsid w:val="00F16500"/>
    <w:rsid w:val="00F16788"/>
    <w:rsid w:val="00F16A4B"/>
    <w:rsid w:val="00F16C7A"/>
    <w:rsid w:val="00F16DD8"/>
    <w:rsid w:val="00F173FB"/>
    <w:rsid w:val="00F1751E"/>
    <w:rsid w:val="00F176B1"/>
    <w:rsid w:val="00F17A74"/>
    <w:rsid w:val="00F200F0"/>
    <w:rsid w:val="00F200FC"/>
    <w:rsid w:val="00F2026A"/>
    <w:rsid w:val="00F20285"/>
    <w:rsid w:val="00F20342"/>
    <w:rsid w:val="00F204AF"/>
    <w:rsid w:val="00F2056B"/>
    <w:rsid w:val="00F20A62"/>
    <w:rsid w:val="00F20C9F"/>
    <w:rsid w:val="00F20E3C"/>
    <w:rsid w:val="00F21126"/>
    <w:rsid w:val="00F21DE5"/>
    <w:rsid w:val="00F221B2"/>
    <w:rsid w:val="00F22345"/>
    <w:rsid w:val="00F224A5"/>
    <w:rsid w:val="00F22546"/>
    <w:rsid w:val="00F2277C"/>
    <w:rsid w:val="00F227DE"/>
    <w:rsid w:val="00F229D6"/>
    <w:rsid w:val="00F22B24"/>
    <w:rsid w:val="00F22C73"/>
    <w:rsid w:val="00F22CDE"/>
    <w:rsid w:val="00F23189"/>
    <w:rsid w:val="00F23405"/>
    <w:rsid w:val="00F238DF"/>
    <w:rsid w:val="00F23B1E"/>
    <w:rsid w:val="00F2410C"/>
    <w:rsid w:val="00F24142"/>
    <w:rsid w:val="00F2439F"/>
    <w:rsid w:val="00F24690"/>
    <w:rsid w:val="00F24724"/>
    <w:rsid w:val="00F247ED"/>
    <w:rsid w:val="00F24930"/>
    <w:rsid w:val="00F24D4A"/>
    <w:rsid w:val="00F25F30"/>
    <w:rsid w:val="00F26110"/>
    <w:rsid w:val="00F261BE"/>
    <w:rsid w:val="00F26236"/>
    <w:rsid w:val="00F2637A"/>
    <w:rsid w:val="00F26A24"/>
    <w:rsid w:val="00F26B8D"/>
    <w:rsid w:val="00F26CE6"/>
    <w:rsid w:val="00F26DD9"/>
    <w:rsid w:val="00F26DF3"/>
    <w:rsid w:val="00F27073"/>
    <w:rsid w:val="00F2721D"/>
    <w:rsid w:val="00F27A9E"/>
    <w:rsid w:val="00F27AFE"/>
    <w:rsid w:val="00F27F5E"/>
    <w:rsid w:val="00F30830"/>
    <w:rsid w:val="00F3083A"/>
    <w:rsid w:val="00F3084E"/>
    <w:rsid w:val="00F308D6"/>
    <w:rsid w:val="00F3097F"/>
    <w:rsid w:val="00F3119F"/>
    <w:rsid w:val="00F31980"/>
    <w:rsid w:val="00F319F1"/>
    <w:rsid w:val="00F32581"/>
    <w:rsid w:val="00F3297E"/>
    <w:rsid w:val="00F32A30"/>
    <w:rsid w:val="00F32DD6"/>
    <w:rsid w:val="00F33171"/>
    <w:rsid w:val="00F331B6"/>
    <w:rsid w:val="00F334EC"/>
    <w:rsid w:val="00F33713"/>
    <w:rsid w:val="00F33B03"/>
    <w:rsid w:val="00F3418A"/>
    <w:rsid w:val="00F347C3"/>
    <w:rsid w:val="00F34D6C"/>
    <w:rsid w:val="00F34F13"/>
    <w:rsid w:val="00F350C8"/>
    <w:rsid w:val="00F3522C"/>
    <w:rsid w:val="00F353E7"/>
    <w:rsid w:val="00F354B3"/>
    <w:rsid w:val="00F35A2B"/>
    <w:rsid w:val="00F35A3E"/>
    <w:rsid w:val="00F35A4A"/>
    <w:rsid w:val="00F36672"/>
    <w:rsid w:val="00F369CB"/>
    <w:rsid w:val="00F370A0"/>
    <w:rsid w:val="00F370A6"/>
    <w:rsid w:val="00F370EC"/>
    <w:rsid w:val="00F37370"/>
    <w:rsid w:val="00F37397"/>
    <w:rsid w:val="00F37B9F"/>
    <w:rsid w:val="00F37C81"/>
    <w:rsid w:val="00F37DDE"/>
    <w:rsid w:val="00F37DE7"/>
    <w:rsid w:val="00F37E98"/>
    <w:rsid w:val="00F40043"/>
    <w:rsid w:val="00F400E1"/>
    <w:rsid w:val="00F401FC"/>
    <w:rsid w:val="00F40269"/>
    <w:rsid w:val="00F40293"/>
    <w:rsid w:val="00F40326"/>
    <w:rsid w:val="00F40B22"/>
    <w:rsid w:val="00F40BE2"/>
    <w:rsid w:val="00F40CB5"/>
    <w:rsid w:val="00F40CC2"/>
    <w:rsid w:val="00F40D55"/>
    <w:rsid w:val="00F41152"/>
    <w:rsid w:val="00F41466"/>
    <w:rsid w:val="00F41AB0"/>
    <w:rsid w:val="00F41EF9"/>
    <w:rsid w:val="00F42826"/>
    <w:rsid w:val="00F42A0D"/>
    <w:rsid w:val="00F42ADD"/>
    <w:rsid w:val="00F42D1E"/>
    <w:rsid w:val="00F42D67"/>
    <w:rsid w:val="00F42D76"/>
    <w:rsid w:val="00F42E2A"/>
    <w:rsid w:val="00F42E2C"/>
    <w:rsid w:val="00F437D8"/>
    <w:rsid w:val="00F439E5"/>
    <w:rsid w:val="00F43A8A"/>
    <w:rsid w:val="00F4421A"/>
    <w:rsid w:val="00F44456"/>
    <w:rsid w:val="00F44481"/>
    <w:rsid w:val="00F44694"/>
    <w:rsid w:val="00F4476F"/>
    <w:rsid w:val="00F448B7"/>
    <w:rsid w:val="00F448EA"/>
    <w:rsid w:val="00F45075"/>
    <w:rsid w:val="00F45265"/>
    <w:rsid w:val="00F453FE"/>
    <w:rsid w:val="00F456A3"/>
    <w:rsid w:val="00F45AA7"/>
    <w:rsid w:val="00F45E73"/>
    <w:rsid w:val="00F461DA"/>
    <w:rsid w:val="00F46322"/>
    <w:rsid w:val="00F464B8"/>
    <w:rsid w:val="00F468E4"/>
    <w:rsid w:val="00F468E6"/>
    <w:rsid w:val="00F46C05"/>
    <w:rsid w:val="00F46C95"/>
    <w:rsid w:val="00F47159"/>
    <w:rsid w:val="00F47219"/>
    <w:rsid w:val="00F47846"/>
    <w:rsid w:val="00F47EA6"/>
    <w:rsid w:val="00F47F7A"/>
    <w:rsid w:val="00F47FDA"/>
    <w:rsid w:val="00F5004E"/>
    <w:rsid w:val="00F500E3"/>
    <w:rsid w:val="00F50132"/>
    <w:rsid w:val="00F50211"/>
    <w:rsid w:val="00F5022A"/>
    <w:rsid w:val="00F50253"/>
    <w:rsid w:val="00F50524"/>
    <w:rsid w:val="00F50B4A"/>
    <w:rsid w:val="00F50BCA"/>
    <w:rsid w:val="00F5114F"/>
    <w:rsid w:val="00F51DF4"/>
    <w:rsid w:val="00F520F4"/>
    <w:rsid w:val="00F525D9"/>
    <w:rsid w:val="00F527A4"/>
    <w:rsid w:val="00F52C90"/>
    <w:rsid w:val="00F53103"/>
    <w:rsid w:val="00F53DAD"/>
    <w:rsid w:val="00F53F1A"/>
    <w:rsid w:val="00F5420F"/>
    <w:rsid w:val="00F5441A"/>
    <w:rsid w:val="00F54DBA"/>
    <w:rsid w:val="00F55451"/>
    <w:rsid w:val="00F55980"/>
    <w:rsid w:val="00F55A8A"/>
    <w:rsid w:val="00F55F6F"/>
    <w:rsid w:val="00F5606B"/>
    <w:rsid w:val="00F5653E"/>
    <w:rsid w:val="00F56950"/>
    <w:rsid w:val="00F56B9D"/>
    <w:rsid w:val="00F56C3C"/>
    <w:rsid w:val="00F56C4E"/>
    <w:rsid w:val="00F572C7"/>
    <w:rsid w:val="00F573C0"/>
    <w:rsid w:val="00F57476"/>
    <w:rsid w:val="00F5761B"/>
    <w:rsid w:val="00F57873"/>
    <w:rsid w:val="00F600C6"/>
    <w:rsid w:val="00F6047D"/>
    <w:rsid w:val="00F60BC5"/>
    <w:rsid w:val="00F60DEA"/>
    <w:rsid w:val="00F60FA4"/>
    <w:rsid w:val="00F60FA8"/>
    <w:rsid w:val="00F61206"/>
    <w:rsid w:val="00F6120E"/>
    <w:rsid w:val="00F61840"/>
    <w:rsid w:val="00F62158"/>
    <w:rsid w:val="00F623FC"/>
    <w:rsid w:val="00F6241B"/>
    <w:rsid w:val="00F62C03"/>
    <w:rsid w:val="00F62EB5"/>
    <w:rsid w:val="00F63655"/>
    <w:rsid w:val="00F63B3B"/>
    <w:rsid w:val="00F63C78"/>
    <w:rsid w:val="00F63E85"/>
    <w:rsid w:val="00F641FD"/>
    <w:rsid w:val="00F64957"/>
    <w:rsid w:val="00F64A99"/>
    <w:rsid w:val="00F657F9"/>
    <w:rsid w:val="00F66206"/>
    <w:rsid w:val="00F662C9"/>
    <w:rsid w:val="00F663D8"/>
    <w:rsid w:val="00F665FF"/>
    <w:rsid w:val="00F66686"/>
    <w:rsid w:val="00F66953"/>
    <w:rsid w:val="00F66FE8"/>
    <w:rsid w:val="00F67003"/>
    <w:rsid w:val="00F6778B"/>
    <w:rsid w:val="00F67AD0"/>
    <w:rsid w:val="00F67B91"/>
    <w:rsid w:val="00F67BA1"/>
    <w:rsid w:val="00F67BBE"/>
    <w:rsid w:val="00F67CF0"/>
    <w:rsid w:val="00F7011A"/>
    <w:rsid w:val="00F70A0D"/>
    <w:rsid w:val="00F71667"/>
    <w:rsid w:val="00F716CB"/>
    <w:rsid w:val="00F71B68"/>
    <w:rsid w:val="00F71BE8"/>
    <w:rsid w:val="00F71EDC"/>
    <w:rsid w:val="00F720F3"/>
    <w:rsid w:val="00F7283B"/>
    <w:rsid w:val="00F728F1"/>
    <w:rsid w:val="00F728F8"/>
    <w:rsid w:val="00F72A70"/>
    <w:rsid w:val="00F72B65"/>
    <w:rsid w:val="00F72F63"/>
    <w:rsid w:val="00F736A7"/>
    <w:rsid w:val="00F7376B"/>
    <w:rsid w:val="00F73890"/>
    <w:rsid w:val="00F739A2"/>
    <w:rsid w:val="00F73CFE"/>
    <w:rsid w:val="00F745DE"/>
    <w:rsid w:val="00F7484D"/>
    <w:rsid w:val="00F749C8"/>
    <w:rsid w:val="00F74D0D"/>
    <w:rsid w:val="00F75043"/>
    <w:rsid w:val="00F7512C"/>
    <w:rsid w:val="00F758CF"/>
    <w:rsid w:val="00F75AB1"/>
    <w:rsid w:val="00F75C93"/>
    <w:rsid w:val="00F75DC0"/>
    <w:rsid w:val="00F764E9"/>
    <w:rsid w:val="00F7675B"/>
    <w:rsid w:val="00F76952"/>
    <w:rsid w:val="00F76959"/>
    <w:rsid w:val="00F76A24"/>
    <w:rsid w:val="00F76BE2"/>
    <w:rsid w:val="00F76D60"/>
    <w:rsid w:val="00F770E8"/>
    <w:rsid w:val="00F7725D"/>
    <w:rsid w:val="00F7739C"/>
    <w:rsid w:val="00F77E36"/>
    <w:rsid w:val="00F8006F"/>
    <w:rsid w:val="00F800F4"/>
    <w:rsid w:val="00F8090B"/>
    <w:rsid w:val="00F80EE2"/>
    <w:rsid w:val="00F81097"/>
    <w:rsid w:val="00F81276"/>
    <w:rsid w:val="00F813AC"/>
    <w:rsid w:val="00F81486"/>
    <w:rsid w:val="00F81BC9"/>
    <w:rsid w:val="00F82029"/>
    <w:rsid w:val="00F820C3"/>
    <w:rsid w:val="00F821A0"/>
    <w:rsid w:val="00F82397"/>
    <w:rsid w:val="00F824A5"/>
    <w:rsid w:val="00F82AC4"/>
    <w:rsid w:val="00F83E3F"/>
    <w:rsid w:val="00F84314"/>
    <w:rsid w:val="00F84603"/>
    <w:rsid w:val="00F84CE0"/>
    <w:rsid w:val="00F84D7B"/>
    <w:rsid w:val="00F852FE"/>
    <w:rsid w:val="00F854C1"/>
    <w:rsid w:val="00F8571E"/>
    <w:rsid w:val="00F85766"/>
    <w:rsid w:val="00F858F0"/>
    <w:rsid w:val="00F85925"/>
    <w:rsid w:val="00F85CCF"/>
    <w:rsid w:val="00F862D3"/>
    <w:rsid w:val="00F8634D"/>
    <w:rsid w:val="00F86791"/>
    <w:rsid w:val="00F86C9D"/>
    <w:rsid w:val="00F86D48"/>
    <w:rsid w:val="00F86D99"/>
    <w:rsid w:val="00F86ED7"/>
    <w:rsid w:val="00F87461"/>
    <w:rsid w:val="00F87A08"/>
    <w:rsid w:val="00F90242"/>
    <w:rsid w:val="00F9065F"/>
    <w:rsid w:val="00F907B4"/>
    <w:rsid w:val="00F90A27"/>
    <w:rsid w:val="00F90CB6"/>
    <w:rsid w:val="00F90D3B"/>
    <w:rsid w:val="00F90E2F"/>
    <w:rsid w:val="00F91331"/>
    <w:rsid w:val="00F9166C"/>
    <w:rsid w:val="00F916C8"/>
    <w:rsid w:val="00F91C3F"/>
    <w:rsid w:val="00F91C71"/>
    <w:rsid w:val="00F91CAF"/>
    <w:rsid w:val="00F92275"/>
    <w:rsid w:val="00F92410"/>
    <w:rsid w:val="00F92675"/>
    <w:rsid w:val="00F92753"/>
    <w:rsid w:val="00F9275F"/>
    <w:rsid w:val="00F9305E"/>
    <w:rsid w:val="00F93129"/>
    <w:rsid w:val="00F9312C"/>
    <w:rsid w:val="00F934AC"/>
    <w:rsid w:val="00F9361F"/>
    <w:rsid w:val="00F9441D"/>
    <w:rsid w:val="00F94579"/>
    <w:rsid w:val="00F94603"/>
    <w:rsid w:val="00F948FE"/>
    <w:rsid w:val="00F9494F"/>
    <w:rsid w:val="00F949BE"/>
    <w:rsid w:val="00F94A53"/>
    <w:rsid w:val="00F94C6D"/>
    <w:rsid w:val="00F95030"/>
    <w:rsid w:val="00F951E9"/>
    <w:rsid w:val="00F954F6"/>
    <w:rsid w:val="00F95A57"/>
    <w:rsid w:val="00F95BED"/>
    <w:rsid w:val="00F95FDF"/>
    <w:rsid w:val="00F9655C"/>
    <w:rsid w:val="00F96561"/>
    <w:rsid w:val="00F965AD"/>
    <w:rsid w:val="00F969F5"/>
    <w:rsid w:val="00F96AFC"/>
    <w:rsid w:val="00F96C77"/>
    <w:rsid w:val="00F9717D"/>
    <w:rsid w:val="00F97427"/>
    <w:rsid w:val="00F9748B"/>
    <w:rsid w:val="00F97604"/>
    <w:rsid w:val="00F979C8"/>
    <w:rsid w:val="00F97BAF"/>
    <w:rsid w:val="00F97DEF"/>
    <w:rsid w:val="00FA0A22"/>
    <w:rsid w:val="00FA0ACB"/>
    <w:rsid w:val="00FA0B1E"/>
    <w:rsid w:val="00FA0BCB"/>
    <w:rsid w:val="00FA0DE4"/>
    <w:rsid w:val="00FA13DD"/>
    <w:rsid w:val="00FA15EC"/>
    <w:rsid w:val="00FA1648"/>
    <w:rsid w:val="00FA1D18"/>
    <w:rsid w:val="00FA230E"/>
    <w:rsid w:val="00FA24A6"/>
    <w:rsid w:val="00FA3812"/>
    <w:rsid w:val="00FA383E"/>
    <w:rsid w:val="00FA4295"/>
    <w:rsid w:val="00FA4342"/>
    <w:rsid w:val="00FA4595"/>
    <w:rsid w:val="00FA48B3"/>
    <w:rsid w:val="00FA4904"/>
    <w:rsid w:val="00FA51CB"/>
    <w:rsid w:val="00FA523B"/>
    <w:rsid w:val="00FA5339"/>
    <w:rsid w:val="00FA5918"/>
    <w:rsid w:val="00FA5C1A"/>
    <w:rsid w:val="00FA6217"/>
    <w:rsid w:val="00FA6493"/>
    <w:rsid w:val="00FA64E9"/>
    <w:rsid w:val="00FA66FF"/>
    <w:rsid w:val="00FA68AD"/>
    <w:rsid w:val="00FA6915"/>
    <w:rsid w:val="00FA6947"/>
    <w:rsid w:val="00FA6CA3"/>
    <w:rsid w:val="00FA6D7B"/>
    <w:rsid w:val="00FA6FCB"/>
    <w:rsid w:val="00FA7058"/>
    <w:rsid w:val="00FA708C"/>
    <w:rsid w:val="00FA73E2"/>
    <w:rsid w:val="00FA7413"/>
    <w:rsid w:val="00FA750D"/>
    <w:rsid w:val="00FA7640"/>
    <w:rsid w:val="00FA7721"/>
    <w:rsid w:val="00FB02AF"/>
    <w:rsid w:val="00FB0319"/>
    <w:rsid w:val="00FB0334"/>
    <w:rsid w:val="00FB0777"/>
    <w:rsid w:val="00FB0927"/>
    <w:rsid w:val="00FB095B"/>
    <w:rsid w:val="00FB0BBB"/>
    <w:rsid w:val="00FB0C1C"/>
    <w:rsid w:val="00FB1153"/>
    <w:rsid w:val="00FB1AD0"/>
    <w:rsid w:val="00FB1BE4"/>
    <w:rsid w:val="00FB204F"/>
    <w:rsid w:val="00FB23C4"/>
    <w:rsid w:val="00FB241E"/>
    <w:rsid w:val="00FB24F8"/>
    <w:rsid w:val="00FB25CA"/>
    <w:rsid w:val="00FB2698"/>
    <w:rsid w:val="00FB26E6"/>
    <w:rsid w:val="00FB29DD"/>
    <w:rsid w:val="00FB2A27"/>
    <w:rsid w:val="00FB2C13"/>
    <w:rsid w:val="00FB2D48"/>
    <w:rsid w:val="00FB2E0B"/>
    <w:rsid w:val="00FB30A8"/>
    <w:rsid w:val="00FB34D6"/>
    <w:rsid w:val="00FB3D3F"/>
    <w:rsid w:val="00FB4042"/>
    <w:rsid w:val="00FB494F"/>
    <w:rsid w:val="00FB4D9B"/>
    <w:rsid w:val="00FB4F1E"/>
    <w:rsid w:val="00FB4FEA"/>
    <w:rsid w:val="00FB527A"/>
    <w:rsid w:val="00FB55B2"/>
    <w:rsid w:val="00FB5813"/>
    <w:rsid w:val="00FB5F45"/>
    <w:rsid w:val="00FB6A27"/>
    <w:rsid w:val="00FB6ABE"/>
    <w:rsid w:val="00FB6B26"/>
    <w:rsid w:val="00FB73DC"/>
    <w:rsid w:val="00FB76E0"/>
    <w:rsid w:val="00FB7843"/>
    <w:rsid w:val="00FB7BF4"/>
    <w:rsid w:val="00FB7C35"/>
    <w:rsid w:val="00FB7C89"/>
    <w:rsid w:val="00FB7F1C"/>
    <w:rsid w:val="00FC021D"/>
    <w:rsid w:val="00FC05AD"/>
    <w:rsid w:val="00FC088E"/>
    <w:rsid w:val="00FC089B"/>
    <w:rsid w:val="00FC0C58"/>
    <w:rsid w:val="00FC0FFF"/>
    <w:rsid w:val="00FC10C0"/>
    <w:rsid w:val="00FC12E1"/>
    <w:rsid w:val="00FC18E7"/>
    <w:rsid w:val="00FC1BB7"/>
    <w:rsid w:val="00FC1CDB"/>
    <w:rsid w:val="00FC2264"/>
    <w:rsid w:val="00FC22A7"/>
    <w:rsid w:val="00FC249D"/>
    <w:rsid w:val="00FC2663"/>
    <w:rsid w:val="00FC26B7"/>
    <w:rsid w:val="00FC2AAC"/>
    <w:rsid w:val="00FC2DFE"/>
    <w:rsid w:val="00FC2FFC"/>
    <w:rsid w:val="00FC3674"/>
    <w:rsid w:val="00FC36B1"/>
    <w:rsid w:val="00FC43BB"/>
    <w:rsid w:val="00FC4CDD"/>
    <w:rsid w:val="00FC4E5B"/>
    <w:rsid w:val="00FC514D"/>
    <w:rsid w:val="00FC577C"/>
    <w:rsid w:val="00FC5E0A"/>
    <w:rsid w:val="00FC60ED"/>
    <w:rsid w:val="00FC6775"/>
    <w:rsid w:val="00FC69A0"/>
    <w:rsid w:val="00FC6A63"/>
    <w:rsid w:val="00FC7060"/>
    <w:rsid w:val="00FC74D7"/>
    <w:rsid w:val="00FC79F6"/>
    <w:rsid w:val="00FC7B20"/>
    <w:rsid w:val="00FD05BC"/>
    <w:rsid w:val="00FD0739"/>
    <w:rsid w:val="00FD0786"/>
    <w:rsid w:val="00FD0EDA"/>
    <w:rsid w:val="00FD10AA"/>
    <w:rsid w:val="00FD11D3"/>
    <w:rsid w:val="00FD13DD"/>
    <w:rsid w:val="00FD1639"/>
    <w:rsid w:val="00FD17C5"/>
    <w:rsid w:val="00FD1A70"/>
    <w:rsid w:val="00FD1BFA"/>
    <w:rsid w:val="00FD1EE9"/>
    <w:rsid w:val="00FD2614"/>
    <w:rsid w:val="00FD273D"/>
    <w:rsid w:val="00FD288B"/>
    <w:rsid w:val="00FD2C13"/>
    <w:rsid w:val="00FD2D5D"/>
    <w:rsid w:val="00FD2F20"/>
    <w:rsid w:val="00FD32E7"/>
    <w:rsid w:val="00FD34BF"/>
    <w:rsid w:val="00FD39DB"/>
    <w:rsid w:val="00FD3A9A"/>
    <w:rsid w:val="00FD4387"/>
    <w:rsid w:val="00FD47B2"/>
    <w:rsid w:val="00FD4D01"/>
    <w:rsid w:val="00FD4FEC"/>
    <w:rsid w:val="00FD5020"/>
    <w:rsid w:val="00FD5387"/>
    <w:rsid w:val="00FD5B7D"/>
    <w:rsid w:val="00FD5F58"/>
    <w:rsid w:val="00FD5FBB"/>
    <w:rsid w:val="00FD5FCB"/>
    <w:rsid w:val="00FD6064"/>
    <w:rsid w:val="00FD6195"/>
    <w:rsid w:val="00FD6216"/>
    <w:rsid w:val="00FD6875"/>
    <w:rsid w:val="00FD6A2A"/>
    <w:rsid w:val="00FD6B57"/>
    <w:rsid w:val="00FD6FF8"/>
    <w:rsid w:val="00FD7332"/>
    <w:rsid w:val="00FD7EF6"/>
    <w:rsid w:val="00FE0037"/>
    <w:rsid w:val="00FE01CD"/>
    <w:rsid w:val="00FE02FA"/>
    <w:rsid w:val="00FE0386"/>
    <w:rsid w:val="00FE090F"/>
    <w:rsid w:val="00FE0B4F"/>
    <w:rsid w:val="00FE0E35"/>
    <w:rsid w:val="00FE0E77"/>
    <w:rsid w:val="00FE0EA1"/>
    <w:rsid w:val="00FE0F16"/>
    <w:rsid w:val="00FE0F3B"/>
    <w:rsid w:val="00FE0FCD"/>
    <w:rsid w:val="00FE1593"/>
    <w:rsid w:val="00FE1929"/>
    <w:rsid w:val="00FE1E50"/>
    <w:rsid w:val="00FE1E7A"/>
    <w:rsid w:val="00FE2213"/>
    <w:rsid w:val="00FE26E3"/>
    <w:rsid w:val="00FE29F9"/>
    <w:rsid w:val="00FE2EF8"/>
    <w:rsid w:val="00FE3019"/>
    <w:rsid w:val="00FE345F"/>
    <w:rsid w:val="00FE34D5"/>
    <w:rsid w:val="00FE387B"/>
    <w:rsid w:val="00FE3900"/>
    <w:rsid w:val="00FE3935"/>
    <w:rsid w:val="00FE3BCE"/>
    <w:rsid w:val="00FE3DC7"/>
    <w:rsid w:val="00FE3DE2"/>
    <w:rsid w:val="00FE426B"/>
    <w:rsid w:val="00FE44DF"/>
    <w:rsid w:val="00FE4B62"/>
    <w:rsid w:val="00FE4E6F"/>
    <w:rsid w:val="00FE4EB9"/>
    <w:rsid w:val="00FE53CD"/>
    <w:rsid w:val="00FE546B"/>
    <w:rsid w:val="00FE5939"/>
    <w:rsid w:val="00FE5C90"/>
    <w:rsid w:val="00FE6115"/>
    <w:rsid w:val="00FE64E0"/>
    <w:rsid w:val="00FE6664"/>
    <w:rsid w:val="00FE69D2"/>
    <w:rsid w:val="00FE6B0E"/>
    <w:rsid w:val="00FE6FBC"/>
    <w:rsid w:val="00FE70F0"/>
    <w:rsid w:val="00FE70FE"/>
    <w:rsid w:val="00FE76C1"/>
    <w:rsid w:val="00FE7B3F"/>
    <w:rsid w:val="00FE7EE0"/>
    <w:rsid w:val="00FF0068"/>
    <w:rsid w:val="00FF02DD"/>
    <w:rsid w:val="00FF0382"/>
    <w:rsid w:val="00FF0712"/>
    <w:rsid w:val="00FF0977"/>
    <w:rsid w:val="00FF0D97"/>
    <w:rsid w:val="00FF0DCF"/>
    <w:rsid w:val="00FF11E1"/>
    <w:rsid w:val="00FF17AC"/>
    <w:rsid w:val="00FF17D4"/>
    <w:rsid w:val="00FF1CE4"/>
    <w:rsid w:val="00FF1DC0"/>
    <w:rsid w:val="00FF1E59"/>
    <w:rsid w:val="00FF21AD"/>
    <w:rsid w:val="00FF21D9"/>
    <w:rsid w:val="00FF2233"/>
    <w:rsid w:val="00FF25C5"/>
    <w:rsid w:val="00FF314D"/>
    <w:rsid w:val="00FF33EF"/>
    <w:rsid w:val="00FF344D"/>
    <w:rsid w:val="00FF3733"/>
    <w:rsid w:val="00FF3768"/>
    <w:rsid w:val="00FF3C82"/>
    <w:rsid w:val="00FF3CF6"/>
    <w:rsid w:val="00FF4069"/>
    <w:rsid w:val="00FF4123"/>
    <w:rsid w:val="00FF4369"/>
    <w:rsid w:val="00FF489E"/>
    <w:rsid w:val="00FF524A"/>
    <w:rsid w:val="00FF54E7"/>
    <w:rsid w:val="00FF5B96"/>
    <w:rsid w:val="00FF5D7C"/>
    <w:rsid w:val="00FF605C"/>
    <w:rsid w:val="00FF624C"/>
    <w:rsid w:val="00FF63B3"/>
    <w:rsid w:val="00FF654C"/>
    <w:rsid w:val="00FF68CA"/>
    <w:rsid w:val="00FF6A14"/>
    <w:rsid w:val="00FF6CE5"/>
    <w:rsid w:val="00FF731B"/>
    <w:rsid w:val="00FF7589"/>
    <w:rsid w:val="00FF75F3"/>
    <w:rsid w:val="00FF7A27"/>
    <w:rsid w:val="00FF7BCC"/>
    <w:rsid w:val="00FF7E28"/>
    <w:rsid w:val="00FF7F25"/>
    <w:rsid w:val="00FF7F8A"/>
    <w:rsid w:val="01500214"/>
    <w:rsid w:val="01532A30"/>
    <w:rsid w:val="015D2F1D"/>
    <w:rsid w:val="015D7D03"/>
    <w:rsid w:val="0180483B"/>
    <w:rsid w:val="01AF682C"/>
    <w:rsid w:val="01B16078"/>
    <w:rsid w:val="01F26C17"/>
    <w:rsid w:val="01F63FA1"/>
    <w:rsid w:val="0245387F"/>
    <w:rsid w:val="026A6E87"/>
    <w:rsid w:val="031036EF"/>
    <w:rsid w:val="0320042A"/>
    <w:rsid w:val="036D0895"/>
    <w:rsid w:val="039049A5"/>
    <w:rsid w:val="03A0788C"/>
    <w:rsid w:val="041300EF"/>
    <w:rsid w:val="0467219E"/>
    <w:rsid w:val="04847B0E"/>
    <w:rsid w:val="049B3224"/>
    <w:rsid w:val="04A21B14"/>
    <w:rsid w:val="05093A41"/>
    <w:rsid w:val="05CA0E75"/>
    <w:rsid w:val="0611257D"/>
    <w:rsid w:val="065B2ADF"/>
    <w:rsid w:val="06BA3EE2"/>
    <w:rsid w:val="06BF29B7"/>
    <w:rsid w:val="07017BB4"/>
    <w:rsid w:val="07323068"/>
    <w:rsid w:val="0757713F"/>
    <w:rsid w:val="08204A02"/>
    <w:rsid w:val="091063AB"/>
    <w:rsid w:val="098459B2"/>
    <w:rsid w:val="09B55BCB"/>
    <w:rsid w:val="0A0E60DD"/>
    <w:rsid w:val="0A607B7C"/>
    <w:rsid w:val="0A6D4411"/>
    <w:rsid w:val="0A6F3E2D"/>
    <w:rsid w:val="0AD9330D"/>
    <w:rsid w:val="0AEC259B"/>
    <w:rsid w:val="0BB74479"/>
    <w:rsid w:val="0BE60F65"/>
    <w:rsid w:val="0C080795"/>
    <w:rsid w:val="0C0A03C3"/>
    <w:rsid w:val="0C633A17"/>
    <w:rsid w:val="0CFE42B2"/>
    <w:rsid w:val="0E127C8A"/>
    <w:rsid w:val="0E722D8A"/>
    <w:rsid w:val="0E8E2598"/>
    <w:rsid w:val="0F3F58B0"/>
    <w:rsid w:val="0F544968"/>
    <w:rsid w:val="0F5E7D62"/>
    <w:rsid w:val="0F60690B"/>
    <w:rsid w:val="0F6218D4"/>
    <w:rsid w:val="100675C8"/>
    <w:rsid w:val="104A1D34"/>
    <w:rsid w:val="10936183"/>
    <w:rsid w:val="1106102A"/>
    <w:rsid w:val="111E6F09"/>
    <w:rsid w:val="113E2BB8"/>
    <w:rsid w:val="11483DDA"/>
    <w:rsid w:val="11A719EA"/>
    <w:rsid w:val="125249FF"/>
    <w:rsid w:val="12A67B78"/>
    <w:rsid w:val="12A770B6"/>
    <w:rsid w:val="13100C2E"/>
    <w:rsid w:val="13DA3DD8"/>
    <w:rsid w:val="1432082D"/>
    <w:rsid w:val="144D7DB8"/>
    <w:rsid w:val="14770DF8"/>
    <w:rsid w:val="151B39B3"/>
    <w:rsid w:val="15452CDC"/>
    <w:rsid w:val="15807130"/>
    <w:rsid w:val="15852C30"/>
    <w:rsid w:val="1592593F"/>
    <w:rsid w:val="159B4AE4"/>
    <w:rsid w:val="15E761D1"/>
    <w:rsid w:val="168C7E94"/>
    <w:rsid w:val="170237F6"/>
    <w:rsid w:val="1717268A"/>
    <w:rsid w:val="17237AE5"/>
    <w:rsid w:val="17B90B52"/>
    <w:rsid w:val="17F72736"/>
    <w:rsid w:val="1878755F"/>
    <w:rsid w:val="188117A4"/>
    <w:rsid w:val="18C04AF3"/>
    <w:rsid w:val="18D34C73"/>
    <w:rsid w:val="194F637D"/>
    <w:rsid w:val="19670E97"/>
    <w:rsid w:val="198364F4"/>
    <w:rsid w:val="19AB738B"/>
    <w:rsid w:val="1A334795"/>
    <w:rsid w:val="1A8C6B91"/>
    <w:rsid w:val="1AD462E8"/>
    <w:rsid w:val="1B616231"/>
    <w:rsid w:val="1B6F7EF4"/>
    <w:rsid w:val="1BA539C3"/>
    <w:rsid w:val="1CD01CDF"/>
    <w:rsid w:val="1CE35769"/>
    <w:rsid w:val="1CF65742"/>
    <w:rsid w:val="1D2D659C"/>
    <w:rsid w:val="1D4A7CA5"/>
    <w:rsid w:val="1DC0795C"/>
    <w:rsid w:val="1DDE1D07"/>
    <w:rsid w:val="1E06009E"/>
    <w:rsid w:val="1E417AE2"/>
    <w:rsid w:val="1E49506E"/>
    <w:rsid w:val="1E7447DE"/>
    <w:rsid w:val="1E775DFC"/>
    <w:rsid w:val="1EBB545A"/>
    <w:rsid w:val="1EDD5695"/>
    <w:rsid w:val="1F1676D4"/>
    <w:rsid w:val="1FF1325B"/>
    <w:rsid w:val="1FF7732A"/>
    <w:rsid w:val="20D92D28"/>
    <w:rsid w:val="210B30DB"/>
    <w:rsid w:val="219C1408"/>
    <w:rsid w:val="21C71074"/>
    <w:rsid w:val="21E318AE"/>
    <w:rsid w:val="22DA192E"/>
    <w:rsid w:val="23427810"/>
    <w:rsid w:val="23984130"/>
    <w:rsid w:val="243435B9"/>
    <w:rsid w:val="243C4634"/>
    <w:rsid w:val="247B115B"/>
    <w:rsid w:val="2480336A"/>
    <w:rsid w:val="24AC0CD3"/>
    <w:rsid w:val="24B3495F"/>
    <w:rsid w:val="24BA0482"/>
    <w:rsid w:val="24BC5718"/>
    <w:rsid w:val="24FC1D13"/>
    <w:rsid w:val="25102D26"/>
    <w:rsid w:val="25194ED0"/>
    <w:rsid w:val="256C7066"/>
    <w:rsid w:val="25772337"/>
    <w:rsid w:val="25E95C58"/>
    <w:rsid w:val="262E0C6A"/>
    <w:rsid w:val="265F08B3"/>
    <w:rsid w:val="26B5572E"/>
    <w:rsid w:val="27B64DE3"/>
    <w:rsid w:val="27D55520"/>
    <w:rsid w:val="27D679FC"/>
    <w:rsid w:val="27FE0DF7"/>
    <w:rsid w:val="288630C0"/>
    <w:rsid w:val="288D5665"/>
    <w:rsid w:val="289E5D1B"/>
    <w:rsid w:val="28D25468"/>
    <w:rsid w:val="28EA5236"/>
    <w:rsid w:val="28F126F7"/>
    <w:rsid w:val="28F64D31"/>
    <w:rsid w:val="28FA0036"/>
    <w:rsid w:val="292F33D7"/>
    <w:rsid w:val="29C0170C"/>
    <w:rsid w:val="29CA2D1B"/>
    <w:rsid w:val="2B3427DC"/>
    <w:rsid w:val="2B4933C3"/>
    <w:rsid w:val="2B5A7F71"/>
    <w:rsid w:val="2B6E3234"/>
    <w:rsid w:val="2BF923FF"/>
    <w:rsid w:val="2C152A64"/>
    <w:rsid w:val="2C523C26"/>
    <w:rsid w:val="2C9B6828"/>
    <w:rsid w:val="2CF43004"/>
    <w:rsid w:val="2CF57687"/>
    <w:rsid w:val="2D0C0702"/>
    <w:rsid w:val="2D493B1B"/>
    <w:rsid w:val="2D701FB6"/>
    <w:rsid w:val="2D8854FC"/>
    <w:rsid w:val="2EE54496"/>
    <w:rsid w:val="2EF1128F"/>
    <w:rsid w:val="2F091A13"/>
    <w:rsid w:val="2F165996"/>
    <w:rsid w:val="2F864793"/>
    <w:rsid w:val="300B55D3"/>
    <w:rsid w:val="304359FC"/>
    <w:rsid w:val="304F0F80"/>
    <w:rsid w:val="30A8645B"/>
    <w:rsid w:val="31992CC8"/>
    <w:rsid w:val="31A15AC1"/>
    <w:rsid w:val="322105A2"/>
    <w:rsid w:val="322670D6"/>
    <w:rsid w:val="322F0618"/>
    <w:rsid w:val="326F64CC"/>
    <w:rsid w:val="329B0233"/>
    <w:rsid w:val="32B37DEE"/>
    <w:rsid w:val="32D83F7C"/>
    <w:rsid w:val="32F069E4"/>
    <w:rsid w:val="32FC1519"/>
    <w:rsid w:val="333C1A05"/>
    <w:rsid w:val="333D5C48"/>
    <w:rsid w:val="335003D1"/>
    <w:rsid w:val="336E5678"/>
    <w:rsid w:val="34475E70"/>
    <w:rsid w:val="34655E3B"/>
    <w:rsid w:val="34AE04E9"/>
    <w:rsid w:val="34AF145E"/>
    <w:rsid w:val="34F9634C"/>
    <w:rsid w:val="35455878"/>
    <w:rsid w:val="35BA4E7D"/>
    <w:rsid w:val="35D72C2C"/>
    <w:rsid w:val="361B63F5"/>
    <w:rsid w:val="36F27B2B"/>
    <w:rsid w:val="36FF2D66"/>
    <w:rsid w:val="37776D61"/>
    <w:rsid w:val="37A30DCE"/>
    <w:rsid w:val="37E9269E"/>
    <w:rsid w:val="386A6444"/>
    <w:rsid w:val="392806FA"/>
    <w:rsid w:val="398E393B"/>
    <w:rsid w:val="39B836AD"/>
    <w:rsid w:val="3A48466B"/>
    <w:rsid w:val="3A53014A"/>
    <w:rsid w:val="3A963B1D"/>
    <w:rsid w:val="3B162467"/>
    <w:rsid w:val="3B3F2A5B"/>
    <w:rsid w:val="3B62232D"/>
    <w:rsid w:val="3BAB1E25"/>
    <w:rsid w:val="3C1A2F6E"/>
    <w:rsid w:val="3C4A430E"/>
    <w:rsid w:val="3CC17FEA"/>
    <w:rsid w:val="3CC97926"/>
    <w:rsid w:val="3CCB13A2"/>
    <w:rsid w:val="3D3B032A"/>
    <w:rsid w:val="3D506B56"/>
    <w:rsid w:val="3E6C2F1E"/>
    <w:rsid w:val="3E7071C2"/>
    <w:rsid w:val="3E8E3886"/>
    <w:rsid w:val="3ECA1A7D"/>
    <w:rsid w:val="3EF4663E"/>
    <w:rsid w:val="3F40254C"/>
    <w:rsid w:val="3F83266D"/>
    <w:rsid w:val="3F9720B7"/>
    <w:rsid w:val="3FC7014D"/>
    <w:rsid w:val="4003024A"/>
    <w:rsid w:val="40532900"/>
    <w:rsid w:val="40576F14"/>
    <w:rsid w:val="409A7415"/>
    <w:rsid w:val="42BB3F60"/>
    <w:rsid w:val="42C71C8F"/>
    <w:rsid w:val="42F814C3"/>
    <w:rsid w:val="42FE531D"/>
    <w:rsid w:val="43106BA1"/>
    <w:rsid w:val="43415D2C"/>
    <w:rsid w:val="436E486F"/>
    <w:rsid w:val="43A837B5"/>
    <w:rsid w:val="442C61A2"/>
    <w:rsid w:val="442E3602"/>
    <w:rsid w:val="444C312E"/>
    <w:rsid w:val="44533218"/>
    <w:rsid w:val="44AF6FF5"/>
    <w:rsid w:val="45032273"/>
    <w:rsid w:val="450E4782"/>
    <w:rsid w:val="455A6E31"/>
    <w:rsid w:val="456913C7"/>
    <w:rsid w:val="464A5F81"/>
    <w:rsid w:val="46533E14"/>
    <w:rsid w:val="46711F7F"/>
    <w:rsid w:val="469C2F37"/>
    <w:rsid w:val="46A24455"/>
    <w:rsid w:val="46B1793C"/>
    <w:rsid w:val="472B4333"/>
    <w:rsid w:val="47571975"/>
    <w:rsid w:val="48745E26"/>
    <w:rsid w:val="48D0138B"/>
    <w:rsid w:val="48DA6996"/>
    <w:rsid w:val="4A0A0491"/>
    <w:rsid w:val="4A450A9D"/>
    <w:rsid w:val="4AB718C3"/>
    <w:rsid w:val="4AEE751E"/>
    <w:rsid w:val="4B9A47A5"/>
    <w:rsid w:val="4BFB00B7"/>
    <w:rsid w:val="4C2110A0"/>
    <w:rsid w:val="4C37173C"/>
    <w:rsid w:val="4D121FAA"/>
    <w:rsid w:val="4D1C024A"/>
    <w:rsid w:val="4D6B5475"/>
    <w:rsid w:val="4DA530A5"/>
    <w:rsid w:val="4E005AAC"/>
    <w:rsid w:val="4E6B1364"/>
    <w:rsid w:val="4E9E3EDD"/>
    <w:rsid w:val="4F0222DF"/>
    <w:rsid w:val="4F5F630D"/>
    <w:rsid w:val="4F7934EA"/>
    <w:rsid w:val="4F904320"/>
    <w:rsid w:val="4FBA3A8A"/>
    <w:rsid w:val="4FC73F03"/>
    <w:rsid w:val="4FED7109"/>
    <w:rsid w:val="500C04FD"/>
    <w:rsid w:val="506E7392"/>
    <w:rsid w:val="50916C31"/>
    <w:rsid w:val="50D52B02"/>
    <w:rsid w:val="51060277"/>
    <w:rsid w:val="519D36F3"/>
    <w:rsid w:val="51BE6625"/>
    <w:rsid w:val="52003088"/>
    <w:rsid w:val="52B6535D"/>
    <w:rsid w:val="52FC4818"/>
    <w:rsid w:val="53135878"/>
    <w:rsid w:val="532F1B84"/>
    <w:rsid w:val="537E3647"/>
    <w:rsid w:val="53E76A03"/>
    <w:rsid w:val="546455BC"/>
    <w:rsid w:val="548250EB"/>
    <w:rsid w:val="54B441DC"/>
    <w:rsid w:val="551404FB"/>
    <w:rsid w:val="559017A7"/>
    <w:rsid w:val="55C24122"/>
    <w:rsid w:val="562623EA"/>
    <w:rsid w:val="56722F5D"/>
    <w:rsid w:val="56E208A8"/>
    <w:rsid w:val="57F01770"/>
    <w:rsid w:val="57F52AF2"/>
    <w:rsid w:val="57F762FA"/>
    <w:rsid w:val="57FD76FC"/>
    <w:rsid w:val="582C1FD8"/>
    <w:rsid w:val="58503971"/>
    <w:rsid w:val="59096A7A"/>
    <w:rsid w:val="598E4E61"/>
    <w:rsid w:val="5A0C6183"/>
    <w:rsid w:val="5AB1170F"/>
    <w:rsid w:val="5AD1275D"/>
    <w:rsid w:val="5ADA7145"/>
    <w:rsid w:val="5B1A1746"/>
    <w:rsid w:val="5B960D69"/>
    <w:rsid w:val="5BA57EBF"/>
    <w:rsid w:val="5BA63E2E"/>
    <w:rsid w:val="5C612A40"/>
    <w:rsid w:val="5CFF3071"/>
    <w:rsid w:val="5D3C342D"/>
    <w:rsid w:val="5D4B3ED8"/>
    <w:rsid w:val="5E666CC2"/>
    <w:rsid w:val="5EA971B6"/>
    <w:rsid w:val="5EB1484B"/>
    <w:rsid w:val="5EB5319D"/>
    <w:rsid w:val="5F341CC7"/>
    <w:rsid w:val="5F7853CF"/>
    <w:rsid w:val="5FF571EC"/>
    <w:rsid w:val="5FFC403B"/>
    <w:rsid w:val="600C15F6"/>
    <w:rsid w:val="610069EE"/>
    <w:rsid w:val="61077587"/>
    <w:rsid w:val="611C68A6"/>
    <w:rsid w:val="618D4E1C"/>
    <w:rsid w:val="61912786"/>
    <w:rsid w:val="61E25FFA"/>
    <w:rsid w:val="62227674"/>
    <w:rsid w:val="624A3E0D"/>
    <w:rsid w:val="62B27677"/>
    <w:rsid w:val="62D9098C"/>
    <w:rsid w:val="6376561B"/>
    <w:rsid w:val="640B1587"/>
    <w:rsid w:val="645351E4"/>
    <w:rsid w:val="64B03C64"/>
    <w:rsid w:val="65712A9B"/>
    <w:rsid w:val="65752F36"/>
    <w:rsid w:val="65AC3007"/>
    <w:rsid w:val="65F833CE"/>
    <w:rsid w:val="662726FF"/>
    <w:rsid w:val="669364C9"/>
    <w:rsid w:val="66C2122A"/>
    <w:rsid w:val="66F0084C"/>
    <w:rsid w:val="676523EB"/>
    <w:rsid w:val="67842EBC"/>
    <w:rsid w:val="679204EF"/>
    <w:rsid w:val="680272A7"/>
    <w:rsid w:val="68297A34"/>
    <w:rsid w:val="68403EB4"/>
    <w:rsid w:val="68D52C46"/>
    <w:rsid w:val="68E03713"/>
    <w:rsid w:val="68F60CF8"/>
    <w:rsid w:val="696E2B77"/>
    <w:rsid w:val="697D44EB"/>
    <w:rsid w:val="69A73959"/>
    <w:rsid w:val="69AA139C"/>
    <w:rsid w:val="69D81367"/>
    <w:rsid w:val="69D93DC8"/>
    <w:rsid w:val="69E3770D"/>
    <w:rsid w:val="69ED0FB0"/>
    <w:rsid w:val="6A2F721F"/>
    <w:rsid w:val="6A5F2EAD"/>
    <w:rsid w:val="6AB61F5A"/>
    <w:rsid w:val="6AF94977"/>
    <w:rsid w:val="6B562A07"/>
    <w:rsid w:val="6B86086A"/>
    <w:rsid w:val="6B862CD8"/>
    <w:rsid w:val="6B9737DE"/>
    <w:rsid w:val="6BD16FA2"/>
    <w:rsid w:val="6C8E1987"/>
    <w:rsid w:val="6D001AF6"/>
    <w:rsid w:val="6D3C5A62"/>
    <w:rsid w:val="6D8C3258"/>
    <w:rsid w:val="6DDC3940"/>
    <w:rsid w:val="6DDD443F"/>
    <w:rsid w:val="6E3540C3"/>
    <w:rsid w:val="6E393FD9"/>
    <w:rsid w:val="6E480D97"/>
    <w:rsid w:val="6E8271A2"/>
    <w:rsid w:val="6EA06100"/>
    <w:rsid w:val="6EAF4D19"/>
    <w:rsid w:val="6EC679A9"/>
    <w:rsid w:val="6F113FFB"/>
    <w:rsid w:val="6F400FA7"/>
    <w:rsid w:val="6F404260"/>
    <w:rsid w:val="6F4B3D23"/>
    <w:rsid w:val="6F867722"/>
    <w:rsid w:val="70124E40"/>
    <w:rsid w:val="704236FB"/>
    <w:rsid w:val="708F5255"/>
    <w:rsid w:val="70E05614"/>
    <w:rsid w:val="71125449"/>
    <w:rsid w:val="713E03AE"/>
    <w:rsid w:val="72171A59"/>
    <w:rsid w:val="72A2724C"/>
    <w:rsid w:val="72FC4A84"/>
    <w:rsid w:val="72FE44BB"/>
    <w:rsid w:val="73104DB8"/>
    <w:rsid w:val="74290315"/>
    <w:rsid w:val="743B4320"/>
    <w:rsid w:val="752748A2"/>
    <w:rsid w:val="75C83AA5"/>
    <w:rsid w:val="760741DF"/>
    <w:rsid w:val="765F3909"/>
    <w:rsid w:val="76D22244"/>
    <w:rsid w:val="77170C8E"/>
    <w:rsid w:val="77655D77"/>
    <w:rsid w:val="77771B2A"/>
    <w:rsid w:val="778610E4"/>
    <w:rsid w:val="779322F4"/>
    <w:rsid w:val="77E7638D"/>
    <w:rsid w:val="780520B0"/>
    <w:rsid w:val="783B3506"/>
    <w:rsid w:val="789A59CD"/>
    <w:rsid w:val="78E553B5"/>
    <w:rsid w:val="790B318F"/>
    <w:rsid w:val="7927575A"/>
    <w:rsid w:val="79732820"/>
    <w:rsid w:val="79BD5AAF"/>
    <w:rsid w:val="79C60ABB"/>
    <w:rsid w:val="79CB1183"/>
    <w:rsid w:val="79CE4D1B"/>
    <w:rsid w:val="7B1A137D"/>
    <w:rsid w:val="7BB163F7"/>
    <w:rsid w:val="7C16663D"/>
    <w:rsid w:val="7C363CF5"/>
    <w:rsid w:val="7CD308EE"/>
    <w:rsid w:val="7DA65345"/>
    <w:rsid w:val="7DEB5DB6"/>
    <w:rsid w:val="7DF045EE"/>
    <w:rsid w:val="7E20646B"/>
    <w:rsid w:val="7E397F39"/>
    <w:rsid w:val="7E953895"/>
    <w:rsid w:val="7E9E13B9"/>
    <w:rsid w:val="7EB61F08"/>
    <w:rsid w:val="7EC70A21"/>
    <w:rsid w:val="7FAF7AFA"/>
    <w:rsid w:val="7FE66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unhideWhenUsed="0" w:uiPriority="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44"/>
    <w:qFormat/>
    <w:uiPriority w:val="0"/>
    <w:pPr>
      <w:keepNext/>
      <w:keepLines/>
      <w:ind w:firstLine="0" w:firstLineChars="0"/>
      <w:outlineLvl w:val="0"/>
    </w:pPr>
    <w:rPr>
      <w:b/>
      <w:bCs/>
      <w:kern w:val="44"/>
      <w:sz w:val="44"/>
      <w:szCs w:val="44"/>
    </w:rPr>
  </w:style>
  <w:style w:type="paragraph" w:styleId="3">
    <w:name w:val="heading 2"/>
    <w:basedOn w:val="1"/>
    <w:next w:val="1"/>
    <w:link w:val="45"/>
    <w:unhideWhenUsed/>
    <w:qFormat/>
    <w:uiPriority w:val="9"/>
    <w:pPr>
      <w:keepNext/>
      <w:keepLines/>
      <w:ind w:firstLine="0" w:firstLineChars="0"/>
      <w:outlineLvl w:val="1"/>
    </w:pPr>
    <w:rPr>
      <w:b/>
      <w:bCs/>
      <w:sz w:val="32"/>
      <w:szCs w:val="32"/>
    </w:rPr>
  </w:style>
  <w:style w:type="paragraph" w:styleId="4">
    <w:name w:val="heading 3"/>
    <w:basedOn w:val="1"/>
    <w:next w:val="1"/>
    <w:link w:val="46"/>
    <w:unhideWhenUsed/>
    <w:qFormat/>
    <w:uiPriority w:val="0"/>
    <w:pPr>
      <w:keepNext/>
      <w:keepLines/>
      <w:ind w:firstLine="0" w:firstLineChars="0"/>
      <w:outlineLvl w:val="2"/>
    </w:pPr>
    <w:rPr>
      <w:b/>
      <w:bCs/>
      <w:sz w:val="28"/>
      <w:szCs w:val="32"/>
    </w:rPr>
  </w:style>
  <w:style w:type="paragraph" w:styleId="5">
    <w:name w:val="heading 4"/>
    <w:basedOn w:val="1"/>
    <w:next w:val="1"/>
    <w:link w:val="47"/>
    <w:qFormat/>
    <w:uiPriority w:val="0"/>
    <w:pPr>
      <w:keepNext/>
      <w:keepLines/>
      <w:adjustRightInd w:val="0"/>
      <w:spacing w:before="280" w:after="290" w:line="377" w:lineRule="auto"/>
      <w:ind w:left="76" w:hanging="76" w:firstLineChars="0"/>
      <w:textAlignment w:val="baseline"/>
      <w:outlineLvl w:val="3"/>
    </w:pPr>
    <w:rPr>
      <w:rFonts w:ascii="新宋体" w:hAnsi="新宋体" w:eastAsia="新宋体"/>
      <w:b/>
      <w:kern w:val="0"/>
      <w:sz w:val="28"/>
      <w:szCs w:val="28"/>
    </w:rPr>
  </w:style>
  <w:style w:type="paragraph" w:styleId="6">
    <w:name w:val="heading 5"/>
    <w:basedOn w:val="1"/>
    <w:next w:val="1"/>
    <w:link w:val="48"/>
    <w:qFormat/>
    <w:uiPriority w:val="9"/>
    <w:pPr>
      <w:keepNext/>
      <w:keepLines/>
      <w:tabs>
        <w:tab w:val="left" w:pos="1364"/>
      </w:tabs>
      <w:adjustRightInd w:val="0"/>
      <w:spacing w:before="280" w:after="290" w:line="376" w:lineRule="auto"/>
      <w:ind w:firstLine="284" w:firstLineChars="0"/>
      <w:textAlignment w:val="baseline"/>
      <w:outlineLvl w:val="4"/>
    </w:pPr>
    <w:rPr>
      <w:rFonts w:eastAsia="仿宋_GB2312"/>
      <w:b/>
      <w:bCs/>
      <w:kern w:val="0"/>
      <w:sz w:val="28"/>
      <w:szCs w:val="28"/>
    </w:rPr>
  </w:style>
  <w:style w:type="paragraph" w:styleId="7">
    <w:name w:val="heading 6"/>
    <w:basedOn w:val="1"/>
    <w:next w:val="1"/>
    <w:link w:val="49"/>
    <w:qFormat/>
    <w:uiPriority w:val="9"/>
    <w:pPr>
      <w:keepNext/>
      <w:keepLines/>
      <w:tabs>
        <w:tab w:val="left" w:pos="432"/>
      </w:tabs>
      <w:adjustRightInd w:val="0"/>
      <w:spacing w:before="240" w:after="64" w:line="320" w:lineRule="auto"/>
      <w:ind w:left="432" w:hanging="1152" w:firstLineChars="0"/>
      <w:textAlignment w:val="baseline"/>
      <w:outlineLvl w:val="5"/>
    </w:pPr>
    <w:rPr>
      <w:rFonts w:ascii="Arial" w:hAnsi="Arial" w:eastAsia="黑体"/>
      <w:b/>
      <w:bCs/>
      <w:kern w:val="0"/>
      <w:szCs w:val="24"/>
    </w:rPr>
  </w:style>
  <w:style w:type="paragraph" w:styleId="8">
    <w:name w:val="heading 7"/>
    <w:basedOn w:val="1"/>
    <w:next w:val="1"/>
    <w:link w:val="50"/>
    <w:qFormat/>
    <w:uiPriority w:val="0"/>
    <w:pPr>
      <w:keepNext/>
      <w:keepLines/>
      <w:tabs>
        <w:tab w:val="left" w:pos="576"/>
      </w:tabs>
      <w:adjustRightInd w:val="0"/>
      <w:spacing w:before="240" w:after="64" w:line="320" w:lineRule="auto"/>
      <w:ind w:left="576" w:hanging="1296" w:firstLineChars="0"/>
      <w:textAlignment w:val="baseline"/>
      <w:outlineLvl w:val="6"/>
    </w:pPr>
    <w:rPr>
      <w:rFonts w:eastAsia="仿宋_GB2312"/>
      <w:b/>
      <w:bCs/>
      <w:kern w:val="0"/>
      <w:szCs w:val="24"/>
    </w:rPr>
  </w:style>
  <w:style w:type="paragraph" w:styleId="9">
    <w:name w:val="heading 8"/>
    <w:basedOn w:val="1"/>
    <w:next w:val="1"/>
    <w:link w:val="51"/>
    <w:qFormat/>
    <w:uiPriority w:val="0"/>
    <w:pPr>
      <w:keepNext/>
      <w:keepLines/>
      <w:tabs>
        <w:tab w:val="left" w:pos="720"/>
      </w:tabs>
      <w:adjustRightInd w:val="0"/>
      <w:spacing w:before="240" w:after="64" w:line="320" w:lineRule="auto"/>
      <w:ind w:left="720" w:hanging="1440" w:firstLineChars="0"/>
      <w:textAlignment w:val="baseline"/>
      <w:outlineLvl w:val="7"/>
    </w:pPr>
    <w:rPr>
      <w:rFonts w:ascii="Arial" w:hAnsi="Arial" w:eastAsia="黑体"/>
      <w:kern w:val="0"/>
      <w:szCs w:val="24"/>
    </w:rPr>
  </w:style>
  <w:style w:type="paragraph" w:styleId="10">
    <w:name w:val="heading 9"/>
    <w:basedOn w:val="1"/>
    <w:next w:val="1"/>
    <w:link w:val="52"/>
    <w:qFormat/>
    <w:uiPriority w:val="0"/>
    <w:pPr>
      <w:keepNext/>
      <w:keepLines/>
      <w:tabs>
        <w:tab w:val="left" w:pos="864"/>
      </w:tabs>
      <w:adjustRightInd w:val="0"/>
      <w:spacing w:before="240" w:after="64" w:line="320" w:lineRule="auto"/>
      <w:ind w:left="864" w:hanging="1584" w:firstLineChars="0"/>
      <w:textAlignment w:val="baseline"/>
      <w:outlineLvl w:val="8"/>
    </w:pPr>
    <w:rPr>
      <w:rFonts w:ascii="Arial" w:hAnsi="Arial" w:eastAsia="黑体"/>
      <w:kern w:val="0"/>
      <w:szCs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440"/>
      <w:jc w:val="left"/>
    </w:pPr>
    <w:rPr>
      <w:rFonts w:asciiTheme="minorHAnsi" w:eastAsiaTheme="minorHAnsi"/>
      <w:sz w:val="18"/>
      <w:szCs w:val="18"/>
    </w:rPr>
  </w:style>
  <w:style w:type="paragraph" w:styleId="12">
    <w:name w:val="annotation text"/>
    <w:basedOn w:val="1"/>
    <w:link w:val="53"/>
    <w:unhideWhenUsed/>
    <w:qFormat/>
    <w:uiPriority w:val="99"/>
    <w:pPr>
      <w:jc w:val="left"/>
    </w:pPr>
  </w:style>
  <w:style w:type="paragraph" w:styleId="13">
    <w:name w:val="Body Text"/>
    <w:basedOn w:val="1"/>
    <w:link w:val="129"/>
    <w:qFormat/>
    <w:uiPriority w:val="0"/>
    <w:pPr>
      <w:ind w:firstLine="0" w:firstLineChars="0"/>
    </w:pPr>
    <w:rPr>
      <w:rFonts w:ascii="宋体" w:hAnsi="宋体"/>
      <w:bCs/>
      <w:szCs w:val="24"/>
    </w:rPr>
  </w:style>
  <w:style w:type="paragraph" w:styleId="14">
    <w:name w:val="toc 5"/>
    <w:basedOn w:val="1"/>
    <w:next w:val="1"/>
    <w:unhideWhenUsed/>
    <w:qFormat/>
    <w:uiPriority w:val="39"/>
    <w:pPr>
      <w:ind w:left="960"/>
      <w:jc w:val="left"/>
    </w:pPr>
    <w:rPr>
      <w:rFonts w:asciiTheme="minorHAnsi" w:eastAsiaTheme="minorHAnsi"/>
      <w:sz w:val="18"/>
      <w:szCs w:val="18"/>
    </w:rPr>
  </w:style>
  <w:style w:type="paragraph" w:styleId="15">
    <w:name w:val="toc 3"/>
    <w:basedOn w:val="1"/>
    <w:next w:val="1"/>
    <w:unhideWhenUsed/>
    <w:qFormat/>
    <w:uiPriority w:val="39"/>
    <w:pPr>
      <w:ind w:firstLine="400" w:firstLineChars="400"/>
      <w:jc w:val="left"/>
    </w:pPr>
    <w:rPr>
      <w:iCs/>
      <w:szCs w:val="20"/>
    </w:rPr>
  </w:style>
  <w:style w:type="paragraph" w:styleId="16">
    <w:name w:val="Plain Text"/>
    <w:basedOn w:val="1"/>
    <w:link w:val="54"/>
    <w:qFormat/>
    <w:uiPriority w:val="0"/>
    <w:pPr>
      <w:spacing w:line="240" w:lineRule="auto"/>
      <w:ind w:firstLine="0" w:firstLineChars="0"/>
    </w:pPr>
    <w:rPr>
      <w:rFonts w:ascii="宋体" w:hAnsi="Courier New" w:cs="Courier New"/>
      <w:sz w:val="21"/>
      <w:szCs w:val="21"/>
    </w:rPr>
  </w:style>
  <w:style w:type="paragraph" w:styleId="17">
    <w:name w:val="toc 8"/>
    <w:basedOn w:val="1"/>
    <w:next w:val="1"/>
    <w:unhideWhenUsed/>
    <w:qFormat/>
    <w:uiPriority w:val="39"/>
    <w:pPr>
      <w:ind w:left="1680"/>
      <w:jc w:val="left"/>
    </w:pPr>
    <w:rPr>
      <w:rFonts w:asciiTheme="minorHAnsi" w:eastAsiaTheme="minorHAnsi"/>
      <w:sz w:val="18"/>
      <w:szCs w:val="18"/>
    </w:rPr>
  </w:style>
  <w:style w:type="paragraph" w:styleId="18">
    <w:name w:val="Date"/>
    <w:basedOn w:val="1"/>
    <w:next w:val="1"/>
    <w:link w:val="161"/>
    <w:semiHidden/>
    <w:unhideWhenUsed/>
    <w:qFormat/>
    <w:uiPriority w:val="99"/>
    <w:pPr>
      <w:ind w:left="100" w:leftChars="2500"/>
    </w:pPr>
  </w:style>
  <w:style w:type="paragraph" w:styleId="19">
    <w:name w:val="endnote text"/>
    <w:basedOn w:val="1"/>
    <w:link w:val="119"/>
    <w:semiHidden/>
    <w:unhideWhenUsed/>
    <w:qFormat/>
    <w:uiPriority w:val="99"/>
    <w:pPr>
      <w:snapToGrid w:val="0"/>
      <w:jc w:val="left"/>
    </w:pPr>
  </w:style>
  <w:style w:type="paragraph" w:styleId="20">
    <w:name w:val="Balloon Text"/>
    <w:basedOn w:val="1"/>
    <w:link w:val="55"/>
    <w:unhideWhenUsed/>
    <w:qFormat/>
    <w:uiPriority w:val="99"/>
    <w:pPr>
      <w:spacing w:line="240" w:lineRule="auto"/>
    </w:pPr>
    <w:rPr>
      <w:sz w:val="18"/>
      <w:szCs w:val="18"/>
    </w:rPr>
  </w:style>
  <w:style w:type="paragraph" w:styleId="21">
    <w:name w:val="footer"/>
    <w:basedOn w:val="1"/>
    <w:link w:val="95"/>
    <w:unhideWhenUsed/>
    <w:qFormat/>
    <w:uiPriority w:val="99"/>
    <w:pPr>
      <w:tabs>
        <w:tab w:val="center" w:pos="4153"/>
        <w:tab w:val="right" w:pos="8306"/>
      </w:tabs>
      <w:snapToGrid w:val="0"/>
      <w:spacing w:line="240" w:lineRule="auto"/>
      <w:jc w:val="left"/>
    </w:pPr>
    <w:rPr>
      <w:sz w:val="18"/>
      <w:szCs w:val="18"/>
    </w:rPr>
  </w:style>
  <w:style w:type="paragraph" w:styleId="22">
    <w:name w:val="header"/>
    <w:basedOn w:val="1"/>
    <w:link w:val="9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unhideWhenUsed/>
    <w:qFormat/>
    <w:uiPriority w:val="39"/>
    <w:pPr>
      <w:ind w:firstLine="0" w:firstLineChars="0"/>
      <w:jc w:val="left"/>
    </w:pPr>
    <w:rPr>
      <w:bCs/>
      <w:caps/>
      <w:szCs w:val="20"/>
    </w:rPr>
  </w:style>
  <w:style w:type="paragraph" w:styleId="24">
    <w:name w:val="toc 4"/>
    <w:basedOn w:val="1"/>
    <w:next w:val="1"/>
    <w:unhideWhenUsed/>
    <w:qFormat/>
    <w:uiPriority w:val="39"/>
    <w:pPr>
      <w:ind w:left="720"/>
      <w:jc w:val="left"/>
    </w:pPr>
    <w:rPr>
      <w:rFonts w:asciiTheme="minorHAnsi" w:eastAsiaTheme="minorHAnsi"/>
      <w:sz w:val="18"/>
      <w:szCs w:val="18"/>
    </w:rPr>
  </w:style>
  <w:style w:type="paragraph" w:styleId="25">
    <w:name w:val="footnote text"/>
    <w:basedOn w:val="1"/>
    <w:link w:val="105"/>
    <w:unhideWhenUsed/>
    <w:qFormat/>
    <w:uiPriority w:val="99"/>
    <w:pPr>
      <w:snapToGrid w:val="0"/>
      <w:spacing w:line="240" w:lineRule="auto"/>
      <w:ind w:firstLine="0" w:firstLineChars="0"/>
      <w:jc w:val="left"/>
    </w:pPr>
    <w:rPr>
      <w:rFonts w:ascii="Calibri" w:hAnsi="Calibri"/>
      <w:sz w:val="18"/>
      <w:szCs w:val="18"/>
    </w:rPr>
  </w:style>
  <w:style w:type="paragraph" w:styleId="26">
    <w:name w:val="toc 6"/>
    <w:basedOn w:val="1"/>
    <w:next w:val="1"/>
    <w:unhideWhenUsed/>
    <w:qFormat/>
    <w:uiPriority w:val="39"/>
    <w:pPr>
      <w:ind w:left="1200"/>
      <w:jc w:val="left"/>
    </w:pPr>
    <w:rPr>
      <w:rFonts w:asciiTheme="minorHAnsi" w:eastAsiaTheme="minorHAnsi"/>
      <w:sz w:val="18"/>
      <w:szCs w:val="18"/>
    </w:rPr>
  </w:style>
  <w:style w:type="paragraph" w:styleId="27">
    <w:name w:val="toc 2"/>
    <w:basedOn w:val="1"/>
    <w:next w:val="1"/>
    <w:unhideWhenUsed/>
    <w:qFormat/>
    <w:uiPriority w:val="39"/>
    <w:pPr>
      <w:jc w:val="left"/>
    </w:pPr>
    <w:rPr>
      <w:smallCaps/>
      <w:szCs w:val="20"/>
    </w:rPr>
  </w:style>
  <w:style w:type="paragraph" w:styleId="28">
    <w:name w:val="toc 9"/>
    <w:basedOn w:val="1"/>
    <w:next w:val="1"/>
    <w:unhideWhenUsed/>
    <w:qFormat/>
    <w:uiPriority w:val="39"/>
    <w:pPr>
      <w:ind w:left="1920"/>
      <w:jc w:val="left"/>
    </w:pPr>
    <w:rPr>
      <w:rFonts w:asciiTheme="minorHAnsi" w:eastAsiaTheme="minorHAnsi"/>
      <w:sz w:val="18"/>
      <w:szCs w:val="18"/>
    </w:rPr>
  </w:style>
  <w:style w:type="paragraph" w:styleId="29">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0">
    <w:name w:val="Title"/>
    <w:basedOn w:val="1"/>
    <w:next w:val="1"/>
    <w:link w:val="56"/>
    <w:qFormat/>
    <w:uiPriority w:val="10"/>
    <w:pPr>
      <w:ind w:firstLine="0" w:firstLineChars="0"/>
      <w:jc w:val="left"/>
      <w:outlineLvl w:val="2"/>
    </w:pPr>
    <w:rPr>
      <w:b/>
      <w:bCs/>
      <w:sz w:val="28"/>
      <w:szCs w:val="32"/>
    </w:rPr>
  </w:style>
  <w:style w:type="paragraph" w:styleId="31">
    <w:name w:val="annotation subject"/>
    <w:basedOn w:val="12"/>
    <w:next w:val="12"/>
    <w:link w:val="57"/>
    <w:unhideWhenUsed/>
    <w:qFormat/>
    <w:uiPriority w:val="99"/>
    <w:rPr>
      <w:b/>
      <w:bCs/>
    </w:rPr>
  </w:style>
  <w:style w:type="paragraph" w:styleId="32">
    <w:name w:val="Body Text First Indent"/>
    <w:basedOn w:val="13"/>
    <w:link w:val="139"/>
    <w:qFormat/>
    <w:uiPriority w:val="0"/>
    <w:pPr>
      <w:spacing w:after="120"/>
      <w:ind w:firstLine="420" w:firstLineChars="100"/>
    </w:pPr>
    <w:rPr>
      <w:rFonts w:ascii="Times New Roman" w:hAnsi="Times New Roman"/>
      <w:bCs w:val="0"/>
      <w:szCs w:val="22"/>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b/>
    </w:rPr>
  </w:style>
  <w:style w:type="character" w:styleId="37">
    <w:name w:val="endnote reference"/>
    <w:basedOn w:val="35"/>
    <w:semiHidden/>
    <w:unhideWhenUsed/>
    <w:qFormat/>
    <w:uiPriority w:val="99"/>
    <w:rPr>
      <w:vertAlign w:val="superscript"/>
    </w:rPr>
  </w:style>
  <w:style w:type="character" w:styleId="38">
    <w:name w:val="FollowedHyperlink"/>
    <w:basedOn w:val="35"/>
    <w:semiHidden/>
    <w:unhideWhenUsed/>
    <w:qFormat/>
    <w:uiPriority w:val="99"/>
    <w:rPr>
      <w:color w:val="954F72"/>
      <w:u w:val="single"/>
    </w:rPr>
  </w:style>
  <w:style w:type="character" w:styleId="39">
    <w:name w:val="Hyperlink"/>
    <w:unhideWhenUsed/>
    <w:qFormat/>
    <w:uiPriority w:val="99"/>
    <w:rPr>
      <w:color w:val="0000FF"/>
      <w:u w:val="single"/>
    </w:rPr>
  </w:style>
  <w:style w:type="character" w:styleId="40">
    <w:name w:val="annotation reference"/>
    <w:basedOn w:val="35"/>
    <w:qFormat/>
    <w:uiPriority w:val="99"/>
    <w:rPr>
      <w:sz w:val="21"/>
      <w:szCs w:val="21"/>
    </w:rPr>
  </w:style>
  <w:style w:type="character" w:styleId="41">
    <w:name w:val="footnote reference"/>
    <w:unhideWhenUsed/>
    <w:qFormat/>
    <w:uiPriority w:val="0"/>
    <w:rPr>
      <w:vertAlign w:val="superscript"/>
    </w:rPr>
  </w:style>
  <w:style w:type="paragraph" w:customStyle="1" w:styleId="42">
    <w:name w:val="_Style 5"/>
    <w:qFormat/>
    <w:uiPriority w:val="0"/>
    <w:pPr>
      <w:widowControl w:val="0"/>
      <w:ind w:firstLine="200" w:firstLineChars="200"/>
      <w:jc w:val="both"/>
    </w:pPr>
    <w:rPr>
      <w:rFonts w:ascii="Calibri" w:hAnsi="Calibri" w:eastAsia="宋体" w:cs="Times New Roman"/>
      <w:kern w:val="2"/>
      <w:sz w:val="24"/>
      <w:szCs w:val="22"/>
      <w:lang w:val="en-US" w:eastAsia="zh-CN" w:bidi="ar-SA"/>
    </w:rPr>
  </w:style>
  <w:style w:type="paragraph" w:customStyle="1" w:styleId="43">
    <w:name w:val="表格文字"/>
    <w:basedOn w:val="1"/>
    <w:link w:val="84"/>
    <w:qFormat/>
    <w:uiPriority w:val="0"/>
    <w:pPr>
      <w:spacing w:line="240" w:lineRule="auto"/>
      <w:ind w:firstLine="0" w:firstLineChars="0"/>
      <w:jc w:val="center"/>
    </w:pPr>
    <w:rPr>
      <w:sz w:val="21"/>
    </w:rPr>
  </w:style>
  <w:style w:type="character" w:customStyle="1" w:styleId="44">
    <w:name w:val="标题 1 Char1"/>
    <w:link w:val="2"/>
    <w:qFormat/>
    <w:uiPriority w:val="0"/>
    <w:rPr>
      <w:rFonts w:ascii="Times New Roman" w:hAnsi="Times New Roman"/>
      <w:b/>
      <w:bCs/>
      <w:kern w:val="44"/>
      <w:sz w:val="44"/>
      <w:szCs w:val="44"/>
    </w:rPr>
  </w:style>
  <w:style w:type="character" w:customStyle="1" w:styleId="45">
    <w:name w:val="标题 2 Char"/>
    <w:link w:val="3"/>
    <w:qFormat/>
    <w:uiPriority w:val="9"/>
    <w:rPr>
      <w:rFonts w:ascii="Times New Roman" w:hAnsi="Times New Roman" w:eastAsia="宋体" w:cs="Times New Roman"/>
      <w:b/>
      <w:bCs/>
      <w:sz w:val="32"/>
      <w:szCs w:val="32"/>
    </w:rPr>
  </w:style>
  <w:style w:type="character" w:customStyle="1" w:styleId="46">
    <w:name w:val="标题 3 Char2"/>
    <w:link w:val="4"/>
    <w:qFormat/>
    <w:uiPriority w:val="9"/>
    <w:rPr>
      <w:rFonts w:ascii="Times New Roman" w:hAnsi="Times New Roman" w:eastAsia="宋体"/>
      <w:b/>
      <w:bCs/>
      <w:sz w:val="28"/>
      <w:szCs w:val="32"/>
    </w:rPr>
  </w:style>
  <w:style w:type="character" w:customStyle="1" w:styleId="47">
    <w:name w:val="标题 4 Char"/>
    <w:link w:val="5"/>
    <w:qFormat/>
    <w:uiPriority w:val="0"/>
    <w:rPr>
      <w:rFonts w:ascii="新宋体" w:hAnsi="新宋体" w:eastAsia="新宋体"/>
      <w:b/>
      <w:sz w:val="28"/>
      <w:szCs w:val="28"/>
    </w:rPr>
  </w:style>
  <w:style w:type="character" w:customStyle="1" w:styleId="48">
    <w:name w:val="标题 5 Char"/>
    <w:link w:val="6"/>
    <w:qFormat/>
    <w:uiPriority w:val="9"/>
    <w:rPr>
      <w:rFonts w:ascii="Times New Roman" w:hAnsi="Times New Roman" w:eastAsia="仿宋_GB2312"/>
      <w:b/>
      <w:bCs/>
      <w:sz w:val="28"/>
      <w:szCs w:val="28"/>
    </w:rPr>
  </w:style>
  <w:style w:type="character" w:customStyle="1" w:styleId="49">
    <w:name w:val="标题 6 Char"/>
    <w:link w:val="7"/>
    <w:qFormat/>
    <w:uiPriority w:val="9"/>
    <w:rPr>
      <w:rFonts w:ascii="Arial" w:hAnsi="Arial" w:eastAsia="黑体"/>
      <w:b/>
      <w:bCs/>
      <w:sz w:val="24"/>
      <w:szCs w:val="24"/>
    </w:rPr>
  </w:style>
  <w:style w:type="character" w:customStyle="1" w:styleId="50">
    <w:name w:val="标题 7 Char"/>
    <w:link w:val="8"/>
    <w:qFormat/>
    <w:uiPriority w:val="0"/>
    <w:rPr>
      <w:rFonts w:ascii="Times New Roman" w:hAnsi="Times New Roman" w:eastAsia="仿宋_GB2312"/>
      <w:b/>
      <w:bCs/>
      <w:sz w:val="24"/>
      <w:szCs w:val="24"/>
    </w:rPr>
  </w:style>
  <w:style w:type="character" w:customStyle="1" w:styleId="51">
    <w:name w:val="标题 8 Char"/>
    <w:link w:val="9"/>
    <w:qFormat/>
    <w:uiPriority w:val="0"/>
    <w:rPr>
      <w:rFonts w:ascii="Arial" w:hAnsi="Arial" w:eastAsia="黑体"/>
      <w:sz w:val="24"/>
      <w:szCs w:val="24"/>
    </w:rPr>
  </w:style>
  <w:style w:type="character" w:customStyle="1" w:styleId="52">
    <w:name w:val="标题 9 Char"/>
    <w:link w:val="10"/>
    <w:qFormat/>
    <w:uiPriority w:val="0"/>
    <w:rPr>
      <w:rFonts w:ascii="Arial" w:hAnsi="Arial" w:eastAsia="黑体"/>
      <w:sz w:val="24"/>
      <w:szCs w:val="21"/>
    </w:rPr>
  </w:style>
  <w:style w:type="character" w:customStyle="1" w:styleId="53">
    <w:name w:val="批注文字 Char"/>
    <w:basedOn w:val="35"/>
    <w:link w:val="12"/>
    <w:qFormat/>
    <w:uiPriority w:val="99"/>
    <w:rPr>
      <w:rFonts w:ascii="Times New Roman" w:hAnsi="Times New Roman" w:eastAsia="宋体" w:cs="Times New Roman"/>
      <w:kern w:val="2"/>
      <w:sz w:val="24"/>
      <w:szCs w:val="22"/>
    </w:rPr>
  </w:style>
  <w:style w:type="character" w:customStyle="1" w:styleId="54">
    <w:name w:val="纯文本 Char"/>
    <w:basedOn w:val="35"/>
    <w:link w:val="16"/>
    <w:qFormat/>
    <w:uiPriority w:val="0"/>
    <w:rPr>
      <w:rFonts w:ascii="宋体" w:hAnsi="Courier New" w:eastAsia="宋体" w:cs="Courier New"/>
      <w:kern w:val="2"/>
      <w:sz w:val="21"/>
      <w:szCs w:val="21"/>
    </w:rPr>
  </w:style>
  <w:style w:type="character" w:customStyle="1" w:styleId="55">
    <w:name w:val="批注框文本 Char"/>
    <w:basedOn w:val="35"/>
    <w:link w:val="20"/>
    <w:qFormat/>
    <w:uiPriority w:val="99"/>
    <w:rPr>
      <w:rFonts w:ascii="Times New Roman" w:hAnsi="Times New Roman" w:eastAsia="宋体" w:cs="Times New Roman"/>
      <w:kern w:val="2"/>
      <w:sz w:val="18"/>
      <w:szCs w:val="18"/>
    </w:rPr>
  </w:style>
  <w:style w:type="character" w:customStyle="1" w:styleId="56">
    <w:name w:val="标题 Char"/>
    <w:link w:val="30"/>
    <w:qFormat/>
    <w:uiPriority w:val="10"/>
    <w:rPr>
      <w:rFonts w:ascii="Times New Roman" w:hAnsi="Times New Roman"/>
      <w:b/>
      <w:bCs/>
      <w:kern w:val="2"/>
      <w:sz w:val="28"/>
      <w:szCs w:val="32"/>
    </w:rPr>
  </w:style>
  <w:style w:type="character" w:customStyle="1" w:styleId="57">
    <w:name w:val="批注主题 Char"/>
    <w:basedOn w:val="53"/>
    <w:link w:val="31"/>
    <w:qFormat/>
    <w:uiPriority w:val="99"/>
    <w:rPr>
      <w:rFonts w:ascii="Times New Roman" w:hAnsi="Times New Roman" w:eastAsia="宋体" w:cs="Times New Roman"/>
      <w:b/>
      <w:bCs/>
      <w:kern w:val="2"/>
      <w:sz w:val="24"/>
      <w:szCs w:val="22"/>
    </w:rPr>
  </w:style>
  <w:style w:type="paragraph" w:customStyle="1" w:styleId="58">
    <w:name w:val="表头"/>
    <w:basedOn w:val="1"/>
    <w:next w:val="1"/>
    <w:link w:val="59"/>
    <w:qFormat/>
    <w:uiPriority w:val="0"/>
    <w:pPr>
      <w:ind w:firstLine="0" w:firstLineChars="0"/>
      <w:contextualSpacing/>
      <w:jc w:val="center"/>
    </w:pPr>
    <w:rPr>
      <w:rFonts w:cs="宋体"/>
      <w:b/>
      <w:kern w:val="0"/>
      <w:sz w:val="21"/>
      <w:szCs w:val="24"/>
    </w:rPr>
  </w:style>
  <w:style w:type="character" w:customStyle="1" w:styleId="59">
    <w:name w:val="表头 Char"/>
    <w:link w:val="58"/>
    <w:qFormat/>
    <w:uiPriority w:val="0"/>
    <w:rPr>
      <w:rFonts w:ascii="Times New Roman" w:hAnsi="Times New Roman" w:eastAsia="宋体" w:cs="宋体"/>
      <w:b/>
      <w:kern w:val="0"/>
      <w:szCs w:val="24"/>
    </w:rPr>
  </w:style>
  <w:style w:type="paragraph" w:customStyle="1" w:styleId="60">
    <w:name w:val="z正文"/>
    <w:basedOn w:val="1"/>
    <w:qFormat/>
    <w:uiPriority w:val="99"/>
    <w:rPr>
      <w:kern w:val="0"/>
      <w:szCs w:val="24"/>
    </w:rPr>
  </w:style>
  <w:style w:type="character" w:customStyle="1" w:styleId="61">
    <w:name w:val="表格 Char"/>
    <w:link w:val="62"/>
    <w:qFormat/>
    <w:uiPriority w:val="0"/>
    <w:rPr>
      <w:rFonts w:ascii="Times New Roman" w:hAnsi="Times New Roman"/>
      <w:sz w:val="21"/>
    </w:rPr>
  </w:style>
  <w:style w:type="paragraph" w:customStyle="1" w:styleId="62">
    <w:name w:val="表格"/>
    <w:basedOn w:val="1"/>
    <w:next w:val="1"/>
    <w:link w:val="61"/>
    <w:qFormat/>
    <w:uiPriority w:val="0"/>
    <w:pPr>
      <w:autoSpaceDE w:val="0"/>
      <w:autoSpaceDN w:val="0"/>
      <w:adjustRightInd w:val="0"/>
      <w:spacing w:line="240" w:lineRule="auto"/>
      <w:ind w:firstLine="0" w:firstLineChars="0"/>
      <w:jc w:val="center"/>
      <w:textAlignment w:val="baseline"/>
    </w:pPr>
    <w:rPr>
      <w:kern w:val="0"/>
      <w:sz w:val="21"/>
      <w:szCs w:val="20"/>
    </w:rPr>
  </w:style>
  <w:style w:type="paragraph" w:customStyle="1" w:styleId="63">
    <w:name w:val="标题 22"/>
    <w:basedOn w:val="3"/>
    <w:next w:val="1"/>
    <w:link w:val="64"/>
    <w:qFormat/>
    <w:uiPriority w:val="0"/>
    <w:pPr>
      <w:tabs>
        <w:tab w:val="left" w:pos="4473"/>
      </w:tabs>
      <w:contextualSpacing/>
      <w:textAlignment w:val="baseline"/>
      <w:outlineLvl w:val="0"/>
    </w:pPr>
    <w:rPr>
      <w:color w:val="000000"/>
      <w:kern w:val="11"/>
    </w:rPr>
  </w:style>
  <w:style w:type="character" w:customStyle="1" w:styleId="64">
    <w:name w:val="标题 22 Char"/>
    <w:link w:val="63"/>
    <w:qFormat/>
    <w:uiPriority w:val="0"/>
    <w:rPr>
      <w:rFonts w:ascii="Times New Roman" w:hAnsi="Times New Roman"/>
      <w:b/>
      <w:bCs/>
      <w:color w:val="000000"/>
      <w:kern w:val="11"/>
      <w:sz w:val="32"/>
      <w:szCs w:val="32"/>
    </w:rPr>
  </w:style>
  <w:style w:type="character" w:customStyle="1" w:styleId="65">
    <w:name w:val="标题 3 Char"/>
    <w:qFormat/>
    <w:uiPriority w:val="0"/>
    <w:rPr>
      <w:b/>
      <w:bCs/>
      <w:sz w:val="32"/>
      <w:szCs w:val="32"/>
    </w:rPr>
  </w:style>
  <w:style w:type="paragraph" w:customStyle="1" w:styleId="66">
    <w:name w:val="样式 标题 2SeHead wsa2标题 1.1节H21Chapter TitleChapter节标题 1.1...1"/>
    <w:basedOn w:val="3"/>
    <w:qFormat/>
    <w:uiPriority w:val="0"/>
    <w:pPr>
      <w:tabs>
        <w:tab w:val="left" w:pos="-142"/>
      </w:tabs>
      <w:adjustRightInd w:val="0"/>
      <w:spacing w:before="120" w:after="120"/>
      <w:ind w:left="142"/>
      <w:textAlignment w:val="baseline"/>
    </w:pPr>
    <w:rPr>
      <w:rFonts w:ascii="黑体" w:eastAsia="黑体" w:cs="Arial"/>
      <w:b w:val="0"/>
      <w:kern w:val="0"/>
    </w:rPr>
  </w:style>
  <w:style w:type="paragraph" w:customStyle="1" w:styleId="67">
    <w:name w:val="样式 标题 1 + 仿宋_GB2312 小三 行距: 单倍行距"/>
    <w:basedOn w:val="2"/>
    <w:qFormat/>
    <w:uiPriority w:val="0"/>
    <w:pPr>
      <w:adjustRightInd w:val="0"/>
      <w:spacing w:before="340" w:after="330" w:line="240" w:lineRule="auto"/>
      <w:ind w:left="3686"/>
      <w:textAlignment w:val="baseline"/>
    </w:pPr>
    <w:rPr>
      <w:rFonts w:ascii="仿宋_GB2312" w:eastAsia="仿宋_GB2312" w:cs="宋体"/>
      <w:sz w:val="36"/>
      <w:szCs w:val="36"/>
    </w:rPr>
  </w:style>
  <w:style w:type="paragraph" w:customStyle="1" w:styleId="68">
    <w:name w:val="报告正文"/>
    <w:link w:val="69"/>
    <w:qFormat/>
    <w:uiPriority w:val="99"/>
    <w:pPr>
      <w:spacing w:line="360" w:lineRule="auto"/>
      <w:ind w:firstLine="200" w:firstLineChars="200"/>
    </w:pPr>
    <w:rPr>
      <w:rFonts w:ascii="Times New Roman" w:hAnsi="Times New Roman" w:eastAsia="宋体" w:cs="Times New Roman"/>
      <w:kern w:val="2"/>
      <w:sz w:val="24"/>
      <w:szCs w:val="22"/>
      <w:lang w:val="en-US" w:eastAsia="zh-CN" w:bidi="ar-SA"/>
    </w:rPr>
  </w:style>
  <w:style w:type="character" w:customStyle="1" w:styleId="69">
    <w:name w:val="报告正文 Char Char"/>
    <w:link w:val="68"/>
    <w:qFormat/>
    <w:uiPriority w:val="99"/>
    <w:rPr>
      <w:rFonts w:ascii="Times New Roman" w:hAnsi="Times New Roman"/>
      <w:kern w:val="2"/>
      <w:sz w:val="24"/>
      <w:szCs w:val="22"/>
    </w:rPr>
  </w:style>
  <w:style w:type="paragraph" w:customStyle="1" w:styleId="70">
    <w:name w:val="样式 首行缩进:  2 字符1"/>
    <w:basedOn w:val="1"/>
    <w:qFormat/>
    <w:uiPriority w:val="0"/>
    <w:pPr>
      <w:snapToGrid w:val="0"/>
      <w:ind w:firstLine="480"/>
    </w:pPr>
    <w:rPr>
      <w:rFonts w:cs="宋体"/>
      <w:kern w:val="0"/>
      <w:szCs w:val="20"/>
    </w:rPr>
  </w:style>
  <w:style w:type="character" w:customStyle="1" w:styleId="71">
    <w:name w:val="标题 3 Char1"/>
    <w:qFormat/>
    <w:uiPriority w:val="0"/>
    <w:rPr>
      <w:rFonts w:ascii="Times New Roman" w:hAnsi="Times New Roman" w:eastAsia="宋体" w:cs="Times New Roman"/>
      <w:b/>
      <w:bCs/>
      <w:sz w:val="30"/>
      <w:szCs w:val="30"/>
    </w:rPr>
  </w:style>
  <w:style w:type="character" w:customStyle="1" w:styleId="72">
    <w:name w:val="标题 1 Char"/>
    <w:qFormat/>
    <w:uiPriority w:val="9"/>
    <w:rPr>
      <w:rFonts w:ascii="Calibri" w:hAnsi="Calibri" w:eastAsia="宋体" w:cs="Times New Roman"/>
      <w:b/>
      <w:bCs/>
      <w:kern w:val="44"/>
      <w:sz w:val="44"/>
      <w:szCs w:val="44"/>
    </w:rPr>
  </w:style>
  <w:style w:type="paragraph" w:customStyle="1" w:styleId="73">
    <w:name w:val="二级正文"/>
    <w:basedOn w:val="1"/>
    <w:qFormat/>
    <w:uiPriority w:val="0"/>
    <w:pPr>
      <w:tabs>
        <w:tab w:val="left" w:pos="3280"/>
      </w:tabs>
      <w:adjustRightInd w:val="0"/>
      <w:snapToGrid w:val="0"/>
      <w:spacing w:line="360" w:lineRule="exact"/>
      <w:ind w:left="578" w:leftChars="50" w:firstLine="480"/>
      <w:jc w:val="center"/>
      <w:textAlignment w:val="baseline"/>
    </w:pPr>
    <w:rPr>
      <w:kern w:val="0"/>
      <w:szCs w:val="19"/>
    </w:rPr>
  </w:style>
  <w:style w:type="paragraph" w:customStyle="1" w:styleId="74">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75">
    <w:name w:val="图表标题"/>
    <w:basedOn w:val="1"/>
    <w:qFormat/>
    <w:uiPriority w:val="0"/>
    <w:pPr>
      <w:spacing w:line="300" w:lineRule="auto"/>
      <w:ind w:firstLine="0" w:firstLineChars="0"/>
      <w:jc w:val="center"/>
    </w:pPr>
    <w:rPr>
      <w:b/>
      <w:sz w:val="21"/>
      <w:szCs w:val="20"/>
    </w:rPr>
  </w:style>
  <w:style w:type="paragraph" w:customStyle="1" w:styleId="76">
    <w:name w:val="标题1"/>
    <w:basedOn w:val="1"/>
    <w:link w:val="77"/>
    <w:qFormat/>
    <w:uiPriority w:val="0"/>
    <w:pPr>
      <w:keepNext/>
      <w:keepLines/>
      <w:ind w:firstLine="0" w:firstLineChars="0"/>
      <w:jc w:val="center"/>
      <w:outlineLvl w:val="0"/>
    </w:pPr>
    <w:rPr>
      <w:b/>
      <w:bCs/>
      <w:kern w:val="44"/>
      <w:sz w:val="44"/>
      <w:szCs w:val="44"/>
    </w:rPr>
  </w:style>
  <w:style w:type="character" w:customStyle="1" w:styleId="77">
    <w:name w:val="标题1 字符"/>
    <w:basedOn w:val="35"/>
    <w:link w:val="76"/>
    <w:qFormat/>
    <w:uiPriority w:val="0"/>
    <w:rPr>
      <w:rFonts w:ascii="Times New Roman" w:hAnsi="Times New Roman"/>
      <w:b/>
      <w:bCs/>
      <w:kern w:val="44"/>
      <w:sz w:val="44"/>
      <w:szCs w:val="44"/>
    </w:rPr>
  </w:style>
  <w:style w:type="paragraph" w:customStyle="1" w:styleId="78">
    <w:name w:val="标准文字"/>
    <w:basedOn w:val="1"/>
    <w:qFormat/>
    <w:uiPriority w:val="0"/>
    <w:pPr>
      <w:ind w:firstLine="560"/>
    </w:pPr>
    <w:rPr>
      <w:sz w:val="28"/>
    </w:rPr>
  </w:style>
  <w:style w:type="paragraph" w:customStyle="1" w:styleId="79">
    <w:name w:val="表文字-leo"/>
    <w:basedOn w:val="1"/>
    <w:link w:val="80"/>
    <w:qFormat/>
    <w:uiPriority w:val="0"/>
    <w:pPr>
      <w:spacing w:line="300" w:lineRule="auto"/>
      <w:ind w:firstLine="0" w:firstLineChars="0"/>
      <w:jc w:val="center"/>
    </w:pPr>
    <w:rPr>
      <w:rFonts w:cstheme="minorBidi"/>
      <w:color w:val="000000" w:themeColor="text1"/>
      <w:sz w:val="21"/>
      <w14:textFill>
        <w14:solidFill>
          <w14:schemeClr w14:val="tx1"/>
        </w14:solidFill>
      </w14:textFill>
    </w:rPr>
  </w:style>
  <w:style w:type="character" w:customStyle="1" w:styleId="80">
    <w:name w:val="表文字-leo 字符"/>
    <w:basedOn w:val="35"/>
    <w:link w:val="79"/>
    <w:qFormat/>
    <w:uiPriority w:val="0"/>
    <w:rPr>
      <w:rFonts w:cstheme="minorBidi"/>
      <w:color w:val="000000" w:themeColor="text1"/>
      <w:kern w:val="2"/>
      <w:sz w:val="21"/>
      <w:szCs w:val="22"/>
      <w14:textFill>
        <w14:solidFill>
          <w14:schemeClr w14:val="tx1"/>
        </w14:solidFill>
      </w14:textFill>
    </w:rPr>
  </w:style>
  <w:style w:type="character" w:customStyle="1" w:styleId="81">
    <w:name w:val="正文-leo 字符"/>
    <w:basedOn w:val="35"/>
    <w:qFormat/>
    <w:uiPriority w:val="0"/>
    <w:rPr>
      <w:rFonts w:ascii="Times New Roman" w:hAnsi="Times New Roman" w:eastAsia="宋体" w:cs="Times New Roman"/>
      <w:bCs/>
      <w:szCs w:val="21"/>
    </w:rPr>
  </w:style>
  <w:style w:type="paragraph" w:customStyle="1" w:styleId="82">
    <w:name w:val="标题4"/>
    <w:basedOn w:val="5"/>
    <w:link w:val="83"/>
    <w:qFormat/>
    <w:uiPriority w:val="0"/>
    <w:pPr>
      <w:spacing w:before="0" w:after="0" w:line="360" w:lineRule="auto"/>
      <w:ind w:left="0" w:firstLine="0"/>
    </w:pPr>
    <w:rPr>
      <w:rFonts w:ascii="Times New Roman" w:hAnsi="Times New Roman" w:eastAsia="宋体"/>
      <w:bCs/>
      <w:sz w:val="24"/>
    </w:rPr>
  </w:style>
  <w:style w:type="character" w:customStyle="1" w:styleId="83">
    <w:name w:val="标题4 字符"/>
    <w:basedOn w:val="35"/>
    <w:link w:val="82"/>
    <w:qFormat/>
    <w:uiPriority w:val="0"/>
    <w:rPr>
      <w:rFonts w:ascii="Times New Roman" w:hAnsi="Times New Roman" w:eastAsia="宋体" w:cs="Times New Roman"/>
      <w:b/>
      <w:bCs/>
      <w:sz w:val="24"/>
      <w:szCs w:val="28"/>
    </w:rPr>
  </w:style>
  <w:style w:type="character" w:customStyle="1" w:styleId="84">
    <w:name w:val="表格文字 字符"/>
    <w:basedOn w:val="35"/>
    <w:link w:val="43"/>
    <w:qFormat/>
    <w:uiPriority w:val="0"/>
    <w:rPr>
      <w:rFonts w:ascii="Times New Roman" w:hAnsi="Times New Roman" w:eastAsia="宋体" w:cs="Times New Roman"/>
      <w:kern w:val="2"/>
      <w:sz w:val="21"/>
      <w:szCs w:val="22"/>
    </w:rPr>
  </w:style>
  <w:style w:type="paragraph" w:customStyle="1" w:styleId="85">
    <w:name w:val="中大1"/>
    <w:link w:val="86"/>
    <w:qFormat/>
    <w:uiPriority w:val="0"/>
    <w:pPr>
      <w:numPr>
        <w:ilvl w:val="0"/>
        <w:numId w:val="1"/>
      </w:numPr>
      <w:spacing w:before="200" w:beforeLines="200" w:after="100" w:afterLines="100" w:line="360" w:lineRule="auto"/>
      <w:jc w:val="center"/>
      <w:outlineLvl w:val="0"/>
    </w:pPr>
    <w:rPr>
      <w:rFonts w:eastAsia="黑体" w:asciiTheme="majorHAnsi" w:hAnsiTheme="majorHAnsi" w:cstheme="minorBidi"/>
      <w:b/>
      <w:kern w:val="2"/>
      <w:sz w:val="44"/>
      <w:szCs w:val="22"/>
      <w:lang w:val="en-US" w:eastAsia="zh-CN" w:bidi="ar-SA"/>
    </w:rPr>
  </w:style>
  <w:style w:type="character" w:customStyle="1" w:styleId="86">
    <w:name w:val="中大1 Char"/>
    <w:basedOn w:val="35"/>
    <w:link w:val="85"/>
    <w:qFormat/>
    <w:uiPriority w:val="0"/>
    <w:rPr>
      <w:rFonts w:eastAsia="黑体" w:asciiTheme="majorHAnsi" w:hAnsiTheme="majorHAnsi" w:cstheme="minorBidi"/>
      <w:b/>
      <w:kern w:val="2"/>
      <w:sz w:val="44"/>
      <w:szCs w:val="22"/>
    </w:rPr>
  </w:style>
  <w:style w:type="paragraph" w:customStyle="1" w:styleId="87">
    <w:name w:val="中大2"/>
    <w:link w:val="88"/>
    <w:qFormat/>
    <w:uiPriority w:val="0"/>
    <w:pPr>
      <w:numPr>
        <w:ilvl w:val="1"/>
        <w:numId w:val="1"/>
      </w:numPr>
      <w:spacing w:line="360" w:lineRule="auto"/>
      <w:outlineLvl w:val="1"/>
    </w:pPr>
    <w:rPr>
      <w:rFonts w:ascii="Times New Roman" w:hAnsi="Times New Roman" w:eastAsia="黑体" w:cs="Times New Roman"/>
      <w:b/>
      <w:color w:val="000000" w:themeColor="text1"/>
      <w:kern w:val="2"/>
      <w:sz w:val="32"/>
      <w:szCs w:val="22"/>
      <w:lang w:val="en-US" w:eastAsia="zh-CN" w:bidi="ar-SA"/>
      <w14:textFill>
        <w14:solidFill>
          <w14:schemeClr w14:val="tx1"/>
        </w14:solidFill>
      </w14:textFill>
    </w:rPr>
  </w:style>
  <w:style w:type="character" w:customStyle="1" w:styleId="88">
    <w:name w:val="中大2 Char"/>
    <w:basedOn w:val="35"/>
    <w:link w:val="87"/>
    <w:qFormat/>
    <w:uiPriority w:val="0"/>
    <w:rPr>
      <w:rFonts w:ascii="Times New Roman" w:hAnsi="Times New Roman" w:eastAsia="黑体"/>
      <w:b/>
      <w:color w:val="000000" w:themeColor="text1"/>
      <w:kern w:val="2"/>
      <w:sz w:val="32"/>
      <w:szCs w:val="22"/>
      <w14:textFill>
        <w14:solidFill>
          <w14:schemeClr w14:val="tx1"/>
        </w14:solidFill>
      </w14:textFill>
    </w:rPr>
  </w:style>
  <w:style w:type="paragraph" w:customStyle="1" w:styleId="89">
    <w:name w:val="中大3"/>
    <w:qFormat/>
    <w:uiPriority w:val="0"/>
    <w:pPr>
      <w:numPr>
        <w:ilvl w:val="3"/>
        <w:numId w:val="1"/>
      </w:numPr>
      <w:spacing w:line="360" w:lineRule="auto"/>
      <w:outlineLvl w:val="2"/>
    </w:pPr>
    <w:rPr>
      <w:rFonts w:ascii="Times New Roman" w:hAnsi="Times New Roman" w:eastAsia="黑体" w:cs="Times New Roman"/>
      <w:b/>
      <w:kern w:val="2"/>
      <w:sz w:val="24"/>
      <w:szCs w:val="22"/>
      <w:lang w:val="zh-CN" w:eastAsia="zh-CN" w:bidi="ar-SA"/>
    </w:rPr>
  </w:style>
  <w:style w:type="paragraph" w:customStyle="1" w:styleId="90">
    <w:name w:val="中大4"/>
    <w:qFormat/>
    <w:uiPriority w:val="0"/>
    <w:pPr>
      <w:spacing w:before="50" w:beforeLines="50" w:after="50" w:afterLines="50" w:line="360" w:lineRule="auto"/>
      <w:outlineLvl w:val="3"/>
    </w:pPr>
    <w:rPr>
      <w:rFonts w:ascii="Times New Roman" w:hAnsi="Times New Roman" w:eastAsia="黑体" w:cs="Times New Roman"/>
      <w:b/>
      <w:kern w:val="2"/>
      <w:sz w:val="24"/>
      <w:szCs w:val="32"/>
      <w:lang w:val="en-US" w:eastAsia="zh-CN" w:bidi="ar-SA"/>
    </w:rPr>
  </w:style>
  <w:style w:type="paragraph" w:customStyle="1" w:styleId="9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92">
    <w:name w:val="List Paragraph"/>
    <w:basedOn w:val="1"/>
    <w:qFormat/>
    <w:uiPriority w:val="34"/>
    <w:pPr>
      <w:ind w:firstLine="420"/>
    </w:pPr>
  </w:style>
  <w:style w:type="table" w:customStyle="1" w:styleId="93">
    <w:name w:val="lyc form"/>
    <w:basedOn w:val="33"/>
    <w:qFormat/>
    <w:uiPriority w:val="0"/>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character" w:customStyle="1" w:styleId="94">
    <w:name w:val="页眉 Char"/>
    <w:basedOn w:val="35"/>
    <w:link w:val="22"/>
    <w:qFormat/>
    <w:uiPriority w:val="99"/>
    <w:rPr>
      <w:kern w:val="2"/>
      <w:sz w:val="18"/>
      <w:szCs w:val="18"/>
    </w:rPr>
  </w:style>
  <w:style w:type="character" w:customStyle="1" w:styleId="95">
    <w:name w:val="页脚 Char"/>
    <w:basedOn w:val="35"/>
    <w:link w:val="21"/>
    <w:qFormat/>
    <w:uiPriority w:val="99"/>
    <w:rPr>
      <w:kern w:val="2"/>
      <w:sz w:val="18"/>
      <w:szCs w:val="18"/>
    </w:rPr>
  </w:style>
  <w:style w:type="character" w:customStyle="1" w:styleId="96">
    <w:name w:val="font71"/>
    <w:qFormat/>
    <w:uiPriority w:val="0"/>
    <w:rPr>
      <w:rFonts w:hint="default" w:ascii="Times New Roman" w:hAnsi="Times New Roman" w:cs="Times New Roman"/>
      <w:color w:val="000000"/>
      <w:sz w:val="22"/>
      <w:szCs w:val="22"/>
      <w:u w:val="none"/>
    </w:rPr>
  </w:style>
  <w:style w:type="character" w:customStyle="1" w:styleId="97">
    <w:name w:val="font112"/>
    <w:qFormat/>
    <w:uiPriority w:val="0"/>
    <w:rPr>
      <w:rFonts w:hint="eastAsia" w:ascii="宋体" w:hAnsi="宋体" w:eastAsia="宋体" w:cs="宋体"/>
      <w:b/>
      <w:color w:val="000000"/>
      <w:sz w:val="22"/>
      <w:szCs w:val="22"/>
      <w:u w:val="none"/>
    </w:rPr>
  </w:style>
  <w:style w:type="character" w:customStyle="1" w:styleId="98">
    <w:name w:val="font161"/>
    <w:qFormat/>
    <w:uiPriority w:val="0"/>
    <w:rPr>
      <w:rFonts w:hint="default" w:ascii="Times New Roman" w:hAnsi="Times New Roman" w:cs="Times New Roman"/>
      <w:color w:val="000000"/>
      <w:sz w:val="22"/>
      <w:szCs w:val="22"/>
      <w:u w:val="none"/>
    </w:rPr>
  </w:style>
  <w:style w:type="character" w:customStyle="1" w:styleId="99">
    <w:name w:val="font121"/>
    <w:qFormat/>
    <w:uiPriority w:val="0"/>
    <w:rPr>
      <w:rFonts w:hint="eastAsia" w:ascii="宋体" w:hAnsi="宋体" w:eastAsia="宋体" w:cs="宋体"/>
      <w:color w:val="000000"/>
      <w:sz w:val="22"/>
      <w:szCs w:val="22"/>
      <w:u w:val="none"/>
    </w:rPr>
  </w:style>
  <w:style w:type="character" w:customStyle="1" w:styleId="100">
    <w:name w:val="font11"/>
    <w:qFormat/>
    <w:uiPriority w:val="0"/>
    <w:rPr>
      <w:rFonts w:hint="eastAsia" w:ascii="宋体" w:hAnsi="宋体" w:eastAsia="宋体" w:cs="宋体"/>
      <w:b/>
      <w:color w:val="000000"/>
      <w:sz w:val="22"/>
      <w:szCs w:val="22"/>
      <w:u w:val="none"/>
    </w:rPr>
  </w:style>
  <w:style w:type="character" w:customStyle="1" w:styleId="101">
    <w:name w:val="font61"/>
    <w:qFormat/>
    <w:uiPriority w:val="0"/>
    <w:rPr>
      <w:rFonts w:hint="eastAsia" w:ascii="宋体" w:hAnsi="宋体" w:eastAsia="宋体" w:cs="宋体"/>
      <w:color w:val="000000"/>
      <w:sz w:val="22"/>
      <w:szCs w:val="22"/>
      <w:u w:val="none"/>
    </w:rPr>
  </w:style>
  <w:style w:type="character" w:customStyle="1" w:styleId="102">
    <w:name w:val="font81"/>
    <w:qFormat/>
    <w:uiPriority w:val="0"/>
    <w:rPr>
      <w:rFonts w:ascii="微软雅黑" w:hAnsi="微软雅黑" w:eastAsia="微软雅黑" w:cs="微软雅黑"/>
      <w:color w:val="000000"/>
      <w:sz w:val="20"/>
      <w:szCs w:val="20"/>
      <w:u w:val="none"/>
    </w:rPr>
  </w:style>
  <w:style w:type="character" w:customStyle="1" w:styleId="103">
    <w:name w:val="font101"/>
    <w:qFormat/>
    <w:uiPriority w:val="0"/>
    <w:rPr>
      <w:rFonts w:hint="eastAsia" w:ascii="宋体" w:hAnsi="宋体" w:eastAsia="宋体" w:cs="宋体"/>
      <w:color w:val="000000"/>
      <w:sz w:val="22"/>
      <w:szCs w:val="22"/>
      <w:u w:val="none"/>
    </w:rPr>
  </w:style>
  <w:style w:type="character" w:customStyle="1" w:styleId="104">
    <w:name w:val="font91"/>
    <w:qFormat/>
    <w:uiPriority w:val="0"/>
    <w:rPr>
      <w:rFonts w:ascii="宋体" w:hAnsi="宋体" w:eastAsia="宋体" w:cs="宋体"/>
      <w:color w:val="000000"/>
      <w:sz w:val="22"/>
      <w:szCs w:val="22"/>
      <w:u w:val="none"/>
    </w:rPr>
  </w:style>
  <w:style w:type="character" w:customStyle="1" w:styleId="105">
    <w:name w:val="脚注文本 Char"/>
    <w:basedOn w:val="35"/>
    <w:link w:val="25"/>
    <w:qFormat/>
    <w:uiPriority w:val="99"/>
    <w:rPr>
      <w:rFonts w:ascii="Calibri" w:hAnsi="Calibri"/>
      <w:kern w:val="2"/>
      <w:sz w:val="18"/>
      <w:szCs w:val="18"/>
    </w:rPr>
  </w:style>
  <w:style w:type="paragraph" w:customStyle="1" w:styleId="106">
    <w:name w:val="font5"/>
    <w:basedOn w:val="1"/>
    <w:qFormat/>
    <w:uiPriority w:val="0"/>
    <w:pPr>
      <w:widowControl/>
      <w:spacing w:before="100" w:beforeAutospacing="1" w:after="100" w:afterAutospacing="1" w:line="240" w:lineRule="auto"/>
      <w:ind w:firstLine="0" w:firstLineChars="0"/>
      <w:jc w:val="left"/>
    </w:pPr>
    <w:rPr>
      <w:color w:val="000000"/>
      <w:kern w:val="0"/>
      <w:sz w:val="22"/>
    </w:rPr>
  </w:style>
  <w:style w:type="paragraph" w:customStyle="1" w:styleId="107">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08">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10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Cs w:val="24"/>
    </w:rPr>
  </w:style>
  <w:style w:type="paragraph" w:customStyle="1" w:styleId="11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Cs w:val="24"/>
    </w:rPr>
  </w:style>
  <w:style w:type="table" w:customStyle="1" w:styleId="111">
    <w:name w:val="网格型1"/>
    <w:basedOn w:val="3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2">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4">
    <w:name w:val="xl65"/>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115">
    <w:name w:val="xl66"/>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11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sz w:val="20"/>
      <w:szCs w:val="20"/>
    </w:rPr>
  </w:style>
  <w:style w:type="paragraph" w:customStyle="1" w:styleId="117">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sz w:val="20"/>
      <w:szCs w:val="20"/>
    </w:rPr>
  </w:style>
  <w:style w:type="paragraph" w:customStyle="1" w:styleId="11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sz w:val="20"/>
      <w:szCs w:val="20"/>
    </w:rPr>
  </w:style>
  <w:style w:type="character" w:customStyle="1" w:styleId="119">
    <w:name w:val="尾注文本 Char"/>
    <w:basedOn w:val="35"/>
    <w:link w:val="19"/>
    <w:semiHidden/>
    <w:qFormat/>
    <w:uiPriority w:val="99"/>
    <w:rPr>
      <w:kern w:val="2"/>
      <w:sz w:val="24"/>
      <w:szCs w:val="22"/>
    </w:rPr>
  </w:style>
  <w:style w:type="table" w:customStyle="1" w:styleId="120">
    <w:name w:val="lyc form1"/>
    <w:basedOn w:val="33"/>
    <w:qFormat/>
    <w:uiPriority w:val="0"/>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21">
    <w:name w:val="lyc form2"/>
    <w:basedOn w:val="33"/>
    <w:qFormat/>
    <w:uiPriority w:val="0"/>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paragraph" w:customStyle="1" w:styleId="122">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23">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4">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szCs w:val="21"/>
    </w:rPr>
  </w:style>
  <w:style w:type="paragraph" w:customStyle="1" w:styleId="125">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26">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character" w:styleId="127">
    <w:name w:val="Placeholder Text"/>
    <w:basedOn w:val="35"/>
    <w:semiHidden/>
    <w:qFormat/>
    <w:uiPriority w:val="99"/>
    <w:rPr>
      <w:color w:val="808080"/>
    </w:rPr>
  </w:style>
  <w:style w:type="paragraph" w:customStyle="1" w:styleId="128">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29">
    <w:name w:val="正文文本 Char"/>
    <w:basedOn w:val="35"/>
    <w:link w:val="13"/>
    <w:qFormat/>
    <w:uiPriority w:val="0"/>
    <w:rPr>
      <w:rFonts w:ascii="宋体" w:hAnsi="宋体"/>
      <w:bCs/>
      <w:kern w:val="2"/>
      <w:sz w:val="24"/>
      <w:szCs w:val="24"/>
    </w:rPr>
  </w:style>
  <w:style w:type="paragraph" w:customStyle="1" w:styleId="130">
    <w:name w:val="样式 样式 标题 2 + 段前: 0.5 行 段后: 0.5 行 + 段前: 0.5 行 段后: 0.5 行"/>
    <w:basedOn w:val="1"/>
    <w:qFormat/>
    <w:uiPriority w:val="0"/>
    <w:pPr>
      <w:widowControl/>
      <w:numPr>
        <w:ilvl w:val="1"/>
        <w:numId w:val="2"/>
      </w:numPr>
      <w:tabs>
        <w:tab w:val="left" w:pos="720"/>
      </w:tabs>
      <w:spacing w:beforeLines="50" w:afterLines="50"/>
      <w:ind w:firstLine="0" w:firstLineChars="0"/>
      <w:jc w:val="left"/>
      <w:outlineLvl w:val="1"/>
    </w:pPr>
    <w:rPr>
      <w:rFonts w:ascii="Cambria" w:hAnsi="Cambria" w:eastAsia="黑体" w:cs="Courier New"/>
      <w:b/>
      <w:bCs/>
      <w:kern w:val="0"/>
      <w:sz w:val="22"/>
    </w:rPr>
  </w:style>
  <w:style w:type="paragraph" w:customStyle="1" w:styleId="131">
    <w:name w:val="样式 样式 标题 3 + 段前: 0.5 行 段后: 0.5 行 + 段前: 0.5 行 段后: 0.5 行"/>
    <w:basedOn w:val="1"/>
    <w:qFormat/>
    <w:uiPriority w:val="0"/>
    <w:pPr>
      <w:widowControl/>
      <w:numPr>
        <w:ilvl w:val="2"/>
        <w:numId w:val="2"/>
      </w:numPr>
      <w:tabs>
        <w:tab w:val="left" w:pos="840"/>
      </w:tabs>
      <w:spacing w:beforeLines="50" w:afterLines="50"/>
      <w:ind w:firstLine="0" w:firstLineChars="0"/>
      <w:jc w:val="left"/>
      <w:outlineLvl w:val="2"/>
    </w:pPr>
    <w:rPr>
      <w:rFonts w:ascii="Cambria" w:hAnsi="Cambria" w:eastAsia="黑体" w:cs="Courier New"/>
      <w:b/>
      <w:bCs/>
      <w:kern w:val="0"/>
      <w:sz w:val="22"/>
    </w:rPr>
  </w:style>
  <w:style w:type="paragraph" w:customStyle="1" w:styleId="132">
    <w:name w:val="样式 样式 样式 标题 4 + 段前: 0.5 行 段后: 0.5 行 + 段前: 0.5 行 段后: 0.5 行 + 段前: ..."/>
    <w:basedOn w:val="1"/>
    <w:qFormat/>
    <w:uiPriority w:val="0"/>
    <w:pPr>
      <w:widowControl/>
      <w:numPr>
        <w:ilvl w:val="3"/>
        <w:numId w:val="2"/>
      </w:numPr>
      <w:tabs>
        <w:tab w:val="left" w:pos="1050"/>
      </w:tabs>
      <w:spacing w:beforeLines="50" w:afterLines="50"/>
      <w:ind w:firstLine="0" w:firstLineChars="0"/>
      <w:jc w:val="left"/>
      <w:outlineLvl w:val="3"/>
    </w:pPr>
    <w:rPr>
      <w:rFonts w:ascii="Cambria" w:hAnsi="Cambria" w:eastAsia="黑体" w:cs="Courier New"/>
      <w:b/>
      <w:bCs/>
      <w:kern w:val="0"/>
      <w:sz w:val="22"/>
    </w:rPr>
  </w:style>
  <w:style w:type="paragraph" w:customStyle="1" w:styleId="133">
    <w:name w:val="样式 标题 5 + 段前: 0.5 行 段后: 0.5 行"/>
    <w:basedOn w:val="6"/>
    <w:qFormat/>
    <w:uiPriority w:val="0"/>
    <w:pPr>
      <w:keepNext w:val="0"/>
      <w:keepLines w:val="0"/>
      <w:widowControl/>
      <w:numPr>
        <w:ilvl w:val="4"/>
        <w:numId w:val="2"/>
      </w:numPr>
      <w:tabs>
        <w:tab w:val="left" w:pos="1260"/>
        <w:tab w:val="clear" w:pos="1008"/>
        <w:tab w:val="clear" w:pos="1364"/>
      </w:tabs>
      <w:snapToGrid w:val="0"/>
      <w:spacing w:before="156" w:beforeLines="50" w:after="156" w:afterLines="50" w:line="360" w:lineRule="auto"/>
      <w:ind w:left="2551" w:hanging="850" w:firstLineChars="100"/>
      <w:jc w:val="left"/>
      <w:textAlignment w:val="auto"/>
    </w:pPr>
    <w:rPr>
      <w:rFonts w:ascii="Cambria" w:hAnsi="Cambria" w:eastAsia="黑体" w:cs="Courier New"/>
      <w:b w:val="0"/>
      <w:bCs w:val="0"/>
      <w:i/>
      <w:iCs/>
      <w:sz w:val="24"/>
      <w:szCs w:val="20"/>
      <w:lang w:bidi="en-US"/>
    </w:rPr>
  </w:style>
  <w:style w:type="paragraph" w:customStyle="1" w:styleId="134">
    <w:name w:val="xl70"/>
    <w:basedOn w:val="1"/>
    <w:qFormat/>
    <w:uiPriority w:val="0"/>
    <w:pPr>
      <w:widowControl/>
      <w:spacing w:before="100" w:beforeAutospacing="1" w:after="100" w:afterAutospacing="1" w:line="240" w:lineRule="auto"/>
      <w:ind w:firstLine="0" w:firstLineChars="0"/>
      <w:jc w:val="center"/>
      <w:textAlignment w:val="bottom"/>
    </w:pPr>
    <w:rPr>
      <w:rFonts w:ascii="宋体" w:hAnsi="宋体" w:cs="宋体"/>
      <w:kern w:val="0"/>
      <w:szCs w:val="24"/>
    </w:rPr>
  </w:style>
  <w:style w:type="paragraph" w:customStyle="1" w:styleId="135">
    <w:name w:val="font0"/>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136">
    <w:name w:val="xl71"/>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137">
    <w:name w:val="xl7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38">
    <w:name w:val="xl73"/>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character" w:customStyle="1" w:styleId="139">
    <w:name w:val="正文首行缩进 Char"/>
    <w:basedOn w:val="129"/>
    <w:link w:val="32"/>
    <w:qFormat/>
    <w:uiPriority w:val="0"/>
    <w:rPr>
      <w:rFonts w:ascii="宋体" w:hAnsi="宋体"/>
      <w:bCs w:val="0"/>
      <w:kern w:val="2"/>
      <w:sz w:val="24"/>
      <w:szCs w:val="22"/>
    </w:rPr>
  </w:style>
  <w:style w:type="character" w:customStyle="1" w:styleId="140">
    <w:name w:val="fw2"/>
    <w:basedOn w:val="35"/>
    <w:qFormat/>
    <w:uiPriority w:val="0"/>
  </w:style>
  <w:style w:type="paragraph" w:customStyle="1" w:styleId="141">
    <w:name w:val="xl74"/>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2">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3">
    <w:name w:val="xl76"/>
    <w:basedOn w:val="1"/>
    <w:qFormat/>
    <w:uiPriority w:val="0"/>
    <w:pPr>
      <w:widowControl/>
      <w:pBdr>
        <w:top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4">
    <w:name w:val="xl77"/>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5">
    <w:name w:val="xl78"/>
    <w:basedOn w:val="1"/>
    <w:qFormat/>
    <w:uiPriority w:val="0"/>
    <w:pPr>
      <w:widowControl/>
      <w:pBdr>
        <w:bottom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6">
    <w:name w:val="xl79"/>
    <w:basedOn w:val="1"/>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7">
    <w:name w:val="xl80"/>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8">
    <w:name w:val="xl81"/>
    <w:basedOn w:val="1"/>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49">
    <w:name w:val="xl82"/>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150">
    <w:name w:val="xl85"/>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center"/>
    </w:pPr>
    <w:rPr>
      <w:color w:val="000000"/>
      <w:kern w:val="0"/>
      <w:sz w:val="21"/>
      <w:szCs w:val="21"/>
    </w:rPr>
  </w:style>
  <w:style w:type="character" w:customStyle="1" w:styleId="151">
    <w:name w:val="font41"/>
    <w:basedOn w:val="35"/>
    <w:qFormat/>
    <w:uiPriority w:val="0"/>
    <w:rPr>
      <w:rFonts w:hint="default" w:ascii="Times New Roman" w:hAnsi="Times New Roman" w:cs="Times New Roman"/>
      <w:b/>
      <w:color w:val="000000"/>
      <w:sz w:val="21"/>
      <w:szCs w:val="21"/>
      <w:u w:val="none"/>
    </w:rPr>
  </w:style>
  <w:style w:type="character" w:customStyle="1" w:styleId="152">
    <w:name w:val="font51"/>
    <w:basedOn w:val="35"/>
    <w:qFormat/>
    <w:uiPriority w:val="0"/>
    <w:rPr>
      <w:rFonts w:hint="default" w:ascii="Times New Roman" w:hAnsi="Times New Roman" w:cs="Times New Roman"/>
      <w:color w:val="000000"/>
      <w:sz w:val="21"/>
      <w:szCs w:val="21"/>
      <w:u w:val="none"/>
    </w:rPr>
  </w:style>
  <w:style w:type="character" w:customStyle="1" w:styleId="153">
    <w:name w:val="font31"/>
    <w:basedOn w:val="35"/>
    <w:qFormat/>
    <w:uiPriority w:val="0"/>
    <w:rPr>
      <w:rFonts w:hint="eastAsia" w:ascii="宋体" w:hAnsi="宋体" w:eastAsia="宋体" w:cs="宋体"/>
      <w:color w:val="000000"/>
      <w:sz w:val="21"/>
      <w:szCs w:val="21"/>
      <w:u w:val="none"/>
    </w:rPr>
  </w:style>
  <w:style w:type="character" w:customStyle="1" w:styleId="154">
    <w:name w:val="font21"/>
    <w:basedOn w:val="35"/>
    <w:qFormat/>
    <w:uiPriority w:val="0"/>
    <w:rPr>
      <w:rFonts w:hint="eastAsia" w:ascii="宋体" w:hAnsi="宋体" w:eastAsia="宋体" w:cs="宋体"/>
      <w:color w:val="000000"/>
      <w:sz w:val="21"/>
      <w:szCs w:val="21"/>
      <w:u w:val="none"/>
    </w:rPr>
  </w:style>
  <w:style w:type="table" w:customStyle="1" w:styleId="155">
    <w:name w:val="lyc form3"/>
    <w:basedOn w:val="33"/>
    <w:qFormat/>
    <w:uiPriority w:val="0"/>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56">
    <w:name w:val="网格型7"/>
    <w:basedOn w:val="33"/>
    <w:qFormat/>
    <w:uiPriority w:val="0"/>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7">
    <w:name w:val="网格型71"/>
    <w:basedOn w:val="33"/>
    <w:qFormat/>
    <w:uiPriority w:val="0"/>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8">
    <w:name w:val="网格型72"/>
    <w:basedOn w:val="33"/>
    <w:qFormat/>
    <w:uiPriority w:val="0"/>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
    <w:name w:val="lyc form4"/>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60">
    <w:name w:val="lyc form5"/>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character" w:customStyle="1" w:styleId="161">
    <w:name w:val="日期 Char"/>
    <w:basedOn w:val="35"/>
    <w:link w:val="18"/>
    <w:semiHidden/>
    <w:qFormat/>
    <w:uiPriority w:val="99"/>
    <w:rPr>
      <w:rFonts w:ascii="Times New Roman" w:hAnsi="Times New Roman"/>
      <w:kern w:val="2"/>
      <w:sz w:val="24"/>
      <w:szCs w:val="22"/>
    </w:rPr>
  </w:style>
  <w:style w:type="table" w:customStyle="1" w:styleId="162">
    <w:name w:val="lyc form6"/>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63">
    <w:name w:val="lyc form21"/>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64">
    <w:name w:val="网格型2"/>
    <w:basedOn w:val="33"/>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5">
    <w:name w:val="hklm_inline"/>
    <w:basedOn w:val="35"/>
    <w:qFormat/>
    <w:uiPriority w:val="0"/>
  </w:style>
  <w:style w:type="character" w:customStyle="1" w:styleId="166">
    <w:name w:val="未处理的提及1"/>
    <w:basedOn w:val="35"/>
    <w:semiHidden/>
    <w:unhideWhenUsed/>
    <w:qFormat/>
    <w:uiPriority w:val="99"/>
    <w:rPr>
      <w:color w:val="605E5C"/>
      <w:shd w:val="clear" w:color="auto" w:fill="E1DFDD"/>
    </w:rPr>
  </w:style>
  <w:style w:type="character" w:customStyle="1" w:styleId="167">
    <w:name w:val="未处理的提及2"/>
    <w:basedOn w:val="35"/>
    <w:semiHidden/>
    <w:unhideWhenUsed/>
    <w:qFormat/>
    <w:uiPriority w:val="99"/>
    <w:rPr>
      <w:color w:val="605E5C"/>
      <w:shd w:val="clear" w:color="auto" w:fill="E1DFDD"/>
    </w:rPr>
  </w:style>
  <w:style w:type="table" w:customStyle="1" w:styleId="168">
    <w:name w:val="网格型3"/>
    <w:basedOn w:val="33"/>
    <w:qFormat/>
    <w:uiPriority w:val="59"/>
    <w:rPr>
      <w:rFonts w:eastAsia="微软雅黑"/>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
    <w:name w:val="lyc form7"/>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70">
    <w:name w:val="lyc form8"/>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71">
    <w:name w:val="lyc form9"/>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72">
    <w:name w:val="lyc form10"/>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73">
    <w:name w:val="lyc form11"/>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74">
    <w:name w:val="网格型4"/>
    <w:basedOn w:val="33"/>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
    <w:name w:val="lyc form12"/>
    <w:basedOn w:val="33"/>
    <w:qFormat/>
    <w:uiPriority w:val="0"/>
    <w:rPr>
      <w:rFonts w:ascii="Times New Roman" w:hAnsi="Times New Roman"/>
    </w:rPr>
    <w:tblPr>
      <w:tblBorders>
        <w:top w:val="double" w:color="auto" w:sz="4" w:space="0"/>
        <w:bottom w:val="double" w:color="auto" w:sz="4" w:space="0"/>
        <w:insideH w:val="single" w:color="auto" w:sz="4" w:space="0"/>
        <w:insideV w:val="single" w:color="auto" w:sz="4" w:space="0"/>
      </w:tblBorders>
    </w:tblPr>
    <w:tcPr>
      <w:vAlign w:val="center"/>
    </w:tcPr>
    <w:tblStylePr w:type="lastRow">
      <w:rPr>
        <w:b/>
      </w:rPr>
    </w:tblStylePr>
    <w:tblStylePr w:type="firstCol">
      <w:rPr>
        <w:b/>
      </w:rPr>
    </w:tblStylePr>
  </w:style>
  <w:style w:type="table" w:customStyle="1" w:styleId="176">
    <w:name w:val="lyc form13"/>
    <w:basedOn w:val="33"/>
    <w:qFormat/>
    <w:uiPriority w:val="0"/>
    <w:rPr>
      <w:rFonts w:ascii="Times New Roman" w:hAnsi="Times New Roman"/>
    </w:rPr>
    <w:tblPr>
      <w:jc w:val="center"/>
      <w:tblBorders>
        <w:top w:val="double" w:color="auto" w:sz="4" w:space="0"/>
        <w:bottom w:val="double" w:color="auto" w:sz="4" w:space="0"/>
        <w:insideH w:val="single" w:color="auto" w:sz="4" w:space="0"/>
        <w:insideV w:val="single" w:color="auto" w:sz="4" w:space="0"/>
      </w:tblBorders>
    </w:tblPr>
    <w:trPr>
      <w:jc w:val="center"/>
    </w:trPr>
    <w:tcPr>
      <w:vAlign w:val="center"/>
    </w:tcPr>
    <w:tblStylePr w:type="lastRow">
      <w:rPr>
        <w:b/>
      </w:rPr>
    </w:tblStylePr>
    <w:tblStylePr w:type="firstCol">
      <w:rPr>
        <w:b/>
      </w:rPr>
    </w:tblStylePr>
  </w:style>
  <w:style w:type="table" w:customStyle="1" w:styleId="177">
    <w:name w:val="网格型5"/>
    <w:basedOn w:val="3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网格型6"/>
    <w:basedOn w:val="3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网格型8"/>
    <w:basedOn w:val="3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网格型9"/>
    <w:basedOn w:val="3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网格型10"/>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网格型11"/>
    <w:basedOn w:val="3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chart" Target="charts/chart36.xml"/><Relationship Id="rId52" Type="http://schemas.openxmlformats.org/officeDocument/2006/relationships/chart" Target="charts/chart35.xml"/><Relationship Id="rId51" Type="http://schemas.openxmlformats.org/officeDocument/2006/relationships/chart" Target="charts/chart34.xml"/><Relationship Id="rId50" Type="http://schemas.openxmlformats.org/officeDocument/2006/relationships/chart" Target="charts/chart33.xml"/><Relationship Id="rId5" Type="http://schemas.openxmlformats.org/officeDocument/2006/relationships/header" Target="header1.xml"/><Relationship Id="rId49" Type="http://schemas.openxmlformats.org/officeDocument/2006/relationships/chart" Target="charts/chart32.xml"/><Relationship Id="rId48" Type="http://schemas.openxmlformats.org/officeDocument/2006/relationships/chart" Target="charts/chart31.xml"/><Relationship Id="rId47" Type="http://schemas.openxmlformats.org/officeDocument/2006/relationships/chart" Target="charts/chart30.xml"/><Relationship Id="rId46" Type="http://schemas.openxmlformats.org/officeDocument/2006/relationships/chart" Target="charts/chart29.xml"/><Relationship Id="rId45" Type="http://schemas.openxmlformats.org/officeDocument/2006/relationships/image" Target="media/image2.emf"/><Relationship Id="rId44" Type="http://schemas.openxmlformats.org/officeDocument/2006/relationships/chart" Target="charts/chart28.xml"/><Relationship Id="rId43" Type="http://schemas.openxmlformats.org/officeDocument/2006/relationships/chart" Target="charts/chart27.xml"/><Relationship Id="rId42" Type="http://schemas.openxmlformats.org/officeDocument/2006/relationships/chart" Target="charts/chart26.xml"/><Relationship Id="rId41" Type="http://schemas.openxmlformats.org/officeDocument/2006/relationships/chart" Target="charts/chart25.xml"/><Relationship Id="rId40" Type="http://schemas.openxmlformats.org/officeDocument/2006/relationships/chart" Target="charts/chart24.xml"/><Relationship Id="rId4" Type="http://schemas.openxmlformats.org/officeDocument/2006/relationships/endnotes" Target="endnotes.xml"/><Relationship Id="rId39" Type="http://schemas.openxmlformats.org/officeDocument/2006/relationships/chart" Target="charts/chart23.xml"/><Relationship Id="rId38" Type="http://schemas.openxmlformats.org/officeDocument/2006/relationships/chart" Target="charts/chart22.xml"/><Relationship Id="rId37" Type="http://schemas.openxmlformats.org/officeDocument/2006/relationships/chart" Target="charts/chart21.xml"/><Relationship Id="rId36" Type="http://schemas.openxmlformats.org/officeDocument/2006/relationships/chart" Target="charts/chart20.xml"/><Relationship Id="rId35" Type="http://schemas.openxmlformats.org/officeDocument/2006/relationships/chart" Target="charts/chart19.xml"/><Relationship Id="rId34" Type="http://schemas.openxmlformats.org/officeDocument/2006/relationships/chart" Target="charts/chart18.xml"/><Relationship Id="rId33" Type="http://schemas.openxmlformats.org/officeDocument/2006/relationships/chart" Target="charts/chart17.xml"/><Relationship Id="rId32" Type="http://schemas.openxmlformats.org/officeDocument/2006/relationships/chart" Target="charts/chart16.xml"/><Relationship Id="rId31" Type="http://schemas.openxmlformats.org/officeDocument/2006/relationships/chart" Target="charts/chart15.xml"/><Relationship Id="rId30" Type="http://schemas.openxmlformats.org/officeDocument/2006/relationships/chart" Target="charts/chart14.xml"/><Relationship Id="rId3" Type="http://schemas.openxmlformats.org/officeDocument/2006/relationships/footnotes" Target="footnotes.xml"/><Relationship Id="rId29" Type="http://schemas.openxmlformats.org/officeDocument/2006/relationships/chart" Target="charts/chart13.xml"/><Relationship Id="rId28" Type="http://schemas.openxmlformats.org/officeDocument/2006/relationships/chart" Target="charts/chart12.xml"/><Relationship Id="rId27" Type="http://schemas.openxmlformats.org/officeDocument/2006/relationships/chart" Target="charts/chart11.xml"/><Relationship Id="rId26" Type="http://schemas.openxmlformats.org/officeDocument/2006/relationships/chart" Target="charts/chart10.xml"/><Relationship Id="rId25" Type="http://schemas.openxmlformats.org/officeDocument/2006/relationships/image" Target="media/image1.emf"/><Relationship Id="rId24" Type="http://schemas.openxmlformats.org/officeDocument/2006/relationships/chart" Target="charts/chart9.xml"/><Relationship Id="rId23" Type="http://schemas.openxmlformats.org/officeDocument/2006/relationships/chart" Target="charts/chart8.xml"/><Relationship Id="rId22" Type="http://schemas.openxmlformats.org/officeDocument/2006/relationships/chart" Target="charts/chart7.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17.xml"/><Relationship Id="rId1" Type="http://schemas.openxmlformats.org/officeDocument/2006/relationships/package" Target="../embeddings/Workbook17.xlsx"/></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18.xml"/><Relationship Id="rId1" Type="http://schemas.openxmlformats.org/officeDocument/2006/relationships/package" Target="../embeddings/Workbook18.xlsx"/></Relationships>
</file>

<file path=word/charts/_rels/chart12.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package" Target="../embeddings/Workbook10.xlsx"/></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package" Target="../embeddings/Workbook9.xlsx"/></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themeOverride" Target="../theme/themeOverride29.xml"/><Relationship Id="rId1" Type="http://schemas.openxmlformats.org/officeDocument/2006/relationships/package" Target="../embeddings/Workbook29.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themeOverride" Target="../theme/themeOverride19.xml"/><Relationship Id="rId1" Type="http://schemas.openxmlformats.org/officeDocument/2006/relationships/package" Target="../embeddings/Workbook19.xlsx"/></Relationships>
</file>

<file path=word/charts/_rels/chart21.xml.rels><?xml version="1.0" encoding="UTF-8" standalone="yes"?>
<Relationships xmlns="http://schemas.openxmlformats.org/package/2006/relationships"><Relationship Id="rId2" Type="http://schemas.openxmlformats.org/officeDocument/2006/relationships/themeOverride" Target="../theme/themeOverride36.xml"/><Relationship Id="rId1" Type="http://schemas.openxmlformats.org/officeDocument/2006/relationships/package" Target="../embeddings/Workbook36.xlsx"/></Relationships>
</file>

<file path=word/charts/_rels/chart22.xml.rels><?xml version="1.0" encoding="UTF-8" standalone="yes"?>
<Relationships xmlns="http://schemas.openxmlformats.org/package/2006/relationships"><Relationship Id="rId2" Type="http://schemas.openxmlformats.org/officeDocument/2006/relationships/themeOverride" Target="../theme/themeOverride25.xml"/><Relationship Id="rId1" Type="http://schemas.openxmlformats.org/officeDocument/2006/relationships/package" Target="../embeddings/Workbook25.xlsx"/></Relationships>
</file>

<file path=word/charts/_rels/chart23.xml.rels><?xml version="1.0" encoding="UTF-8" standalone="yes"?>
<Relationships xmlns="http://schemas.openxmlformats.org/package/2006/relationships"><Relationship Id="rId2" Type="http://schemas.openxmlformats.org/officeDocument/2006/relationships/themeOverride" Target="../theme/themeOverride34.xml"/><Relationship Id="rId1" Type="http://schemas.openxmlformats.org/officeDocument/2006/relationships/package" Target="../embeddings/Workbook34.xlsx"/></Relationships>
</file>

<file path=word/charts/_rels/chart24.xml.rels><?xml version="1.0" encoding="UTF-8" standalone="yes"?>
<Relationships xmlns="http://schemas.openxmlformats.org/package/2006/relationships"><Relationship Id="rId2" Type="http://schemas.openxmlformats.org/officeDocument/2006/relationships/themeOverride" Target="../theme/themeOverride35.xml"/><Relationship Id="rId1" Type="http://schemas.openxmlformats.org/officeDocument/2006/relationships/package" Target="../embeddings/Workbook35.xlsx"/></Relationships>
</file>

<file path=word/charts/_rels/chart25.xml.rels><?xml version="1.0" encoding="UTF-8" standalone="yes"?>
<Relationships xmlns="http://schemas.openxmlformats.org/package/2006/relationships"><Relationship Id="rId2" Type="http://schemas.openxmlformats.org/officeDocument/2006/relationships/themeOverride" Target="../theme/themeOverride28.xml"/><Relationship Id="rId1" Type="http://schemas.openxmlformats.org/officeDocument/2006/relationships/package" Target="../embeddings/Workbook28.xlsx"/></Relationships>
</file>

<file path=word/charts/_rels/chart26.xml.rels><?xml version="1.0" encoding="UTF-8" standalone="yes"?>
<Relationships xmlns="http://schemas.openxmlformats.org/package/2006/relationships"><Relationship Id="rId2" Type="http://schemas.openxmlformats.org/officeDocument/2006/relationships/themeOverride" Target="../theme/themeOverride27.xml"/><Relationship Id="rId1" Type="http://schemas.openxmlformats.org/officeDocument/2006/relationships/package" Target="../embeddings/Workbook27.xlsx"/></Relationships>
</file>

<file path=word/charts/_rels/chart27.xml.rels><?xml version="1.0" encoding="UTF-8" standalone="yes"?>
<Relationships xmlns="http://schemas.openxmlformats.org/package/2006/relationships"><Relationship Id="rId2" Type="http://schemas.openxmlformats.org/officeDocument/2006/relationships/themeOverride" Target="../theme/themeOverride20.xml"/><Relationship Id="rId1" Type="http://schemas.openxmlformats.org/officeDocument/2006/relationships/package" Target="../embeddings/Workbook20.xlsx"/></Relationships>
</file>

<file path=word/charts/_rels/chart28.xml.rels><?xml version="1.0" encoding="UTF-8" standalone="yes"?>
<Relationships xmlns="http://schemas.openxmlformats.org/package/2006/relationships"><Relationship Id="rId2" Type="http://schemas.openxmlformats.org/officeDocument/2006/relationships/themeOverride" Target="../theme/themeOverride21.xml"/><Relationship Id="rId1" Type="http://schemas.openxmlformats.org/officeDocument/2006/relationships/package" Target="../embeddings/Workbook21.xlsx"/></Relationships>
</file>

<file path=word/charts/_rels/chart29.xml.rels><?xml version="1.0" encoding="UTF-8" standalone="yes"?>
<Relationships xmlns="http://schemas.openxmlformats.org/package/2006/relationships"><Relationship Id="rId2" Type="http://schemas.openxmlformats.org/officeDocument/2006/relationships/themeOverride" Target="../theme/themeOverride31.xml"/><Relationship Id="rId1" Type="http://schemas.openxmlformats.org/officeDocument/2006/relationships/package" Target="../embeddings/Workbook31.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30.xml.rels><?xml version="1.0" encoding="UTF-8" standalone="yes"?>
<Relationships xmlns="http://schemas.openxmlformats.org/package/2006/relationships"><Relationship Id="rId2" Type="http://schemas.openxmlformats.org/officeDocument/2006/relationships/themeOverride" Target="../theme/themeOverride23.xml"/><Relationship Id="rId1" Type="http://schemas.openxmlformats.org/officeDocument/2006/relationships/package" Target="../embeddings/Workbook23.xlsx"/></Relationships>
</file>

<file path=word/charts/_rels/chart31.xml.rels><?xml version="1.0" encoding="UTF-8" standalone="yes"?>
<Relationships xmlns="http://schemas.openxmlformats.org/package/2006/relationships"><Relationship Id="rId2" Type="http://schemas.openxmlformats.org/officeDocument/2006/relationships/themeOverride" Target="../theme/themeOverride32.xml"/><Relationship Id="rId1" Type="http://schemas.openxmlformats.org/officeDocument/2006/relationships/package" Target="../embeddings/Workbook32.xlsx"/></Relationships>
</file>

<file path=word/charts/_rels/chart32.xml.rels><?xml version="1.0" encoding="UTF-8" standalone="yes"?>
<Relationships xmlns="http://schemas.openxmlformats.org/package/2006/relationships"><Relationship Id="rId2" Type="http://schemas.openxmlformats.org/officeDocument/2006/relationships/themeOverride" Target="../theme/themeOverride26.xml"/><Relationship Id="rId1" Type="http://schemas.openxmlformats.org/officeDocument/2006/relationships/package" Target="../embeddings/Workbook26.xlsx"/></Relationships>
</file>

<file path=word/charts/_rels/chart33.xml.rels><?xml version="1.0" encoding="UTF-8" standalone="yes"?>
<Relationships xmlns="http://schemas.openxmlformats.org/package/2006/relationships"><Relationship Id="rId2" Type="http://schemas.openxmlformats.org/officeDocument/2006/relationships/themeOverride" Target="../theme/themeOverride33.xml"/><Relationship Id="rId1" Type="http://schemas.openxmlformats.org/officeDocument/2006/relationships/package" Target="../embeddings/Workbook33.xlsx"/></Relationships>
</file>

<file path=word/charts/_rels/chart34.xml.rels><?xml version="1.0" encoding="UTF-8" standalone="yes"?>
<Relationships xmlns="http://schemas.openxmlformats.org/package/2006/relationships"><Relationship Id="rId2" Type="http://schemas.openxmlformats.org/officeDocument/2006/relationships/themeOverride" Target="../theme/themeOverride22.xml"/><Relationship Id="rId1" Type="http://schemas.openxmlformats.org/officeDocument/2006/relationships/package" Target="../embeddings/Workbook22.xlsx"/></Relationships>
</file>

<file path=word/charts/_rels/chart35.xml.rels><?xml version="1.0" encoding="UTF-8" standalone="yes"?>
<Relationships xmlns="http://schemas.openxmlformats.org/package/2006/relationships"><Relationship Id="rId2" Type="http://schemas.openxmlformats.org/officeDocument/2006/relationships/themeOverride" Target="../theme/themeOverride30.xml"/><Relationship Id="rId1" Type="http://schemas.openxmlformats.org/officeDocument/2006/relationships/package" Target="../embeddings/Workbook30.xlsx"/></Relationships>
</file>

<file path=word/charts/_rels/chart36.xml.rels><?xml version="1.0" encoding="UTF-8" standalone="yes"?>
<Relationships xmlns="http://schemas.openxmlformats.org/package/2006/relationships"><Relationship Id="rId2" Type="http://schemas.openxmlformats.org/officeDocument/2006/relationships/themeOverride" Target="../theme/themeOverride24.xml"/><Relationship Id="rId1" Type="http://schemas.openxmlformats.org/officeDocument/2006/relationships/package" Target="../embeddings/Workbook24.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5.xml"/><Relationship Id="rId1" Type="http://schemas.openxmlformats.org/officeDocument/2006/relationships/package" Target="../embeddings/Workbook15.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4.xml"/><Relationship Id="rId1" Type="http://schemas.openxmlformats.org/officeDocument/2006/relationships/package" Target="../embeddings/Workbook14.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12.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package" Target="../embeddings/Workbook13.xlsx"/></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16.xml"/><Relationship Id="rId1" Type="http://schemas.openxmlformats.org/officeDocument/2006/relationships/package" Target="../embeddings/Workbook16.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package" Target="../embeddings/Workbook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987235408524"/>
          <c:y val="0.0331538849614601"/>
          <c:w val="0.786079419928624"/>
          <c:h val="0.844751997241221"/>
        </c:manualLayout>
      </c:layout>
      <c:barChart>
        <c:barDir val="col"/>
        <c:grouping val="clustered"/>
        <c:varyColors val="0"/>
        <c:ser>
          <c:idx val="0"/>
          <c:order val="0"/>
          <c:tx>
            <c:strRef>
              <c:f>Sheet1!$B$1</c:f>
              <c:strCache>
                <c:ptCount val="1"/>
                <c:pt idx="0">
                  <c:v>2020年常住人口数</c:v>
                </c:pt>
              </c:strCache>
            </c:strRef>
          </c:tx>
          <c:invertIfNegative val="0"/>
          <c:dLbls>
            <c:dLbl>
              <c:idx val="3"/>
              <c:layout>
                <c:manualLayout>
                  <c:x val="0"/>
                  <c:y val="0.1701588279460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2043257673475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02942668696093"/>
                  <c:y val="0.1597476721277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3707048110428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9643365483959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09535709014368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rad="63500">
                  <a:srgbClr val="4472C4">
                    <a:satMod val="175000"/>
                    <a:alpha val="40000"/>
                  </a:srgbClr>
                </a:glow>
              </a:effectLst>
            </c:spPr>
            <c:txPr>
              <a:bodyPr rot="0" spcFirstLastPara="0" vertOverflow="ellipsis" vert="horz" wrap="square" lIns="38100" tIns="19050" rIns="38100" bIns="19050" anchor="ctr" anchorCtr="1"/>
              <a:lstStyle/>
              <a:p>
                <a:pPr>
                  <a:defRPr lang="zh-CN" sz="700" b="0" i="0" u="none" strike="noStrike" kern="1200" baseline="0">
                    <a:ln w="3175">
                      <a:solidFill>
                        <a:schemeClr val="bg2">
                          <a:lumMod val="10000"/>
                        </a:schemeClr>
                      </a:solidFill>
                    </a:ln>
                    <a:solidFill>
                      <a:schemeClr val="accent1">
                        <a:lumMod val="75000"/>
                      </a:schemeClr>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Sheet1!$A$2:$A$14</c:f>
              <c:strCache>
                <c:ptCount val="13"/>
                <c:pt idx="0">
                  <c:v>元善镇</c:v>
                </c:pt>
                <c:pt idx="1">
                  <c:v>上坪镇</c:v>
                </c:pt>
                <c:pt idx="2">
                  <c:v>内莞镇</c:v>
                </c:pt>
                <c:pt idx="3">
                  <c:v>陂头镇</c:v>
                </c:pt>
                <c:pt idx="4">
                  <c:v>溪山镇</c:v>
                </c:pt>
                <c:pt idx="5">
                  <c:v>隆街镇</c:v>
                </c:pt>
                <c:pt idx="6">
                  <c:v>田源镇</c:v>
                </c:pt>
                <c:pt idx="7">
                  <c:v>油溪镇</c:v>
                </c:pt>
                <c:pt idx="8">
                  <c:v>忠信镇</c:v>
                </c:pt>
                <c:pt idx="9">
                  <c:v>高莞镇</c:v>
                </c:pt>
                <c:pt idx="10">
                  <c:v>大湖镇</c:v>
                </c:pt>
                <c:pt idx="11">
                  <c:v>三角镇</c:v>
                </c:pt>
                <c:pt idx="12">
                  <c:v>绣缎镇</c:v>
                </c:pt>
              </c:strCache>
            </c:strRef>
          </c:cat>
          <c:val>
            <c:numRef>
              <c:f>Sheet1!$B$2:$B$14</c:f>
              <c:numCache>
                <c:formatCode>General</c:formatCode>
                <c:ptCount val="13"/>
                <c:pt idx="0">
                  <c:v>77249</c:v>
                </c:pt>
                <c:pt idx="1">
                  <c:v>18770</c:v>
                </c:pt>
                <c:pt idx="2">
                  <c:v>8011</c:v>
                </c:pt>
                <c:pt idx="3">
                  <c:v>20347</c:v>
                </c:pt>
                <c:pt idx="4">
                  <c:v>9096</c:v>
                </c:pt>
                <c:pt idx="5">
                  <c:v>24645</c:v>
                </c:pt>
                <c:pt idx="6">
                  <c:v>6781</c:v>
                </c:pt>
                <c:pt idx="7">
                  <c:v>19411</c:v>
                </c:pt>
                <c:pt idx="8">
                  <c:v>52905</c:v>
                </c:pt>
                <c:pt idx="9">
                  <c:v>13591</c:v>
                </c:pt>
                <c:pt idx="10">
                  <c:v>13332</c:v>
                </c:pt>
                <c:pt idx="11">
                  <c:v>11314</c:v>
                </c:pt>
                <c:pt idx="12">
                  <c:v>9772</c:v>
                </c:pt>
              </c:numCache>
            </c:numRef>
          </c:val>
        </c:ser>
        <c:dLbls>
          <c:showLegendKey val="0"/>
          <c:showVal val="0"/>
          <c:showCatName val="0"/>
          <c:showSerName val="0"/>
          <c:showPercent val="0"/>
          <c:showBubbleSize val="0"/>
        </c:dLbls>
        <c:gapWidth val="150"/>
        <c:axId val="49694976"/>
        <c:axId val="49725440"/>
      </c:barChart>
      <c:lineChart>
        <c:grouping val="standard"/>
        <c:varyColors val="0"/>
        <c:ser>
          <c:idx val="1"/>
          <c:order val="1"/>
          <c:tx>
            <c:strRef>
              <c:f>Sheet1!$C$1</c:f>
              <c:strCache>
                <c:ptCount val="1"/>
                <c:pt idx="0">
                  <c:v>2020年占比</c:v>
                </c:pt>
              </c:strCache>
            </c:strRef>
          </c:tx>
          <c:spPr>
            <a:ln w="25400" cap="rnd" cmpd="sng" algn="ctr">
              <a:solidFill>
                <a:schemeClr val="accent2">
                  <a:shade val="95000"/>
                  <a:satMod val="105000"/>
                </a:schemeClr>
              </a:solidFill>
              <a:prstDash val="dash"/>
              <a:round/>
            </a:ln>
          </c:spPr>
          <c:marker>
            <c:symbol val="square"/>
            <c:size val="5"/>
            <c:spPr>
              <a:ln w="9525" cap="flat" cmpd="sng" algn="ctr">
                <a:solidFill>
                  <a:schemeClr val="bg1"/>
                </a:solidFill>
                <a:prstDash val="solid"/>
                <a:round/>
              </a:ln>
            </c:spPr>
          </c:marker>
          <c:dLbls>
            <c:dLbl>
              <c:idx val="1"/>
              <c:layout>
                <c:manualLayout>
                  <c:x val="-0.0060882800608828"/>
                  <c:y val="-0.00325998370008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22321040805151"/>
                  <c:y val="-0.02407835488453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6019563581640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167926112510495"/>
                  <c:y val="0.00902934537246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503778337531486"/>
                  <c:y val="0.0180586907449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671704450041975"/>
                  <c:y val="0.006019563581640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503778337531486"/>
                  <c:y val="0.015048908954100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959232613908873"/>
                  <c:y val="0.02407835488453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122321040805151"/>
                  <c:y val="0.02407835488453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63481183557091"/>
                  <c:y val="0.027088058946760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0" i="0" u="none" strike="noStrike" kern="1200" baseline="0">
                    <a:ln>
                      <a:solidFill>
                        <a:schemeClr val="accent2">
                          <a:lumMod val="75000"/>
                        </a:schemeClr>
                      </a:solidFill>
                    </a:ln>
                    <a:solidFill>
                      <a:srgbClr val="C00000"/>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Sheet1!$A$2:$A$14</c:f>
              <c:strCache>
                <c:ptCount val="13"/>
                <c:pt idx="0">
                  <c:v>元善镇</c:v>
                </c:pt>
                <c:pt idx="1">
                  <c:v>上坪镇</c:v>
                </c:pt>
                <c:pt idx="2">
                  <c:v>内莞镇</c:v>
                </c:pt>
                <c:pt idx="3">
                  <c:v>陂头镇</c:v>
                </c:pt>
                <c:pt idx="4">
                  <c:v>溪山镇</c:v>
                </c:pt>
                <c:pt idx="5">
                  <c:v>隆街镇</c:v>
                </c:pt>
                <c:pt idx="6">
                  <c:v>田源镇</c:v>
                </c:pt>
                <c:pt idx="7">
                  <c:v>油溪镇</c:v>
                </c:pt>
                <c:pt idx="8">
                  <c:v>忠信镇</c:v>
                </c:pt>
                <c:pt idx="9">
                  <c:v>高莞镇</c:v>
                </c:pt>
                <c:pt idx="10">
                  <c:v>大湖镇</c:v>
                </c:pt>
                <c:pt idx="11">
                  <c:v>三角镇</c:v>
                </c:pt>
                <c:pt idx="12">
                  <c:v>绣缎镇</c:v>
                </c:pt>
              </c:strCache>
            </c:strRef>
          </c:cat>
          <c:val>
            <c:numRef>
              <c:f>Sheet1!$C$2:$C$14</c:f>
              <c:numCache>
                <c:formatCode>General</c:formatCode>
                <c:ptCount val="13"/>
                <c:pt idx="0">
                  <c:v>27.08</c:v>
                </c:pt>
                <c:pt idx="1">
                  <c:v>6.58</c:v>
                </c:pt>
                <c:pt idx="2">
                  <c:v>2.81</c:v>
                </c:pt>
                <c:pt idx="3">
                  <c:v>7.13</c:v>
                </c:pt>
                <c:pt idx="4">
                  <c:v>3.19</c:v>
                </c:pt>
                <c:pt idx="5">
                  <c:v>8.64</c:v>
                </c:pt>
                <c:pt idx="6">
                  <c:v>2.38</c:v>
                </c:pt>
                <c:pt idx="7">
                  <c:v>6.81</c:v>
                </c:pt>
                <c:pt idx="8">
                  <c:v>18.55</c:v>
                </c:pt>
                <c:pt idx="9">
                  <c:v>4.77</c:v>
                </c:pt>
                <c:pt idx="10">
                  <c:v>4.67</c:v>
                </c:pt>
                <c:pt idx="11">
                  <c:v>3.97</c:v>
                </c:pt>
                <c:pt idx="12">
                  <c:v>3.43</c:v>
                </c:pt>
              </c:numCache>
            </c:numRef>
          </c:val>
          <c:smooth val="0"/>
        </c:ser>
        <c:ser>
          <c:idx val="2"/>
          <c:order val="2"/>
          <c:tx>
            <c:strRef>
              <c:f>Sheet1!$D$1</c:f>
              <c:strCache>
                <c:ptCount val="1"/>
                <c:pt idx="0">
                  <c:v>2010年占比</c:v>
                </c:pt>
              </c:strCache>
            </c:strRef>
          </c:tx>
          <c:spPr>
            <a:ln w="25400" cap="rnd" cmpd="sng" algn="ctr">
              <a:solidFill>
                <a:schemeClr val="accent3">
                  <a:shade val="95000"/>
                  <a:satMod val="105000"/>
                </a:schemeClr>
              </a:solidFill>
              <a:prstDash val="dash"/>
              <a:round/>
            </a:ln>
          </c:spPr>
          <c:marker>
            <c:symbol val="circle"/>
            <c:size val="5"/>
            <c:spPr>
              <a:ln w="9525" cap="flat" cmpd="sng" algn="ctr">
                <a:solidFill>
                  <a:schemeClr val="bg1"/>
                </a:solidFill>
                <a:prstDash val="solid"/>
                <a:round/>
              </a:ln>
            </c:spPr>
          </c:marker>
          <c:dLbls>
            <c:dLbl>
              <c:idx val="1"/>
              <c:layout>
                <c:manualLayout>
                  <c:x val="-0.0153120338374969"/>
                  <c:y val="-0.02016542656938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67926112510495"/>
                  <c:y val="0.006019563581640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203912716328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335852225020991"/>
                  <c:y val="-0.0180586907449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06019563581640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167926112510489"/>
                  <c:y val="0.01203912716328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839630562552477"/>
                  <c:y val="-0.015048908954100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503778337531486"/>
                  <c:y val="-0.0180586907449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839630562552477"/>
                  <c:y val="-0.01805892773561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18304726297702"/>
                  <c:y val="-0.02092345108237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0" i="0" u="none" strike="noStrike" kern="1200" baseline="0">
                    <a:ln w="3175">
                      <a:solidFill>
                        <a:srgbClr val="92D050"/>
                      </a:solidFill>
                    </a:ln>
                    <a:solidFill>
                      <a:schemeClr val="accent3">
                        <a:lumMod val="75000"/>
                      </a:schemeClr>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Sheet1!$A$2:$A$14</c:f>
              <c:strCache>
                <c:ptCount val="13"/>
                <c:pt idx="0">
                  <c:v>元善镇</c:v>
                </c:pt>
                <c:pt idx="1">
                  <c:v>上坪镇</c:v>
                </c:pt>
                <c:pt idx="2">
                  <c:v>内莞镇</c:v>
                </c:pt>
                <c:pt idx="3">
                  <c:v>陂头镇</c:v>
                </c:pt>
                <c:pt idx="4">
                  <c:v>溪山镇</c:v>
                </c:pt>
                <c:pt idx="5">
                  <c:v>隆街镇</c:v>
                </c:pt>
                <c:pt idx="6">
                  <c:v>田源镇</c:v>
                </c:pt>
                <c:pt idx="7">
                  <c:v>油溪镇</c:v>
                </c:pt>
                <c:pt idx="8">
                  <c:v>忠信镇</c:v>
                </c:pt>
                <c:pt idx="9">
                  <c:v>高莞镇</c:v>
                </c:pt>
                <c:pt idx="10">
                  <c:v>大湖镇</c:v>
                </c:pt>
                <c:pt idx="11">
                  <c:v>三角镇</c:v>
                </c:pt>
                <c:pt idx="12">
                  <c:v>绣缎镇</c:v>
                </c:pt>
              </c:strCache>
            </c:strRef>
          </c:cat>
          <c:val>
            <c:numRef>
              <c:f>Sheet1!$D$2:$D$14</c:f>
              <c:numCache>
                <c:formatCode>General</c:formatCode>
                <c:ptCount val="13"/>
                <c:pt idx="0">
                  <c:v>23.22</c:v>
                </c:pt>
                <c:pt idx="1">
                  <c:v>7.13</c:v>
                </c:pt>
                <c:pt idx="2">
                  <c:v>3.78</c:v>
                </c:pt>
                <c:pt idx="3">
                  <c:v>6.89</c:v>
                </c:pt>
                <c:pt idx="4">
                  <c:v>3.73</c:v>
                </c:pt>
                <c:pt idx="5">
                  <c:v>9.09</c:v>
                </c:pt>
                <c:pt idx="6">
                  <c:v>2.82</c:v>
                </c:pt>
                <c:pt idx="7">
                  <c:v>8.63</c:v>
                </c:pt>
                <c:pt idx="8">
                  <c:v>17.14</c:v>
                </c:pt>
                <c:pt idx="9">
                  <c:v>4.97</c:v>
                </c:pt>
                <c:pt idx="10">
                  <c:v>4.78</c:v>
                </c:pt>
                <c:pt idx="11">
                  <c:v>4.18</c:v>
                </c:pt>
                <c:pt idx="12">
                  <c:v>3.64</c:v>
                </c:pt>
              </c:numCache>
            </c:numRef>
          </c:val>
          <c:smooth val="0"/>
        </c:ser>
        <c:dLbls>
          <c:showLegendKey val="0"/>
          <c:showVal val="0"/>
          <c:showCatName val="0"/>
          <c:showSerName val="0"/>
          <c:showPercent val="0"/>
          <c:showBubbleSize val="0"/>
        </c:dLbls>
        <c:marker val="1"/>
        <c:smooth val="0"/>
        <c:axId val="49729536"/>
        <c:axId val="49727360"/>
      </c:lineChart>
      <c:catAx>
        <c:axId val="49694976"/>
        <c:scaling>
          <c:orientation val="minMax"/>
        </c:scaling>
        <c:delete val="0"/>
        <c:axPos val="b"/>
        <c:majorTickMark val="none"/>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49725440"/>
        <c:crosses val="autoZero"/>
        <c:auto val="1"/>
        <c:lblAlgn val="ctr"/>
        <c:lblOffset val="100"/>
        <c:noMultiLvlLbl val="0"/>
      </c:catAx>
      <c:valAx>
        <c:axId val="49725440"/>
        <c:scaling>
          <c:orientation val="minMax"/>
        </c:scaling>
        <c:delete val="0"/>
        <c:axPos val="l"/>
        <c:majorGridlines>
          <c:spPr>
            <a:ln w="9525" cap="flat" cmpd="sng" algn="ctr">
              <a:noFill/>
              <a:prstDash val="solid"/>
              <a:round/>
            </a:ln>
          </c:spPr>
        </c:majorGridlines>
        <c:title>
          <c:tx>
            <c:rich>
              <a:bodyPr rot="0" spcFirstLastPara="0" vertOverflow="ellipsis" vert="wordArtVertRtl" wrap="square" anchor="ctr" anchorCtr="1"/>
              <a:lstStyle/>
              <a:p>
                <a:pPr>
                  <a:defRPr lang="zh-CN" sz="1000" b="1" i="0" u="none" strike="noStrike" kern="1200" baseline="0">
                    <a:solidFill>
                      <a:schemeClr val="tx1"/>
                    </a:solidFill>
                    <a:latin typeface="+mn-lt"/>
                    <a:ea typeface="+mn-ea"/>
                    <a:cs typeface="+mn-cs"/>
                  </a:defRPr>
                </a:pPr>
                <a:r>
                  <a:rPr lang="zh-CN" altLang="en-US"/>
                  <a:t>常住人口数（人）</a:t>
                </a:r>
                <a:endParaRPr lang="zh-CN" altLang="en-US"/>
              </a:p>
            </c:rich>
          </c:tx>
          <c:layout/>
          <c:overlay val="0"/>
        </c:title>
        <c:numFmt formatCode="General"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9694976"/>
        <c:crosses val="autoZero"/>
        <c:crossBetween val="between"/>
      </c:valAx>
      <c:catAx>
        <c:axId val="49729536"/>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27360"/>
        <c:crosses val="autoZero"/>
        <c:auto val="1"/>
        <c:lblAlgn val="ctr"/>
        <c:lblOffset val="100"/>
        <c:noMultiLvlLbl val="0"/>
      </c:catAx>
      <c:valAx>
        <c:axId val="49727360"/>
        <c:scaling>
          <c:orientation val="minMax"/>
          <c:max val="35"/>
          <c:min val="-2"/>
        </c:scaling>
        <c:delete val="0"/>
        <c:axPos val="r"/>
        <c:title>
          <c:tx>
            <c:rich>
              <a:bodyPr rot="0" spcFirstLastPara="0" vertOverflow="ellipsis" vert="wordArtVertRtl"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zh-CN" altLang="en-US">
                    <a:latin typeface="Times New Roman" panose="02020603050405020304" charset="0"/>
                    <a:cs typeface="Times New Roman" panose="02020603050405020304" charset="0"/>
                  </a:rPr>
                  <a:t>常住人口占比（</a:t>
                </a:r>
                <a:r>
                  <a:rPr lang="en-US" altLang="zh-CN">
                    <a:latin typeface="Times New Roman" panose="02020603050405020304" charset="0"/>
                    <a:cs typeface="Times New Roman" panose="02020603050405020304" charset="0"/>
                  </a:rPr>
                  <a:t>%</a:t>
                </a:r>
                <a:r>
                  <a:rPr lang="zh-CN" altLang="en-US">
                    <a:latin typeface="Times New Roman" panose="02020603050405020304" charset="0"/>
                    <a:cs typeface="Times New Roman" panose="02020603050405020304" charset="0"/>
                  </a:rPr>
                  <a:t>）</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9729536"/>
        <c:crosses val="max"/>
        <c:crossBetween val="between"/>
      </c:valAx>
    </c:plotArea>
    <c:legend>
      <c:legendPos val="t"/>
      <c:layout>
        <c:manualLayout>
          <c:xMode val="edge"/>
          <c:yMode val="edge"/>
          <c:x val="0.125486632754976"/>
          <c:y val="0.0268608029835687"/>
          <c:w val="0.777345132743363"/>
          <c:h val="0.051878205591273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503286772698"/>
          <c:y val="0.0420549988069673"/>
          <c:w val="0.760519698319242"/>
          <c:h val="0.751458482462419"/>
        </c:manualLayout>
      </c:layout>
      <c:areaChart>
        <c:grouping val="standard"/>
        <c:varyColors val="0"/>
        <c:ser>
          <c:idx val="2"/>
          <c:order val="2"/>
          <c:tx>
            <c:strRef>
              <c:f>水土保持!$H$4</c:f>
              <c:strCache>
                <c:ptCount val="1"/>
                <c:pt idx="0">
                  <c:v>水土流失治理占比</c:v>
                </c:pt>
              </c:strCache>
            </c:strRef>
          </c:tx>
          <c:spPr>
            <a:solidFill>
              <a:srgbClr val="FFC000">
                <a:alpha val="23000"/>
              </a:srgbClr>
            </a:solidFill>
            <a:ln w="9525" cap="flat" cmpd="sng" algn="ctr">
              <a:solidFill>
                <a:schemeClr val="accent6">
                  <a:lumMod val="75000"/>
                </a:schemeClr>
              </a:solidFill>
              <a:prstDash val="sysDash"/>
              <a:round/>
            </a:ln>
          </c:spPr>
          <c:dLbls>
            <c:dLbl>
              <c:idx val="0"/>
              <c:layout>
                <c:manualLayout>
                  <c:x val="0.000321377427576001"/>
                  <c:y val="-0.1553030303030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79117026658106"/>
                  <c:y val="-0.068182116439990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65319079837425"/>
                  <c:y val="-0.28030332856120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delete val="1"/>
            </c:dLbl>
            <c:dLbl>
              <c:idx val="4"/>
              <c:layout>
                <c:manualLayout>
                  <c:x val="0.0407470215994864"/>
                  <c:y val="-0.386363636363636"/>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6">
                  <a:lumMod val="20000"/>
                  <a:lumOff val="80000"/>
                  <a:alpha val="86000"/>
                </a:schemeClr>
              </a:solidFill>
              <a:ln>
                <a:noFill/>
              </a:ln>
              <a:effectLst/>
            </c:spPr>
            <c:txPr>
              <a:bodyPr rot="0" spcFirstLastPara="0" vertOverflow="ellipsis" vert="horz" wrap="square" lIns="38100" tIns="19050" rIns="38100" bIns="19050" anchor="t" anchorCtr="1"/>
              <a:lstStyle/>
              <a:p>
                <a:pPr>
                  <a:defRPr lang="zh-CN" sz="800" b="0" i="0" u="none" strike="noStrike" kern="1200" baseline="0">
                    <a:solidFill>
                      <a:schemeClr val="tx1"/>
                    </a:solidFill>
                    <a:effectLst>
                      <a:glow rad="63500">
                        <a:schemeClr val="accent6">
                          <a:satMod val="175000"/>
                          <a:alpha val="40000"/>
                        </a:schemeClr>
                      </a:glow>
                    </a:effectLst>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水土保持!$E$5:$E$9</c:f>
              <c:strCache>
                <c:ptCount val="5"/>
                <c:pt idx="0">
                  <c:v>水土保持林</c:v>
                </c:pt>
                <c:pt idx="1">
                  <c:v>种草</c:v>
                </c:pt>
                <c:pt idx="2">
                  <c:v>封山育林</c:v>
                </c:pt>
                <c:pt idx="3">
                  <c:v>经果林</c:v>
                </c:pt>
                <c:pt idx="4">
                  <c:v>全县</c:v>
                </c:pt>
              </c:strCache>
            </c:strRef>
          </c:cat>
          <c:val>
            <c:numRef>
              <c:f>水土保持!$H$5:$H$9</c:f>
              <c:numCache>
                <c:formatCode>0.00_ </c:formatCode>
                <c:ptCount val="5"/>
                <c:pt idx="0">
                  <c:v>30.1414041180848</c:v>
                </c:pt>
                <c:pt idx="1">
                  <c:v>5.28404862317043</c:v>
                </c:pt>
                <c:pt idx="2">
                  <c:v>64.5745472587447</c:v>
                </c:pt>
                <c:pt idx="3">
                  <c:v>0</c:v>
                </c:pt>
                <c:pt idx="4">
                  <c:v>100</c:v>
                </c:pt>
              </c:numCache>
            </c:numRef>
          </c:val>
        </c:ser>
        <c:dLbls>
          <c:showLegendKey val="0"/>
          <c:showVal val="0"/>
          <c:showCatName val="0"/>
          <c:showSerName val="0"/>
          <c:showPercent val="0"/>
          <c:showBubbleSize val="0"/>
        </c:dLbls>
        <c:axId val="384977536"/>
        <c:axId val="384975616"/>
      </c:areaChart>
      <c:barChart>
        <c:barDir val="col"/>
        <c:grouping val="clustered"/>
        <c:varyColors val="0"/>
        <c:ser>
          <c:idx val="0"/>
          <c:order val="0"/>
          <c:tx>
            <c:strRef>
              <c:f>水土保持!$F$4</c:f>
              <c:strCache>
                <c:ptCount val="1"/>
                <c:pt idx="0">
                  <c:v>水土流失治理面积（平方公里）</c:v>
                </c:pt>
              </c:strCache>
            </c:strRef>
          </c:tx>
          <c:spPr>
            <a:solidFill>
              <a:srgbClr val="003300"/>
            </a:solidFill>
          </c:spPr>
          <c:invertIfNegative val="0"/>
          <c:dLbls>
            <c:dLbl>
              <c:idx val="0"/>
              <c:layout>
                <c:manualLayout>
                  <c:x val="0"/>
                  <c:y val="0.1363636363636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530303030303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2272727272727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3863636363636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800" b="0" i="0" u="none" strike="noStrike" kern="1200" baseline="0">
                    <a:ln>
                      <a:solidFill>
                        <a:srgbClr val="003300"/>
                      </a:solidFill>
                    </a:ln>
                    <a:solidFill>
                      <a:srgbClr val="006600"/>
                    </a:solidFill>
                    <a:effectLst>
                      <a:glow rad="101600">
                        <a:schemeClr val="bg1">
                          <a:alpha val="6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水土保持!$E$5:$E$9</c:f>
              <c:strCache>
                <c:ptCount val="5"/>
                <c:pt idx="0">
                  <c:v>水土保持林</c:v>
                </c:pt>
                <c:pt idx="1">
                  <c:v>种草</c:v>
                </c:pt>
                <c:pt idx="2">
                  <c:v>封山育林</c:v>
                </c:pt>
                <c:pt idx="3">
                  <c:v>经果林</c:v>
                </c:pt>
                <c:pt idx="4">
                  <c:v>全县</c:v>
                </c:pt>
              </c:strCache>
            </c:strRef>
          </c:cat>
          <c:val>
            <c:numRef>
              <c:f>水土保持!$F$5:$F$9</c:f>
              <c:numCache>
                <c:formatCode>General</c:formatCode>
                <c:ptCount val="5"/>
                <c:pt idx="0">
                  <c:v>12.15</c:v>
                </c:pt>
                <c:pt idx="1">
                  <c:v>2.13</c:v>
                </c:pt>
                <c:pt idx="2">
                  <c:v>26.03</c:v>
                </c:pt>
                <c:pt idx="3">
                  <c:v>0</c:v>
                </c:pt>
                <c:pt idx="4">
                  <c:v>40.31</c:v>
                </c:pt>
              </c:numCache>
            </c:numRef>
          </c:val>
        </c:ser>
        <c:dLbls>
          <c:showLegendKey val="0"/>
          <c:showVal val="0"/>
          <c:showCatName val="0"/>
          <c:showSerName val="0"/>
          <c:showPercent val="0"/>
          <c:showBubbleSize val="0"/>
        </c:dLbls>
        <c:gapWidth val="150"/>
        <c:axId val="384963328"/>
        <c:axId val="384965248"/>
      </c:barChart>
      <c:lineChart>
        <c:grouping val="standard"/>
        <c:varyColors val="0"/>
        <c:ser>
          <c:idx val="1"/>
          <c:order val="1"/>
          <c:tx>
            <c:strRef>
              <c:f>水土保持!$G$4</c:f>
              <c:strCache>
                <c:ptCount val="1"/>
                <c:pt idx="0">
                  <c:v>水土流失治理占比（%）</c:v>
                </c:pt>
              </c:strCache>
            </c:strRef>
          </c:tx>
          <c:spPr>
            <a:ln w="31750" cap="rnd" cmpd="sng" algn="ctr">
              <a:solidFill>
                <a:schemeClr val="accent6">
                  <a:lumMod val="75000"/>
                </a:schemeClr>
              </a:solidFill>
              <a:prstDash val="sysDash"/>
              <a:round/>
            </a:ln>
          </c:spPr>
          <c:marker>
            <c:symbol val="circle"/>
            <c:size val="5"/>
            <c:spPr>
              <a:solidFill>
                <a:schemeClr val="bg1"/>
              </a:solidFill>
            </c:spPr>
          </c:marker>
          <c:dLbls>
            <c:delete val="1"/>
          </c:dLbls>
          <c:cat>
            <c:strRef>
              <c:f>水土保持!$E$5:$E$9</c:f>
              <c:strCache>
                <c:ptCount val="5"/>
                <c:pt idx="0">
                  <c:v>水土保持林</c:v>
                </c:pt>
                <c:pt idx="1">
                  <c:v>种草</c:v>
                </c:pt>
                <c:pt idx="2">
                  <c:v>封山育林</c:v>
                </c:pt>
                <c:pt idx="3">
                  <c:v>经果林</c:v>
                </c:pt>
                <c:pt idx="4">
                  <c:v>全县</c:v>
                </c:pt>
              </c:strCache>
            </c:strRef>
          </c:cat>
          <c:val>
            <c:numRef>
              <c:f>水土保持!$G$5:$G$9</c:f>
              <c:numCache>
                <c:formatCode>0.00_ </c:formatCode>
                <c:ptCount val="5"/>
                <c:pt idx="0">
                  <c:v>30.1414041180848</c:v>
                </c:pt>
                <c:pt idx="1">
                  <c:v>5.28404862317043</c:v>
                </c:pt>
                <c:pt idx="2">
                  <c:v>64.5745472587447</c:v>
                </c:pt>
                <c:pt idx="3">
                  <c:v>0</c:v>
                </c:pt>
                <c:pt idx="4">
                  <c:v>100</c:v>
                </c:pt>
              </c:numCache>
            </c:numRef>
          </c:val>
          <c:smooth val="0"/>
        </c:ser>
        <c:dLbls>
          <c:showLegendKey val="0"/>
          <c:showVal val="0"/>
          <c:showCatName val="0"/>
          <c:showSerName val="0"/>
          <c:showPercent val="0"/>
          <c:showBubbleSize val="0"/>
        </c:dLbls>
        <c:marker val="1"/>
        <c:smooth val="0"/>
        <c:axId val="384977536"/>
        <c:axId val="384975616"/>
      </c:lineChart>
      <c:catAx>
        <c:axId val="384963328"/>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965248"/>
        <c:crosses val="autoZero"/>
        <c:auto val="1"/>
        <c:lblAlgn val="ctr"/>
        <c:lblOffset val="100"/>
        <c:noMultiLvlLbl val="0"/>
      </c:catAx>
      <c:valAx>
        <c:axId val="384965248"/>
        <c:scaling>
          <c:orientation val="minMax"/>
          <c:max val="5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水土流失面积</a:t>
                </a:r>
                <a:endParaRPr lang="zh-CN" altLang="en-US" b="0">
                  <a:latin typeface="等线" panose="02010600030101010101" charset="-122"/>
                  <a:ea typeface="等线" panose="02010600030101010101" charset="-122"/>
                </a:endParaRPr>
              </a:p>
            </c:rich>
          </c:tx>
          <c:layout/>
          <c:overlay val="0"/>
        </c:title>
        <c:numFmt formatCode="#,##0.0_);[Red]\(#,##0.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4963328"/>
        <c:crosses val="autoZero"/>
        <c:crossBetween val="between"/>
        <c:majorUnit val="5"/>
      </c:valAx>
      <c:catAx>
        <c:axId val="384977536"/>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975616"/>
        <c:crosses val="autoZero"/>
        <c:auto val="1"/>
        <c:lblAlgn val="ctr"/>
        <c:lblOffset val="100"/>
        <c:noMultiLvlLbl val="0"/>
      </c:catAx>
      <c:valAx>
        <c:axId val="384975616"/>
        <c:scaling>
          <c:orientation val="minMax"/>
          <c:max val="100"/>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水土流失面积占比</a:t>
                </a:r>
                <a:endParaRPr lang="zh-CN" altLang="en-US" b="0">
                  <a:latin typeface="等线" panose="02010600030101010101" charset="-122"/>
                  <a:ea typeface="等线" panose="02010600030101010101" charset="-122"/>
                </a:endParaRPr>
              </a:p>
            </c:rich>
          </c:tx>
          <c:layout>
            <c:manualLayout>
              <c:xMode val="edge"/>
              <c:yMode val="edge"/>
              <c:x val="0.953845174864613"/>
              <c:y val="0.275738785492723"/>
            </c:manualLayout>
          </c:layout>
          <c:overlay val="0"/>
        </c:title>
        <c:numFmt formatCode="0.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4977536"/>
        <c:crosses val="max"/>
        <c:crossBetween val="between"/>
      </c:valAx>
    </c:plotArea>
    <c:legend>
      <c:legendPos val="b"/>
      <c:legendEntry>
        <c:idx val="0"/>
        <c:delete val="1"/>
      </c:legendEntry>
      <c:layout>
        <c:manualLayout>
          <c:xMode val="edge"/>
          <c:yMode val="edge"/>
          <c:x val="0.0438015913509936"/>
          <c:y val="0.898469637318063"/>
          <c:w val="0.873186119873817"/>
          <c:h val="0.068495884037222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水土保持!$F$13</c:f>
              <c:strCache>
                <c:ptCount val="1"/>
                <c:pt idx="0">
                  <c:v>面积</c:v>
                </c:pt>
              </c:strCache>
            </c:strRef>
          </c:tx>
          <c:spPr>
            <a:solidFill>
              <a:schemeClr val="accent6">
                <a:lumMod val="60000"/>
                <a:lumOff val="40000"/>
                <a:alpha val="63000"/>
              </a:schemeClr>
            </a:solidFill>
          </c:spPr>
          <c:dLbls>
            <c:dLbl>
              <c:idx val="0"/>
              <c:layout>
                <c:manualLayout>
                  <c:x val="-0.00416666666666669"/>
                  <c:y val="-0.38362573099415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33333333333333"/>
                  <c:y val="-0.36959064327485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0833333333333"/>
                  <c:y val="-0.1824561403508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6666666666667"/>
                  <c:y val="-0.0795321637426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水土保持!$E$14:$E$17</c:f>
              <c:strCache>
                <c:ptCount val="4"/>
                <c:pt idx="0">
                  <c:v>2013水土流失面积</c:v>
                </c:pt>
                <c:pt idx="1">
                  <c:v>2020水土流失面积</c:v>
                </c:pt>
                <c:pt idx="2">
                  <c:v>2013-2019年治理面积</c:v>
                </c:pt>
                <c:pt idx="3">
                  <c:v>实际减少面积</c:v>
                </c:pt>
              </c:strCache>
            </c:strRef>
          </c:cat>
          <c:val>
            <c:numRef>
              <c:f>水土保持!$F$14:$F$17</c:f>
              <c:numCache>
                <c:formatCode>General</c:formatCode>
                <c:ptCount val="4"/>
                <c:pt idx="0">
                  <c:v>247.13</c:v>
                </c:pt>
                <c:pt idx="1">
                  <c:v>234.62</c:v>
                </c:pt>
                <c:pt idx="2" c:formatCode="0.000_ ">
                  <c:v>95.74</c:v>
                </c:pt>
                <c:pt idx="3">
                  <c:v>12.51</c:v>
                </c:pt>
              </c:numCache>
            </c:numRef>
          </c:val>
        </c:ser>
        <c:dLbls>
          <c:showLegendKey val="0"/>
          <c:showVal val="0"/>
          <c:showCatName val="0"/>
          <c:showSerName val="0"/>
          <c:showPercent val="0"/>
          <c:showBubbleSize val="0"/>
        </c:dLbls>
        <c:axId val="385208704"/>
        <c:axId val="385210624"/>
      </c:areaChart>
      <c:lineChart>
        <c:grouping val="standard"/>
        <c:varyColors val="0"/>
        <c:ser>
          <c:idx val="1"/>
          <c:order val="1"/>
          <c:tx>
            <c:strRef>
              <c:f>水土保持!$G$13</c:f>
              <c:strCache>
                <c:ptCount val="1"/>
                <c:pt idx="0">
                  <c:v>面积</c:v>
                </c:pt>
              </c:strCache>
            </c:strRef>
          </c:tx>
          <c:spPr>
            <a:ln w="28575" cap="rnd" cmpd="sng" algn="ctr">
              <a:solidFill>
                <a:schemeClr val="accent2">
                  <a:shade val="95000"/>
                  <a:satMod val="105000"/>
                </a:schemeClr>
              </a:solidFill>
              <a:prstDash val="solid"/>
              <a:round/>
            </a:ln>
          </c:spPr>
          <c:marker>
            <c:symbol val="circle"/>
            <c:size val="5"/>
            <c:spPr>
              <a:solidFill>
                <a:schemeClr val="bg1"/>
              </a:solidFill>
            </c:spPr>
          </c:marker>
          <c:dLbls>
            <c:delete val="1"/>
          </c:dLbls>
          <c:cat>
            <c:strRef>
              <c:f>水土保持!$E$14:$E$17</c:f>
              <c:strCache>
                <c:ptCount val="4"/>
                <c:pt idx="0">
                  <c:v>2013水土流失面积</c:v>
                </c:pt>
                <c:pt idx="1">
                  <c:v>2020水土流失面积</c:v>
                </c:pt>
                <c:pt idx="2">
                  <c:v>2013-2019年治理面积</c:v>
                </c:pt>
                <c:pt idx="3">
                  <c:v>实际减少面积</c:v>
                </c:pt>
              </c:strCache>
            </c:strRef>
          </c:cat>
          <c:val>
            <c:numRef>
              <c:f>水土保持!$G$14:$G$17</c:f>
              <c:numCache>
                <c:formatCode>General</c:formatCode>
                <c:ptCount val="4"/>
                <c:pt idx="0">
                  <c:v>247.13</c:v>
                </c:pt>
                <c:pt idx="1">
                  <c:v>234.62</c:v>
                </c:pt>
                <c:pt idx="2" c:formatCode="0.000_ ">
                  <c:v>95.74</c:v>
                </c:pt>
                <c:pt idx="3">
                  <c:v>12.51</c:v>
                </c:pt>
              </c:numCache>
            </c:numRef>
          </c:val>
          <c:smooth val="0"/>
        </c:ser>
        <c:dLbls>
          <c:showLegendKey val="0"/>
          <c:showVal val="0"/>
          <c:showCatName val="0"/>
          <c:showSerName val="0"/>
          <c:showPercent val="0"/>
          <c:showBubbleSize val="0"/>
        </c:dLbls>
        <c:marker val="1"/>
        <c:smooth val="0"/>
        <c:axId val="385208704"/>
        <c:axId val="385210624"/>
      </c:lineChart>
      <c:catAx>
        <c:axId val="385208704"/>
        <c:scaling>
          <c:orientation val="minMax"/>
        </c:scaling>
        <c:delete val="0"/>
        <c:axPos val="b"/>
        <c:numFmt formatCode="General" sourceLinked="1"/>
        <c:majorTickMark val="none"/>
        <c:minorTickMark val="cross"/>
        <c:tickLblPos val="low"/>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5210624"/>
        <c:crosses val="autoZero"/>
        <c:auto val="1"/>
        <c:lblAlgn val="ctr"/>
        <c:lblOffset val="100"/>
        <c:noMultiLvlLbl val="0"/>
      </c:catAx>
      <c:valAx>
        <c:axId val="385210624"/>
        <c:scaling>
          <c:orientation val="minMax"/>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单位（平方千米）</a:t>
                </a:r>
                <a:endParaRPr lang="zh-CN" altLang="en-US" b="0">
                  <a:latin typeface="等线" panose="02010600030101010101" charset="-122"/>
                  <a:ea typeface="等线" panose="02010600030101010101" charset="-122"/>
                </a:endParaRPr>
              </a:p>
            </c:rich>
          </c:tx>
          <c:layout>
            <c:manualLayout>
              <c:xMode val="edge"/>
              <c:yMode val="edge"/>
              <c:x val="0.0145833333333333"/>
              <c:y val="0.265052447391445"/>
            </c:manualLayout>
          </c:layout>
          <c:overlay val="0"/>
        </c:title>
        <c:numFmt formatCode="General" sourceLinked="1"/>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5208704"/>
        <c:crosses val="autoZero"/>
        <c:crossBetween val="between"/>
      </c:valAx>
    </c:plotArea>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75748693874"/>
          <c:y val="0.0420549988069673"/>
          <c:w val="0.778029260538016"/>
          <c:h val="0.789337270341207"/>
        </c:manualLayout>
      </c:layout>
      <c:areaChart>
        <c:grouping val="standard"/>
        <c:varyColors val="0"/>
        <c:ser>
          <c:idx val="2"/>
          <c:order val="2"/>
          <c:tx>
            <c:strRef>
              <c:f>水资源!$D$10</c:f>
              <c:strCache>
                <c:ptCount val="1"/>
                <c:pt idx="0">
                  <c:v>占比</c:v>
                </c:pt>
              </c:strCache>
            </c:strRef>
          </c:tx>
          <c:spPr>
            <a:solidFill>
              <a:srgbClr val="FF0000">
                <a:alpha val="33000"/>
              </a:srgbClr>
            </a:solidFill>
            <a:ln w="9525" cap="flat" cmpd="sng" algn="ctr">
              <a:noFill/>
              <a:prstDash val="solid"/>
              <a:round/>
            </a:ln>
          </c:spPr>
          <c:dLbls>
            <c:delete val="1"/>
          </c:dLbls>
          <c:cat>
            <c:strRef>
              <c:f>水资源!$A$11:$A$14</c:f>
              <c:strCache>
                <c:ptCount val="4"/>
                <c:pt idx="0">
                  <c:v>总供水量</c:v>
                </c:pt>
                <c:pt idx="1">
                  <c:v>地下水源</c:v>
                </c:pt>
                <c:pt idx="2">
                  <c:v>蓄水工程</c:v>
                </c:pt>
                <c:pt idx="3">
                  <c:v>引水工程</c:v>
                </c:pt>
              </c:strCache>
            </c:strRef>
          </c:cat>
          <c:val>
            <c:numRef>
              <c:f>水资源!$D$11:$D$14</c:f>
              <c:numCache>
                <c:formatCode>General</c:formatCode>
                <c:ptCount val="4"/>
                <c:pt idx="0">
                  <c:v>100</c:v>
                </c:pt>
                <c:pt idx="1">
                  <c:v>0.144815661730589</c:v>
                </c:pt>
                <c:pt idx="2">
                  <c:v>64.9058698198751</c:v>
                </c:pt>
                <c:pt idx="3">
                  <c:v>34.9493145183943</c:v>
                </c:pt>
              </c:numCache>
            </c:numRef>
          </c:val>
        </c:ser>
        <c:dLbls>
          <c:showLegendKey val="0"/>
          <c:showVal val="0"/>
          <c:showCatName val="0"/>
          <c:showSerName val="0"/>
          <c:showPercent val="0"/>
          <c:showBubbleSize val="0"/>
        </c:dLbls>
        <c:axId val="385522688"/>
        <c:axId val="385520768"/>
      </c:areaChart>
      <c:barChart>
        <c:barDir val="col"/>
        <c:grouping val="clustered"/>
        <c:varyColors val="0"/>
        <c:ser>
          <c:idx val="0"/>
          <c:order val="0"/>
          <c:tx>
            <c:strRef>
              <c:f>水资源!$B$10</c:f>
              <c:strCache>
                <c:ptCount val="1"/>
                <c:pt idx="0">
                  <c:v>供水量</c:v>
                </c:pt>
              </c:strCache>
            </c:strRef>
          </c:tx>
          <c:spPr>
            <a:solidFill>
              <a:srgbClr val="003300"/>
            </a:solidFill>
          </c:spPr>
          <c:invertIfNegative val="0"/>
          <c:dLbls>
            <c:dLbl>
              <c:idx val="0"/>
              <c:layout>
                <c:manualLayout>
                  <c:x val="-0.00210304942166141"/>
                  <c:y val="8.68045527819545e-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99579390115668"/>
                  <c:y val="0.02272727272727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71109213356416e-17"/>
                  <c:y val="0.234848484848485"/>
                </c:manualLayout>
              </c:layout>
              <c:numFmt formatCode="General" sourceLinked="1"/>
              <c:spPr>
                <a:no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41219768664564"/>
                  <c:y val="0.02272727272727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800" b="1" i="0" u="none" strike="noStrike" kern="1200" baseline="0">
                    <a:solidFill>
                      <a:srgbClr val="006600"/>
                    </a:solidFill>
                    <a:effectLst>
                      <a:glow rad="1016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水资源!$A$11:$A$14</c:f>
              <c:strCache>
                <c:ptCount val="4"/>
                <c:pt idx="0">
                  <c:v>总供水量</c:v>
                </c:pt>
                <c:pt idx="1">
                  <c:v>地下水源</c:v>
                </c:pt>
                <c:pt idx="2">
                  <c:v>蓄水工程</c:v>
                </c:pt>
                <c:pt idx="3">
                  <c:v>引水工程</c:v>
                </c:pt>
              </c:strCache>
            </c:strRef>
          </c:cat>
          <c:val>
            <c:numRef>
              <c:f>水资源!$B$11:$B$14</c:f>
              <c:numCache>
                <c:formatCode>0.00_ </c:formatCode>
                <c:ptCount val="4"/>
                <c:pt idx="0">
                  <c:v>19224.44</c:v>
                </c:pt>
                <c:pt idx="1">
                  <c:v>27.84</c:v>
                </c:pt>
                <c:pt idx="2">
                  <c:v>12477.79</c:v>
                </c:pt>
                <c:pt idx="3">
                  <c:v>6718.81</c:v>
                </c:pt>
              </c:numCache>
            </c:numRef>
          </c:val>
        </c:ser>
        <c:dLbls>
          <c:showLegendKey val="0"/>
          <c:showVal val="0"/>
          <c:showCatName val="0"/>
          <c:showSerName val="0"/>
          <c:showPercent val="0"/>
          <c:showBubbleSize val="0"/>
        </c:dLbls>
        <c:gapWidth val="150"/>
        <c:axId val="385484288"/>
        <c:axId val="385485824"/>
      </c:barChart>
      <c:lineChart>
        <c:grouping val="standard"/>
        <c:varyColors val="0"/>
        <c:ser>
          <c:idx val="3"/>
          <c:order val="3"/>
          <c:tx>
            <c:strRef>
              <c:f>水资源!$E$10</c:f>
              <c:strCache>
                <c:ptCount val="1"/>
                <c:pt idx="0">
                  <c:v>北江大坑口以下供水量</c:v>
                </c:pt>
              </c:strCache>
            </c:strRef>
          </c:tx>
          <c:spPr>
            <a:ln w="25400" cap="rnd" cmpd="sng" algn="ctr">
              <a:solidFill>
                <a:srgbClr val="7030A0"/>
              </a:solidFill>
              <a:prstDash val="dashDot"/>
              <a:round/>
            </a:ln>
          </c:spPr>
          <c:marker>
            <c:symbol val="triangle"/>
            <c:size val="6"/>
            <c:spPr>
              <a:solidFill>
                <a:schemeClr val="bg1"/>
              </a:solidFill>
              <a:ln w="9525" cap="flat" cmpd="sng" algn="ctr">
                <a:solidFill>
                  <a:srgbClr val="7030A0"/>
                </a:solidFill>
                <a:prstDash val="solid"/>
                <a:round/>
              </a:ln>
            </c:spPr>
          </c:marker>
          <c:dLbls>
            <c:dLbl>
              <c:idx val="0"/>
              <c:layout>
                <c:manualLayout>
                  <c:x val="-0.0441640378548896"/>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10304942166141"/>
                  <c:y val="-0.0037878787878787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800" b="1" i="0" u="none" strike="noStrike" kern="1200" baseline="0">
                      <a:ln>
                        <a:solidFill>
                          <a:schemeClr val="tx1"/>
                        </a:solidFill>
                      </a:ln>
                      <a:solidFill>
                        <a:schemeClr val="bg1"/>
                      </a:solidFill>
                      <a:effectLst>
                        <a:glow rad="101600">
                          <a:schemeClr val="accent4">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62670872765509"/>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99579390115668"/>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4">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水资源!$A$11:$A$14</c:f>
              <c:strCache>
                <c:ptCount val="4"/>
                <c:pt idx="0">
                  <c:v>总供水量</c:v>
                </c:pt>
                <c:pt idx="1">
                  <c:v>地下水源</c:v>
                </c:pt>
                <c:pt idx="2">
                  <c:v>蓄水工程</c:v>
                </c:pt>
                <c:pt idx="3">
                  <c:v>引水工程</c:v>
                </c:pt>
              </c:strCache>
            </c:strRef>
          </c:cat>
          <c:val>
            <c:numRef>
              <c:f>水资源!$E$11:$E$14</c:f>
              <c:numCache>
                <c:formatCode>0.00_ </c:formatCode>
                <c:ptCount val="4"/>
                <c:pt idx="0">
                  <c:v>2248.6033</c:v>
                </c:pt>
                <c:pt idx="1">
                  <c:v>2</c:v>
                </c:pt>
                <c:pt idx="2">
                  <c:v>1460.29</c:v>
                </c:pt>
                <c:pt idx="3">
                  <c:v>786.3133</c:v>
                </c:pt>
              </c:numCache>
            </c:numRef>
          </c:val>
          <c:smooth val="0"/>
        </c:ser>
        <c:ser>
          <c:idx val="4"/>
          <c:order val="4"/>
          <c:tx>
            <c:strRef>
              <c:f>水资源!$F$10</c:f>
              <c:strCache>
                <c:ptCount val="1"/>
                <c:pt idx="0">
                  <c:v>东江秋香江口以上供水量</c:v>
                </c:pt>
              </c:strCache>
            </c:strRef>
          </c:tx>
          <c:spPr>
            <a:ln w="25400" cap="rnd" cmpd="sng" algn="ctr">
              <a:solidFill>
                <a:schemeClr val="tx2">
                  <a:lumMod val="75000"/>
                </a:schemeClr>
              </a:solidFill>
              <a:prstDash val="lgDashDot"/>
              <a:round/>
            </a:ln>
          </c:spPr>
          <c:marker>
            <c:symbol val="square"/>
            <c:size val="6"/>
            <c:spPr>
              <a:solidFill>
                <a:schemeClr val="bg1"/>
              </a:solidFill>
              <a:ln w="9525" cap="flat" cmpd="sng" algn="ctr">
                <a:solidFill>
                  <a:schemeClr val="tx2">
                    <a:lumMod val="75000"/>
                  </a:schemeClr>
                </a:solidFill>
                <a:prstDash val="solid"/>
                <a:round/>
              </a:ln>
            </c:spPr>
          </c:marker>
          <c:dLbls>
            <c:dLbl>
              <c:idx val="0"/>
              <c:layout>
                <c:manualLayout>
                  <c:x val="-0.0483701366982124"/>
                  <c:y val="0.04545454545454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15457413249211"/>
                  <c:y val="-0.04924242424242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41640378548895"/>
                  <c:y val="0.04545454545454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8548895899054"/>
                  <c:y val="0.03409090909090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1">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水资源!$A$11:$A$14</c:f>
              <c:strCache>
                <c:ptCount val="4"/>
                <c:pt idx="0">
                  <c:v>总供水量</c:v>
                </c:pt>
                <c:pt idx="1">
                  <c:v>地下水源</c:v>
                </c:pt>
                <c:pt idx="2">
                  <c:v>蓄水工程</c:v>
                </c:pt>
                <c:pt idx="3">
                  <c:v>引水工程</c:v>
                </c:pt>
              </c:strCache>
            </c:strRef>
          </c:cat>
          <c:val>
            <c:numRef>
              <c:f>水资源!$F$11:$F$14</c:f>
              <c:numCache>
                <c:formatCode>0.00_ </c:formatCode>
                <c:ptCount val="4"/>
                <c:pt idx="0">
                  <c:v>16975.8319</c:v>
                </c:pt>
                <c:pt idx="1">
                  <c:v>25.838</c:v>
                </c:pt>
                <c:pt idx="2">
                  <c:v>11017.5</c:v>
                </c:pt>
                <c:pt idx="3">
                  <c:v>5932.4939</c:v>
                </c:pt>
              </c:numCache>
            </c:numRef>
          </c:val>
          <c:smooth val="0"/>
        </c:ser>
        <c:dLbls>
          <c:showLegendKey val="0"/>
          <c:showVal val="0"/>
          <c:showCatName val="0"/>
          <c:showSerName val="0"/>
          <c:showPercent val="0"/>
          <c:showBubbleSize val="0"/>
        </c:dLbls>
        <c:marker val="1"/>
        <c:smooth val="0"/>
        <c:axId val="385484288"/>
        <c:axId val="385485824"/>
      </c:lineChart>
      <c:lineChart>
        <c:grouping val="standard"/>
        <c:varyColors val="0"/>
        <c:ser>
          <c:idx val="1"/>
          <c:order val="1"/>
          <c:tx>
            <c:strRef>
              <c:f>水资源!$C$10</c:f>
              <c:strCache>
                <c:ptCount val="1"/>
                <c:pt idx="0">
                  <c:v>占比</c:v>
                </c:pt>
              </c:strCache>
            </c:strRef>
          </c:tx>
          <c:spPr>
            <a:ln w="25400" cap="rnd" cmpd="sng" algn="ctr">
              <a:solidFill>
                <a:srgbClr val="FF0000"/>
              </a:solidFill>
              <a:prstDash val="dash"/>
              <a:round/>
            </a:ln>
          </c:spPr>
          <c:marker>
            <c:symbol val="circle"/>
            <c:size val="6"/>
            <c:spPr>
              <a:solidFill>
                <a:schemeClr val="bg1"/>
              </a:solidFill>
            </c:spPr>
          </c:marker>
          <c:dLbls>
            <c:dLbl>
              <c:idx val="0"/>
              <c:layout>
                <c:manualLayout>
                  <c:x val="-0.0042060988433228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10304942166141"/>
                  <c:y val="-0.03030303030303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6487907465825"/>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3396424815983"/>
                  <c:y val="-0.041666964924838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tx1"/>
                    </a:solidFill>
                    <a:effectLst>
                      <a:glow rad="1016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水资源!$A$11:$A$14</c:f>
              <c:strCache>
                <c:ptCount val="4"/>
                <c:pt idx="0">
                  <c:v>总供水量</c:v>
                </c:pt>
                <c:pt idx="1">
                  <c:v>地下水源</c:v>
                </c:pt>
                <c:pt idx="2">
                  <c:v>蓄水工程</c:v>
                </c:pt>
                <c:pt idx="3">
                  <c:v>引水工程</c:v>
                </c:pt>
              </c:strCache>
            </c:strRef>
          </c:cat>
          <c:val>
            <c:numRef>
              <c:f>水资源!$C$11:$C$14</c:f>
              <c:numCache>
                <c:formatCode>0.00_ </c:formatCode>
                <c:ptCount val="4"/>
                <c:pt idx="0">
                  <c:v>100</c:v>
                </c:pt>
                <c:pt idx="1">
                  <c:v>0.144815661730589</c:v>
                </c:pt>
                <c:pt idx="2">
                  <c:v>64.9058698198751</c:v>
                </c:pt>
                <c:pt idx="3">
                  <c:v>34.9493145183943</c:v>
                </c:pt>
              </c:numCache>
            </c:numRef>
          </c:val>
          <c:smooth val="0"/>
        </c:ser>
        <c:dLbls>
          <c:showLegendKey val="0"/>
          <c:showVal val="0"/>
          <c:showCatName val="0"/>
          <c:showSerName val="0"/>
          <c:showPercent val="0"/>
          <c:showBubbleSize val="0"/>
        </c:dLbls>
        <c:marker val="1"/>
        <c:smooth val="0"/>
        <c:axId val="385522688"/>
        <c:axId val="385520768"/>
      </c:lineChart>
      <c:catAx>
        <c:axId val="385484288"/>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485824"/>
        <c:crosses val="autoZero"/>
        <c:auto val="1"/>
        <c:lblAlgn val="ctr"/>
        <c:lblOffset val="100"/>
        <c:noMultiLvlLbl val="0"/>
      </c:catAx>
      <c:valAx>
        <c:axId val="385485824"/>
        <c:scaling>
          <c:orientation val="minMax"/>
          <c:max val="2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供水量（万立方米）</a:t>
                </a:r>
                <a:endParaRPr lang="zh-CN" altLang="en-US" b="0">
                  <a:latin typeface="等线" panose="02010600030101010101" charset="-122"/>
                  <a:ea typeface="等线" panose="02010600030101010101" charset="-122"/>
                </a:endParaRPr>
              </a:p>
            </c:rich>
          </c:tx>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5484288"/>
        <c:crosses val="autoZero"/>
        <c:crossBetween val="between"/>
        <c:majorUnit val="2000"/>
      </c:valAx>
      <c:catAx>
        <c:axId val="38552268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520768"/>
        <c:crosses val="autoZero"/>
        <c:auto val="1"/>
        <c:lblAlgn val="ctr"/>
        <c:lblOffset val="100"/>
        <c:noMultiLvlLbl val="0"/>
      </c:catAx>
      <c:valAx>
        <c:axId val="385520768"/>
        <c:scaling>
          <c:orientation val="minMax"/>
          <c:max val="110"/>
          <c:min val="-2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占比（</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manualLayout>
              <c:xMode val="edge"/>
              <c:yMode val="edge"/>
              <c:x val="0.961789082358396"/>
              <c:y val="0.265643939393939"/>
            </c:manualLayout>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522688"/>
        <c:crosses val="max"/>
        <c:crossBetween val="between"/>
        <c:majorUnit val="22"/>
      </c:valAx>
    </c:plotArea>
    <c:legend>
      <c:legendPos val="b"/>
      <c:legendEntry>
        <c:idx val="0"/>
        <c:delete val="1"/>
      </c:legendEntry>
      <c:layout>
        <c:manualLayout>
          <c:xMode val="edge"/>
          <c:yMode val="edge"/>
          <c:x val="0.0112784003265415"/>
          <c:y val="0.921196910045335"/>
          <c:w val="0.966780019862895"/>
          <c:h val="0.068495884037222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75748693874"/>
          <c:y val="0.0420549988069673"/>
          <c:w val="0.778029260538016"/>
          <c:h val="0.789337270341207"/>
        </c:manualLayout>
      </c:layout>
      <c:barChart>
        <c:barDir val="col"/>
        <c:grouping val="clustered"/>
        <c:varyColors val="0"/>
        <c:ser>
          <c:idx val="0"/>
          <c:order val="0"/>
          <c:tx>
            <c:strRef>
              <c:f>水资源!$K$3</c:f>
              <c:strCache>
                <c:ptCount val="1"/>
                <c:pt idx="0">
                  <c:v>连平县</c:v>
                </c:pt>
              </c:strCache>
            </c:strRef>
          </c:tx>
          <c:spPr>
            <a:solidFill>
              <a:srgbClr val="003300"/>
            </a:solidFill>
          </c:spPr>
          <c:invertIfNegative val="0"/>
          <c:dLbls>
            <c:dLbl>
              <c:idx val="0"/>
              <c:layout>
                <c:manualLayout>
                  <c:x val="-0.0117473290522229"/>
                  <c:y val="0.003809523809523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0915490402409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09626216077829"/>
                  <c:y val="-0.00982969458363159"/>
                </c:manualLayout>
              </c:layout>
              <c:numFmt formatCode="General" sourceLinked="1"/>
              <c:spPr>
                <a:no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800" b="0" i="0" u="none" strike="noStrike" kern="1200" baseline="0">
                      <a:ln>
                        <a:solidFill>
                          <a:srgbClr val="006600"/>
                        </a:solidFill>
                      </a:ln>
                      <a:solidFill>
                        <a:srgbClr val="92D050"/>
                      </a:solidFill>
                      <a:effectLst>
                        <a:glow rad="1016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26778104349859"/>
                  <c:y val="-0.02651515151515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800" b="0" i="0" u="none" strike="noStrike" kern="1200" baseline="0">
                    <a:ln>
                      <a:solidFill>
                        <a:srgbClr val="006600"/>
                      </a:solidFill>
                    </a:ln>
                    <a:solidFill>
                      <a:srgbClr val="006600"/>
                    </a:solidFill>
                    <a:effectLst>
                      <a:glow rad="1016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水资源!$L$2:$P$2</c:f>
              <c:strCache>
                <c:ptCount val="5"/>
                <c:pt idx="0">
                  <c:v>农田灌溉用水</c:v>
                </c:pt>
                <c:pt idx="1">
                  <c:v>林牧渔畜用水</c:v>
                </c:pt>
                <c:pt idx="2">
                  <c:v>工业用水</c:v>
                </c:pt>
                <c:pt idx="3">
                  <c:v>城镇公共用水</c:v>
                </c:pt>
                <c:pt idx="4">
                  <c:v>居民生活用水</c:v>
                </c:pt>
              </c:strCache>
            </c:strRef>
          </c:cat>
          <c:val>
            <c:numRef>
              <c:f>水资源!$L$3:$P$3</c:f>
              <c:numCache>
                <c:formatCode>0.00_ </c:formatCode>
                <c:ptCount val="5"/>
                <c:pt idx="0">
                  <c:v>15566.86</c:v>
                </c:pt>
                <c:pt idx="1">
                  <c:v>1331.16</c:v>
                </c:pt>
                <c:pt idx="2">
                  <c:v>181.636</c:v>
                </c:pt>
                <c:pt idx="3">
                  <c:v>196.6</c:v>
                </c:pt>
                <c:pt idx="4">
                  <c:v>1948.1792</c:v>
                </c:pt>
              </c:numCache>
            </c:numRef>
          </c:val>
        </c:ser>
        <c:dLbls>
          <c:showLegendKey val="0"/>
          <c:showVal val="0"/>
          <c:showCatName val="0"/>
          <c:showSerName val="0"/>
          <c:showPercent val="0"/>
          <c:showBubbleSize val="0"/>
        </c:dLbls>
        <c:gapWidth val="150"/>
        <c:axId val="794192896"/>
        <c:axId val="794206976"/>
      </c:barChart>
      <c:lineChart>
        <c:grouping val="standard"/>
        <c:varyColors val="0"/>
        <c:ser>
          <c:idx val="1"/>
          <c:order val="1"/>
          <c:tx>
            <c:strRef>
              <c:f>水资源!$K$4</c:f>
              <c:strCache>
                <c:ptCount val="1"/>
                <c:pt idx="0">
                  <c:v>北江大坑口以下</c:v>
                </c:pt>
              </c:strCache>
            </c:strRef>
          </c:tx>
          <c:spPr>
            <a:ln w="25400" cap="rnd" cmpd="sng" algn="ctr">
              <a:solidFill>
                <a:srgbClr val="FF0000"/>
              </a:solidFill>
              <a:prstDash val="dash"/>
              <a:round/>
            </a:ln>
          </c:spPr>
          <c:marker>
            <c:symbol val="circle"/>
            <c:size val="6"/>
            <c:spPr>
              <a:solidFill>
                <a:schemeClr val="bg1"/>
              </a:solidFill>
            </c:spPr>
          </c:marker>
          <c:dLbls>
            <c:dLbl>
              <c:idx val="0"/>
              <c:layout>
                <c:manualLayout>
                  <c:x val="-0.0431205776697268"/>
                  <c:y val="-0.037878787878787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60893194802263"/>
                  <c:y val="-0.0037878787878787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6487907465825"/>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764947929895859"/>
                  <c:y val="-0.02272757098544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74821659950734"/>
                  <c:y val="-0.015173303337082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tx1"/>
                    </a:solidFill>
                    <a:effectLst>
                      <a:glow rad="1016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水资源!$L$2:$P$2</c:f>
              <c:strCache>
                <c:ptCount val="5"/>
                <c:pt idx="0">
                  <c:v>农田灌溉用水</c:v>
                </c:pt>
                <c:pt idx="1">
                  <c:v>林牧渔畜用水</c:v>
                </c:pt>
                <c:pt idx="2">
                  <c:v>工业用水</c:v>
                </c:pt>
                <c:pt idx="3">
                  <c:v>城镇公共用水</c:v>
                </c:pt>
                <c:pt idx="4">
                  <c:v>居民生活用水</c:v>
                </c:pt>
              </c:strCache>
            </c:strRef>
          </c:cat>
          <c:val>
            <c:numRef>
              <c:f>水资源!$L$4:$P$4</c:f>
              <c:numCache>
                <c:formatCode>0.00_ </c:formatCode>
                <c:ptCount val="5"/>
                <c:pt idx="0">
                  <c:v>2096.0033</c:v>
                </c:pt>
                <c:pt idx="1">
                  <c:v>98</c:v>
                </c:pt>
                <c:pt idx="3">
                  <c:v>2.6</c:v>
                </c:pt>
                <c:pt idx="4">
                  <c:v>52</c:v>
                </c:pt>
              </c:numCache>
            </c:numRef>
          </c:val>
          <c:smooth val="1"/>
        </c:ser>
        <c:ser>
          <c:idx val="2"/>
          <c:order val="2"/>
          <c:tx>
            <c:strRef>
              <c:f>水资源!$K$5</c:f>
              <c:strCache>
                <c:ptCount val="1"/>
                <c:pt idx="0">
                  <c:v>东江秋香江口以上</c:v>
                </c:pt>
              </c:strCache>
            </c:strRef>
          </c:tx>
          <c:spPr>
            <a:ln w="25400" cap="rnd" cmpd="sng" algn="ctr">
              <a:solidFill>
                <a:srgbClr val="1201ED"/>
              </a:solidFill>
              <a:prstDash val="dash"/>
              <a:round/>
            </a:ln>
          </c:spPr>
          <c:marker>
            <c:symbol val="triangle"/>
            <c:size val="6"/>
            <c:spPr>
              <a:solidFill>
                <a:schemeClr val="bg1"/>
              </a:solidFill>
              <a:ln w="9525" cap="flat" cmpd="sng" algn="ctr">
                <a:solidFill>
                  <a:srgbClr val="1201ED"/>
                </a:solidFill>
                <a:prstDash val="solid"/>
                <a:round/>
              </a:ln>
            </c:spPr>
          </c:marker>
          <c:dLbls>
            <c:dLbl>
              <c:idx val="0"/>
              <c:layout>
                <c:manualLayout>
                  <c:x val="-0.0471070148489503"/>
                  <c:y val="0.041666666666666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1">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893939393939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515151515151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rgbClr val="1201ED"/>
                    </a:solidFill>
                    <a:effectLst>
                      <a:glow rad="101600">
                        <a:schemeClr val="accent1">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水资源!$L$2:$P$2</c:f>
              <c:strCache>
                <c:ptCount val="5"/>
                <c:pt idx="0">
                  <c:v>农田灌溉用水</c:v>
                </c:pt>
                <c:pt idx="1">
                  <c:v>林牧渔畜用水</c:v>
                </c:pt>
                <c:pt idx="2">
                  <c:v>工业用水</c:v>
                </c:pt>
                <c:pt idx="3">
                  <c:v>城镇公共用水</c:v>
                </c:pt>
                <c:pt idx="4">
                  <c:v>居民生活用水</c:v>
                </c:pt>
              </c:strCache>
            </c:strRef>
          </c:cat>
          <c:val>
            <c:numRef>
              <c:f>水资源!$L$5:$P$5</c:f>
              <c:numCache>
                <c:formatCode>0.00_ </c:formatCode>
                <c:ptCount val="5"/>
                <c:pt idx="0">
                  <c:v>13470.8567</c:v>
                </c:pt>
                <c:pt idx="1">
                  <c:v>1233.16</c:v>
                </c:pt>
                <c:pt idx="2">
                  <c:v>181.636</c:v>
                </c:pt>
                <c:pt idx="3">
                  <c:v>194</c:v>
                </c:pt>
                <c:pt idx="4">
                  <c:v>1896.1792</c:v>
                </c:pt>
              </c:numCache>
            </c:numRef>
          </c:val>
          <c:smooth val="0"/>
        </c:ser>
        <c:dLbls>
          <c:showLegendKey val="0"/>
          <c:showVal val="0"/>
          <c:showCatName val="0"/>
          <c:showSerName val="0"/>
          <c:showPercent val="0"/>
          <c:showBubbleSize val="0"/>
        </c:dLbls>
        <c:marker val="1"/>
        <c:smooth val="1"/>
        <c:axId val="794192896"/>
        <c:axId val="794206976"/>
      </c:lineChart>
      <c:lineChart>
        <c:grouping val="standard"/>
        <c:varyColors val="0"/>
        <c:ser>
          <c:idx val="3"/>
          <c:order val="3"/>
          <c:tx>
            <c:strRef>
              <c:f>水资源!$K$6</c:f>
              <c:strCache>
                <c:ptCount val="1"/>
                <c:pt idx="0">
                  <c:v>占比</c:v>
                </c:pt>
              </c:strCache>
            </c:strRef>
          </c:tx>
          <c:spPr>
            <a:ln w="25400" cap="rnd" cmpd="sng" algn="ctr">
              <a:solidFill>
                <a:srgbClr val="7030A0"/>
              </a:solidFill>
              <a:prstDash val="sysDash"/>
              <a:round/>
            </a:ln>
          </c:spPr>
          <c:marker>
            <c:symbol val="diamond"/>
            <c:size val="6"/>
            <c:spPr>
              <a:solidFill>
                <a:schemeClr val="bg1"/>
              </a:solidFill>
            </c:spPr>
          </c:marker>
          <c:dLbls>
            <c:dLbl>
              <c:idx val="1"/>
              <c:layout>
                <c:manualLayout>
                  <c:x val="-0.00614439324116743"/>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4331797235023"/>
                  <c:y val="-0.04545454545454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07219662058372"/>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5294418842806"/>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bg1"/>
                    </a:solidFill>
                    <a:effectLst>
                      <a:glow rad="101600">
                        <a:schemeClr val="accent4">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水资源!$L$2:$P$2</c:f>
              <c:strCache>
                <c:ptCount val="5"/>
                <c:pt idx="0">
                  <c:v>农田灌溉用水</c:v>
                </c:pt>
                <c:pt idx="1">
                  <c:v>林牧渔畜用水</c:v>
                </c:pt>
                <c:pt idx="2">
                  <c:v>工业用水</c:v>
                </c:pt>
                <c:pt idx="3">
                  <c:v>城镇公共用水</c:v>
                </c:pt>
                <c:pt idx="4">
                  <c:v>居民生活用水</c:v>
                </c:pt>
              </c:strCache>
            </c:strRef>
          </c:cat>
          <c:val>
            <c:numRef>
              <c:f>水资源!$L$6:$P$6</c:f>
              <c:numCache>
                <c:formatCode>0.00_ </c:formatCode>
                <c:ptCount val="5"/>
                <c:pt idx="0">
                  <c:v>80.9743424867952</c:v>
                </c:pt>
                <c:pt idx="1">
                  <c:v>6.92431265809047</c:v>
                </c:pt>
                <c:pt idx="2">
                  <c:v>0.944818394456655</c:v>
                </c:pt>
                <c:pt idx="3">
                  <c:v>1.02265683207172</c:v>
                </c:pt>
                <c:pt idx="4">
                  <c:v>10.133869628586</c:v>
                </c:pt>
              </c:numCache>
            </c:numRef>
          </c:val>
          <c:smooth val="0"/>
        </c:ser>
        <c:dLbls>
          <c:showLegendKey val="0"/>
          <c:showVal val="0"/>
          <c:showCatName val="0"/>
          <c:showSerName val="0"/>
          <c:showPercent val="0"/>
          <c:showBubbleSize val="0"/>
        </c:dLbls>
        <c:marker val="1"/>
        <c:smooth val="0"/>
        <c:axId val="794211072"/>
        <c:axId val="794208896"/>
      </c:lineChart>
      <c:catAx>
        <c:axId val="794192896"/>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4206976"/>
        <c:crosses val="autoZero"/>
        <c:auto val="1"/>
        <c:lblAlgn val="ctr"/>
        <c:lblOffset val="100"/>
        <c:noMultiLvlLbl val="0"/>
      </c:catAx>
      <c:valAx>
        <c:axId val="794206976"/>
        <c:scaling>
          <c:orientation val="minMax"/>
          <c:max val="2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用水量（万立方米）</a:t>
                </a:r>
                <a:endParaRPr lang="zh-CN" altLang="en-US" b="0">
                  <a:latin typeface="等线" panose="02010600030101010101" charset="-122"/>
                  <a:ea typeface="等线" panose="02010600030101010101" charset="-122"/>
                </a:endParaRPr>
              </a:p>
            </c:rich>
          </c:tx>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94192896"/>
        <c:crosses val="autoZero"/>
        <c:crossBetween val="between"/>
        <c:majorUnit val="2000"/>
      </c:valAx>
      <c:catAx>
        <c:axId val="794211072"/>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4208896"/>
        <c:crosses val="autoZero"/>
        <c:auto val="1"/>
        <c:lblAlgn val="ctr"/>
        <c:lblOffset val="100"/>
        <c:noMultiLvlLbl val="0"/>
      </c:catAx>
      <c:valAx>
        <c:axId val="794208896"/>
        <c:scaling>
          <c:orientation val="minMax"/>
          <c:max val="81"/>
          <c:min val="-2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用水量占比（</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manualLayout>
              <c:xMode val="edge"/>
              <c:yMode val="edge"/>
              <c:x val="0.959959037378392"/>
              <c:y val="0.273219696969697"/>
            </c:manualLayout>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4211072"/>
        <c:crosses val="max"/>
        <c:crossBetween val="between"/>
      </c:valAx>
    </c:plotArea>
    <c:legend>
      <c:legendPos val="b"/>
      <c:layout>
        <c:manualLayout>
          <c:xMode val="edge"/>
          <c:yMode val="edge"/>
          <c:x val="0.10912199266231"/>
          <c:y val="0.928837495313086"/>
          <c:w val="0.801228878648233"/>
          <c:h val="0.068495884037222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71035174001308"/>
          <c:y val="0.0420549988069673"/>
          <c:w val="0.807997179964155"/>
          <c:h val="0.735116621060665"/>
        </c:manualLayout>
      </c:layout>
      <c:barChart>
        <c:barDir val="col"/>
        <c:grouping val="clustered"/>
        <c:varyColors val="0"/>
        <c:ser>
          <c:idx val="0"/>
          <c:order val="0"/>
          <c:tx>
            <c:strRef>
              <c:f>水资源!$L$38</c:f>
              <c:strCache>
                <c:ptCount val="1"/>
                <c:pt idx="0">
                  <c:v>万元GDP用水量（m³）</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水资源!$K$39:$K$43</c:f>
              <c:strCache>
                <c:ptCount val="5"/>
                <c:pt idx="0">
                  <c:v>2017年</c:v>
                </c:pt>
                <c:pt idx="1">
                  <c:v>2018年</c:v>
                </c:pt>
                <c:pt idx="2">
                  <c:v>2019年</c:v>
                </c:pt>
                <c:pt idx="3">
                  <c:v>2020年</c:v>
                </c:pt>
                <c:pt idx="4">
                  <c:v>2021年</c:v>
                </c:pt>
              </c:strCache>
            </c:strRef>
          </c:cat>
          <c:val>
            <c:numRef>
              <c:f>水资源!$L$39:$L$43</c:f>
              <c:numCache>
                <c:formatCode>General</c:formatCode>
                <c:ptCount val="5"/>
                <c:pt idx="0">
                  <c:v>255.05</c:v>
                </c:pt>
                <c:pt idx="1">
                  <c:v>189.25</c:v>
                </c:pt>
                <c:pt idx="2">
                  <c:v>220.5</c:v>
                </c:pt>
                <c:pt idx="3">
                  <c:v>218.39</c:v>
                </c:pt>
                <c:pt idx="4">
                  <c:v>173.54</c:v>
                </c:pt>
              </c:numCache>
            </c:numRef>
          </c:val>
        </c:ser>
        <c:ser>
          <c:idx val="2"/>
          <c:order val="2"/>
          <c:tx>
            <c:strRef>
              <c:f>水资源!$N$38</c:f>
              <c:strCache>
                <c:ptCount val="1"/>
                <c:pt idx="0">
                  <c:v>农业灌溉综合用水量（m³/亩）</c:v>
                </c:pt>
              </c:strCache>
            </c:strRef>
          </c:tx>
          <c:invertIfNegative val="0"/>
          <c:dLbls>
            <c:dLbl>
              <c:idx val="0"/>
              <c:layout>
                <c:manualLayout>
                  <c:x val="0.00184672206832872"/>
                  <c:y val="0.0095923261390887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水资源!$K$39:$K$43</c:f>
              <c:strCache>
                <c:ptCount val="5"/>
                <c:pt idx="0">
                  <c:v>2017年</c:v>
                </c:pt>
                <c:pt idx="1">
                  <c:v>2018年</c:v>
                </c:pt>
                <c:pt idx="2">
                  <c:v>2019年</c:v>
                </c:pt>
                <c:pt idx="3">
                  <c:v>2020年</c:v>
                </c:pt>
                <c:pt idx="4">
                  <c:v>2021年</c:v>
                </c:pt>
              </c:strCache>
            </c:strRef>
          </c:cat>
          <c:val>
            <c:numRef>
              <c:f>水资源!$N$39:$N$43</c:f>
              <c:numCache>
                <c:formatCode>General</c:formatCode>
                <c:ptCount val="5"/>
                <c:pt idx="0">
                  <c:v>858.44</c:v>
                </c:pt>
                <c:pt idx="1">
                  <c:v>806.41</c:v>
                </c:pt>
                <c:pt idx="2">
                  <c:v>789.68</c:v>
                </c:pt>
                <c:pt idx="3">
                  <c:v>769.29</c:v>
                </c:pt>
                <c:pt idx="4">
                  <c:v>729.61</c:v>
                </c:pt>
              </c:numCache>
            </c:numRef>
          </c:val>
        </c:ser>
        <c:ser>
          <c:idx val="3"/>
          <c:order val="3"/>
          <c:tx>
            <c:strRef>
              <c:f>水资源!$O$38</c:f>
              <c:strCache>
                <c:ptCount val="1"/>
                <c:pt idx="0">
                  <c:v>城镇居民生活用水指标（升/人·日）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水资源!$K$39:$K$43</c:f>
              <c:strCache>
                <c:ptCount val="5"/>
                <c:pt idx="0">
                  <c:v>2017年</c:v>
                </c:pt>
                <c:pt idx="1">
                  <c:v>2018年</c:v>
                </c:pt>
                <c:pt idx="2">
                  <c:v>2019年</c:v>
                </c:pt>
                <c:pt idx="3">
                  <c:v>2020年</c:v>
                </c:pt>
                <c:pt idx="4">
                  <c:v>2021年</c:v>
                </c:pt>
              </c:strCache>
            </c:strRef>
          </c:cat>
          <c:val>
            <c:numRef>
              <c:f>水资源!$O$39:$O$43</c:f>
              <c:numCache>
                <c:formatCode>General</c:formatCode>
                <c:ptCount val="5"/>
                <c:pt idx="0">
                  <c:v>144.87</c:v>
                </c:pt>
                <c:pt idx="1">
                  <c:v>134.84</c:v>
                </c:pt>
                <c:pt idx="2">
                  <c:v>134.15</c:v>
                </c:pt>
                <c:pt idx="3">
                  <c:v>249.93</c:v>
                </c:pt>
                <c:pt idx="4">
                  <c:v>211.83</c:v>
                </c:pt>
              </c:numCache>
            </c:numRef>
          </c:val>
        </c:ser>
        <c:ser>
          <c:idx val="4"/>
          <c:order val="4"/>
          <c:tx>
            <c:strRef>
              <c:f>水资源!$P$38</c:f>
              <c:strCache>
                <c:ptCount val="1"/>
                <c:pt idx="0">
                  <c:v>农村居民生活用水指标（升/人·日）</c:v>
                </c:pt>
              </c:strCache>
            </c:strRef>
          </c:tx>
          <c:invertIfNegative val="0"/>
          <c:dLbls>
            <c:dLbl>
              <c:idx val="0"/>
              <c:layout>
                <c:manualLayout>
                  <c:x val="0.0110803324099723"/>
                  <c:y val="0.03836930455635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69344413665743"/>
                  <c:y val="0.01278976818545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54016620498615"/>
                  <c:y val="0.006394884092725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923361034164358"/>
                  <c:y val="0.0095923261390887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47737765466297"/>
                  <c:y val="0.06075139888089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水资源!$K$39:$K$43</c:f>
              <c:strCache>
                <c:ptCount val="5"/>
                <c:pt idx="0">
                  <c:v>2017年</c:v>
                </c:pt>
                <c:pt idx="1">
                  <c:v>2018年</c:v>
                </c:pt>
                <c:pt idx="2">
                  <c:v>2019年</c:v>
                </c:pt>
                <c:pt idx="3">
                  <c:v>2020年</c:v>
                </c:pt>
                <c:pt idx="4">
                  <c:v>2021年</c:v>
                </c:pt>
              </c:strCache>
            </c:strRef>
          </c:cat>
          <c:val>
            <c:numRef>
              <c:f>水资源!$P$39:$P$43</c:f>
              <c:numCache>
                <c:formatCode>General</c:formatCode>
                <c:ptCount val="5"/>
                <c:pt idx="0">
                  <c:v>138.03</c:v>
                </c:pt>
                <c:pt idx="1">
                  <c:v>241.16</c:v>
                </c:pt>
                <c:pt idx="2">
                  <c:v>66.05</c:v>
                </c:pt>
                <c:pt idx="3">
                  <c:v>141.03</c:v>
                </c:pt>
                <c:pt idx="4">
                  <c:v>196.78</c:v>
                </c:pt>
              </c:numCache>
            </c:numRef>
          </c:val>
        </c:ser>
        <c:dLbls>
          <c:showLegendKey val="0"/>
          <c:showVal val="0"/>
          <c:showCatName val="0"/>
          <c:showSerName val="0"/>
          <c:showPercent val="0"/>
          <c:showBubbleSize val="0"/>
        </c:dLbls>
        <c:gapWidth val="150"/>
        <c:axId val="846486144"/>
        <c:axId val="846500224"/>
      </c:barChart>
      <c:lineChart>
        <c:grouping val="standard"/>
        <c:varyColors val="0"/>
        <c:ser>
          <c:idx val="1"/>
          <c:order val="1"/>
          <c:tx>
            <c:strRef>
              <c:f>水资源!$M$38</c:f>
              <c:strCache>
                <c:ptCount val="1"/>
                <c:pt idx="0">
                  <c:v>万元工业增加值用水量（m³）</c:v>
                </c:pt>
              </c:strCache>
            </c:strRef>
          </c:tx>
          <c:spPr>
            <a:ln w="28575" cap="rnd" cmpd="sng" algn="ctr">
              <a:solidFill>
                <a:srgbClr val="70AD47">
                  <a:lumMod val="75000"/>
                </a:srgbClr>
              </a:solidFill>
              <a:prstDash val="solid"/>
              <a:round/>
            </a:ln>
          </c:spPr>
          <c:marker>
            <c:symbol val="circle"/>
            <c:size val="6"/>
            <c:spPr>
              <a:solidFill>
                <a:sysClr val="window" lastClr="FFFFFF"/>
              </a:solidFill>
              <a:ln w="12700" cap="flat" cmpd="sng" algn="ctr">
                <a:solidFill>
                  <a:srgbClr val="70AD47">
                    <a:lumMod val="75000"/>
                  </a:srgbClr>
                </a:solidFill>
                <a:prstDash val="solid"/>
                <a:round/>
              </a:ln>
            </c:spPr>
          </c:marker>
          <c:dLbls>
            <c:dLbl>
              <c:idx val="0"/>
              <c:layout>
                <c:manualLayout>
                  <c:x val="-0.00647249190938511"/>
                  <c:y val="-0.03536693191865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15749730312833"/>
                  <c:y val="0.03183023872679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31499460625674"/>
                  <c:y val="-0.0247568523430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53074433656958"/>
                  <c:y val="0.03536693191865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noFill/>
              </a:ln>
              <a:effectLst/>
            </c:spPr>
            <c:txPr>
              <a:bodyPr rot="0" spcFirstLastPara="0" vertOverflow="ellipsis" vert="horz" wrap="square" lIns="38100" tIns="19050" rIns="38100" bIns="19050" anchor="ctr" anchorCtr="1"/>
              <a:lstStyle/>
              <a:p>
                <a:pPr>
                  <a:defRPr lang="zh-CN" sz="700" b="1" i="0" u="none" strike="noStrike" kern="1200" baseline="0">
                    <a:solidFill>
                      <a:srgbClr val="00B050"/>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水资源!$K$39:$K$43</c:f>
              <c:strCache>
                <c:ptCount val="5"/>
                <c:pt idx="0">
                  <c:v>2017年</c:v>
                </c:pt>
                <c:pt idx="1">
                  <c:v>2018年</c:v>
                </c:pt>
                <c:pt idx="2">
                  <c:v>2019年</c:v>
                </c:pt>
                <c:pt idx="3">
                  <c:v>2020年</c:v>
                </c:pt>
                <c:pt idx="4">
                  <c:v>2021年</c:v>
                </c:pt>
              </c:strCache>
            </c:strRef>
          </c:cat>
          <c:val>
            <c:numRef>
              <c:f>水资源!$M$39:$M$43</c:f>
              <c:numCache>
                <c:formatCode>General</c:formatCode>
                <c:ptCount val="5"/>
                <c:pt idx="0">
                  <c:v>108.98</c:v>
                </c:pt>
                <c:pt idx="1">
                  <c:v>95.44</c:v>
                </c:pt>
                <c:pt idx="2">
                  <c:v>113.36</c:v>
                </c:pt>
                <c:pt idx="3">
                  <c:v>27.12</c:v>
                </c:pt>
                <c:pt idx="4">
                  <c:v>9.66</c:v>
                </c:pt>
              </c:numCache>
            </c:numRef>
          </c:val>
          <c:smooth val="1"/>
        </c:ser>
        <c:dLbls>
          <c:showLegendKey val="0"/>
          <c:showVal val="0"/>
          <c:showCatName val="0"/>
          <c:showSerName val="0"/>
          <c:showPercent val="0"/>
          <c:showBubbleSize val="0"/>
        </c:dLbls>
        <c:marker val="1"/>
        <c:smooth val="1"/>
        <c:axId val="893534592"/>
        <c:axId val="846502144"/>
      </c:lineChart>
      <c:catAx>
        <c:axId val="846486144"/>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46500224"/>
        <c:crosses val="autoZero"/>
        <c:auto val="1"/>
        <c:lblAlgn val="ctr"/>
        <c:lblOffset val="100"/>
        <c:noMultiLvlLbl val="0"/>
      </c:catAx>
      <c:valAx>
        <c:axId val="846500224"/>
        <c:scaling>
          <c:orientation val="minMax"/>
          <c:max val="1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b="0"/>
                  <a:t>用水</a:t>
                </a:r>
                <a:r>
                  <a:rPr lang="zh-CN" altLang="en-US" b="0"/>
                  <a:t>指标</a:t>
                </a:r>
                <a:endParaRPr lang="zh-CN" b="0"/>
              </a:p>
            </c:rich>
          </c:tx>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46486144"/>
        <c:crosses val="autoZero"/>
        <c:crossBetween val="between"/>
        <c:majorUnit val="100"/>
      </c:valAx>
      <c:catAx>
        <c:axId val="893534592"/>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46502144"/>
        <c:crosses val="autoZero"/>
        <c:auto val="1"/>
        <c:lblAlgn val="ctr"/>
        <c:lblOffset val="100"/>
        <c:noMultiLvlLbl val="0"/>
      </c:catAx>
      <c:valAx>
        <c:axId val="846502144"/>
        <c:scaling>
          <c:orientation val="minMax"/>
          <c:max val="160"/>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t>万元工业增加值用水量</a:t>
                </a:r>
                <a:endParaRPr lang="zh-CN" altLang="en-US" b="0"/>
              </a:p>
            </c:rich>
          </c:tx>
          <c:layout/>
          <c:overlay val="0"/>
        </c:title>
        <c:numFmt formatCode="General" sourceLinked="1"/>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3534592"/>
        <c:crosses val="max"/>
        <c:crossBetween val="between"/>
      </c:valAx>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
          <c:y val="0.844858719343374"/>
          <c:w val="1"/>
          <c:h val="0.151943762640642"/>
        </c:manualLayout>
      </c:layout>
      <c:overlay val="0"/>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680626916113"/>
          <c:y val="0.0420549988069673"/>
          <c:w val="0.89165106490339"/>
          <c:h val="0.76061649964209"/>
        </c:manualLayout>
      </c:layout>
      <c:barChart>
        <c:barDir val="col"/>
        <c:grouping val="clustered"/>
        <c:varyColors val="0"/>
        <c:ser>
          <c:idx val="0"/>
          <c:order val="0"/>
          <c:tx>
            <c:strRef>
              <c:f>水资源!$K$48</c:f>
              <c:strCache>
                <c:ptCount val="1"/>
                <c:pt idx="0">
                  <c:v>连平县</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水资源!$L$47:$P$47</c:f>
              <c:strCache>
                <c:ptCount val="5"/>
                <c:pt idx="0">
                  <c:v>万元GDP用水量
（m³）</c:v>
                </c:pt>
                <c:pt idx="1">
                  <c:v>万元工业增加值用水量
（m³）</c:v>
                </c:pt>
                <c:pt idx="2">
                  <c:v>农业灌溉综合用水量
（m³/亩）</c:v>
                </c:pt>
                <c:pt idx="3">
                  <c:v>城镇居民生活用水指标
（升/人·日）</c:v>
                </c:pt>
                <c:pt idx="4">
                  <c:v>农村居民生活用水指标
（升/人·日）</c:v>
                </c:pt>
              </c:strCache>
            </c:strRef>
          </c:cat>
          <c:val>
            <c:numRef>
              <c:f>水资源!$L$48:$P$48</c:f>
              <c:numCache>
                <c:formatCode>General</c:formatCode>
                <c:ptCount val="5"/>
                <c:pt idx="0">
                  <c:v>173.54</c:v>
                </c:pt>
                <c:pt idx="1">
                  <c:v>9.66</c:v>
                </c:pt>
                <c:pt idx="2">
                  <c:v>729.61</c:v>
                </c:pt>
                <c:pt idx="3">
                  <c:v>211.83</c:v>
                </c:pt>
                <c:pt idx="4">
                  <c:v>196.78</c:v>
                </c:pt>
              </c:numCache>
            </c:numRef>
          </c:val>
        </c:ser>
        <c:ser>
          <c:idx val="1"/>
          <c:order val="1"/>
          <c:tx>
            <c:strRef>
              <c:f>水资源!$K$49</c:f>
              <c:strCache>
                <c:ptCount val="1"/>
                <c:pt idx="0">
                  <c:v>河源市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水资源!$L$47:$P$47</c:f>
              <c:strCache>
                <c:ptCount val="5"/>
                <c:pt idx="0">
                  <c:v>万元GDP用水量
（m³）</c:v>
                </c:pt>
                <c:pt idx="1">
                  <c:v>万元工业增加值用水量
（m³）</c:v>
                </c:pt>
                <c:pt idx="2">
                  <c:v>农业灌溉综合用水量
（m³/亩）</c:v>
                </c:pt>
                <c:pt idx="3">
                  <c:v>城镇居民生活用水指标
（升/人·日）</c:v>
                </c:pt>
                <c:pt idx="4">
                  <c:v>农村居民生活用水指标
（升/人·日）</c:v>
                </c:pt>
              </c:strCache>
            </c:strRef>
          </c:cat>
          <c:val>
            <c:numRef>
              <c:f>水资源!$L$49:$P$49</c:f>
              <c:numCache>
                <c:formatCode>General</c:formatCode>
                <c:ptCount val="5"/>
                <c:pt idx="0">
                  <c:v>122.7</c:v>
                </c:pt>
                <c:pt idx="1">
                  <c:v>21.6</c:v>
                </c:pt>
                <c:pt idx="2">
                  <c:v>725</c:v>
                </c:pt>
                <c:pt idx="3">
                  <c:v>229</c:v>
                </c:pt>
                <c:pt idx="4">
                  <c:v>173</c:v>
                </c:pt>
              </c:numCache>
            </c:numRef>
          </c:val>
        </c:ser>
        <c:dLbls>
          <c:showLegendKey val="0"/>
          <c:showVal val="0"/>
          <c:showCatName val="0"/>
          <c:showSerName val="0"/>
          <c:showPercent val="0"/>
          <c:showBubbleSize val="0"/>
        </c:dLbls>
        <c:gapWidth val="150"/>
        <c:axId val="893741312"/>
        <c:axId val="893743104"/>
      </c:barChart>
      <c:catAx>
        <c:axId val="893741312"/>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crossAx val="893743104"/>
        <c:crosses val="autoZero"/>
        <c:auto val="1"/>
        <c:lblAlgn val="ctr"/>
        <c:lblOffset val="100"/>
        <c:noMultiLvlLbl val="0"/>
      </c:catAx>
      <c:valAx>
        <c:axId val="893743104"/>
        <c:scaling>
          <c:orientation val="minMax"/>
          <c:max val="8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b="0"/>
                  <a:t>用水</a:t>
                </a:r>
                <a:r>
                  <a:rPr lang="zh-CN" altLang="en-US" b="0"/>
                  <a:t>指标</a:t>
                </a:r>
                <a:endParaRPr lang="zh-CN" b="0"/>
              </a:p>
            </c:rich>
          </c:tx>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3741312"/>
        <c:crosses val="autoZero"/>
        <c:crossBetween val="between"/>
        <c:majorUnit val="100"/>
      </c:valAx>
    </c:plotArea>
    <c:legend>
      <c:legendPos val="b"/>
      <c:layout>
        <c:manualLayout>
          <c:xMode val="edge"/>
          <c:yMode val="edge"/>
          <c:x val="0.042926530183727"/>
          <c:y val="0.911115485564304"/>
          <c:w val="0.942586283362779"/>
          <c:h val="0.085686789151356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96850954124388"/>
          <c:y val="0.0361451383462563"/>
          <c:w val="0.831583410750893"/>
          <c:h val="0.7035956001683"/>
        </c:manualLayout>
      </c:layout>
      <c:areaChart>
        <c:grouping val="standard"/>
        <c:varyColors val="0"/>
        <c:ser>
          <c:idx val="1"/>
          <c:order val="4"/>
          <c:tx>
            <c:strRef>
              <c:f>水质!$A$7</c:f>
              <c:strCache>
                <c:ptCount val="1"/>
                <c:pt idx="0">
                  <c:v>Ⅱ类标准（DO）</c:v>
                </c:pt>
              </c:strCache>
            </c:strRef>
          </c:tx>
          <c:spPr>
            <a:solidFill>
              <a:sysClr val="window" lastClr="FFFFFF">
                <a:lumMod val="95000"/>
              </a:sysClr>
            </a:solidFill>
          </c:spP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水质!$B$7:$H$7</c:f>
              <c:numCache>
                <c:formatCode>0.00_);[Red]\(0.00\)</c:formatCode>
                <c:ptCount val="7"/>
                <c:pt idx="0">
                  <c:v>6</c:v>
                </c:pt>
                <c:pt idx="1">
                  <c:v>6</c:v>
                </c:pt>
                <c:pt idx="2">
                  <c:v>6</c:v>
                </c:pt>
                <c:pt idx="3">
                  <c:v>6</c:v>
                </c:pt>
                <c:pt idx="4">
                  <c:v>6</c:v>
                </c:pt>
                <c:pt idx="5">
                  <c:v>6</c:v>
                </c:pt>
                <c:pt idx="6">
                  <c:v>6</c:v>
                </c:pt>
              </c:numCache>
            </c:numRef>
          </c:val>
        </c:ser>
        <c:dLbls>
          <c:showLegendKey val="0"/>
          <c:showVal val="0"/>
          <c:showCatName val="0"/>
          <c:showSerName val="0"/>
          <c:showPercent val="0"/>
          <c:showBubbleSize val="0"/>
        </c:dLbls>
        <c:axId val="894235008"/>
        <c:axId val="894236544"/>
      </c:areaChart>
      <c:areaChart>
        <c:grouping val="standard"/>
        <c:varyColors val="0"/>
        <c:ser>
          <c:idx val="5"/>
          <c:order val="5"/>
          <c:tx>
            <c:strRef>
              <c:f>水质!$A$8</c:f>
              <c:strCache>
                <c:ptCount val="1"/>
                <c:pt idx="0">
                  <c:v>Ⅱ类标准（COD）</c:v>
                </c:pt>
              </c:strCache>
            </c:strRef>
          </c:tx>
          <c:spPr>
            <a:solidFill>
              <a:sysClr val="window" lastClr="FFFFFF">
                <a:lumMod val="95000"/>
                <a:alpha val="20000"/>
              </a:sysClr>
            </a:solidFill>
            <a:ln>
              <a:noFill/>
            </a:ln>
          </c:spP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水质!$B$8:$H$8</c:f>
              <c:numCache>
                <c:formatCode>0_);[Red]\(0\)</c:formatCode>
                <c:ptCount val="7"/>
                <c:pt idx="0">
                  <c:v>15</c:v>
                </c:pt>
                <c:pt idx="1">
                  <c:v>15</c:v>
                </c:pt>
                <c:pt idx="2">
                  <c:v>15</c:v>
                </c:pt>
                <c:pt idx="3">
                  <c:v>15</c:v>
                </c:pt>
                <c:pt idx="4">
                  <c:v>15</c:v>
                </c:pt>
                <c:pt idx="5">
                  <c:v>15</c:v>
                </c:pt>
                <c:pt idx="6">
                  <c:v>15</c:v>
                </c:pt>
              </c:numCache>
            </c:numRef>
          </c:val>
        </c:ser>
        <c:dLbls>
          <c:showLegendKey val="0"/>
          <c:showVal val="0"/>
          <c:showCatName val="0"/>
          <c:showSerName val="0"/>
          <c:showPercent val="0"/>
          <c:showBubbleSize val="0"/>
        </c:dLbls>
        <c:axId val="894891904"/>
        <c:axId val="894889984"/>
      </c:areaChart>
      <c:lineChart>
        <c:grouping val="standard"/>
        <c:varyColors val="0"/>
        <c:ser>
          <c:idx val="0"/>
          <c:order val="0"/>
          <c:tx>
            <c:strRef>
              <c:f>水质!$A$3</c:f>
              <c:strCache>
                <c:ptCount val="1"/>
                <c:pt idx="0">
                  <c:v>DO浓度</c:v>
                </c:pt>
              </c:strCache>
            </c:strRef>
          </c:tx>
          <c:spPr>
            <a:ln w="25400" cap="rnd" cmpd="sng" algn="ctr">
              <a:solidFill>
                <a:srgbClr val="FF0000"/>
              </a:solidFill>
              <a:prstDash val="solid"/>
              <a:round/>
            </a:ln>
          </c:spPr>
          <c:marker>
            <c:symbol val="circle"/>
            <c:size val="6"/>
            <c:spPr>
              <a:solidFill>
                <a:schemeClr val="bg1"/>
              </a:solidFill>
              <a:ln w="9525" cap="flat" cmpd="sng" algn="ctr">
                <a:solidFill>
                  <a:srgbClr val="FF0000"/>
                </a:solidFill>
                <a:prstDash val="solid"/>
                <a:round/>
              </a:ln>
            </c:spPr>
          </c:marker>
          <c:dLbls>
            <c:dLbl>
              <c:idx val="0"/>
              <c:layout>
                <c:manualLayout>
                  <c:x val="-0.0194017768496912"/>
                  <c:y val="0.04145077720207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017768496912"/>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8690357995883"/>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0247887828873"/>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37132828162894"/>
                  <c:y val="-0.03454231433506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82053305490737"/>
                  <c:y val="-0.03454231433506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9525" cap="rnd" cmpd="sng" algn="ctr">
                <a:solidFill>
                  <a:srgbClr val="FF0000"/>
                </a:solidFill>
                <a:prstDash val="sysDash"/>
                <a:round/>
              </a:ln>
            </c:spPr>
            <c:trendlineType val="linear"/>
            <c:dispRSqr val="0"/>
            <c:dispEq val="0"/>
          </c:trendline>
          <c:cat>
            <c:strRef>
              <c:f>水质!$B$2:$H$2</c:f>
              <c:strCache>
                <c:ptCount val="7"/>
                <c:pt idx="0">
                  <c:v>2016年</c:v>
                </c:pt>
                <c:pt idx="1">
                  <c:v>2017年</c:v>
                </c:pt>
                <c:pt idx="2">
                  <c:v>2018年</c:v>
                </c:pt>
                <c:pt idx="3">
                  <c:v>2019年</c:v>
                </c:pt>
                <c:pt idx="4">
                  <c:v>2020年</c:v>
                </c:pt>
                <c:pt idx="5">
                  <c:v>2021年</c:v>
                </c:pt>
                <c:pt idx="6">
                  <c:v>2022年</c:v>
                </c:pt>
              </c:strCache>
            </c:strRef>
          </c:cat>
          <c:val>
            <c:numRef>
              <c:f>水质!$B$3:$H$3</c:f>
              <c:numCache>
                <c:formatCode>0.00_);[Red]\(0.00\)</c:formatCode>
                <c:ptCount val="7"/>
                <c:pt idx="0">
                  <c:v>8.33333333333333</c:v>
                </c:pt>
                <c:pt idx="1">
                  <c:v>8.29333333333333</c:v>
                </c:pt>
                <c:pt idx="2">
                  <c:v>6.72166666666667</c:v>
                </c:pt>
                <c:pt idx="3">
                  <c:v>7.4</c:v>
                </c:pt>
                <c:pt idx="4">
                  <c:v>7.11666666666667</c:v>
                </c:pt>
                <c:pt idx="5" c:formatCode="0.0_ ">
                  <c:v>7.4</c:v>
                </c:pt>
                <c:pt idx="6" c:formatCode="0.0_ ">
                  <c:v>7.75</c:v>
                </c:pt>
              </c:numCache>
            </c:numRef>
          </c:val>
          <c:smooth val="1"/>
        </c:ser>
        <c:ser>
          <c:idx val="2"/>
          <c:order val="1"/>
          <c:tx>
            <c:strRef>
              <c:f>水质!$A$4</c:f>
              <c:strCache>
                <c:ptCount val="1"/>
                <c:pt idx="0">
                  <c:v>Ⅱ类标准（DO）</c:v>
                </c:pt>
              </c:strCache>
            </c:strRef>
          </c:tx>
          <c:spPr>
            <a:ln w="25400" cap="rnd" cmpd="sng" algn="ctr">
              <a:solidFill>
                <a:srgbClr val="FF0000"/>
              </a:solidFill>
              <a:prstDash val="solid"/>
              <a:round/>
            </a:ln>
          </c:spPr>
          <c:marker>
            <c:symbol val="none"/>
          </c:marke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水质!$B$4:$H$4</c:f>
              <c:numCache>
                <c:formatCode>0.00_);[Red]\(0.00\)</c:formatCode>
                <c:ptCount val="7"/>
                <c:pt idx="0">
                  <c:v>6</c:v>
                </c:pt>
                <c:pt idx="1">
                  <c:v>6</c:v>
                </c:pt>
                <c:pt idx="2">
                  <c:v>6</c:v>
                </c:pt>
                <c:pt idx="3">
                  <c:v>6</c:v>
                </c:pt>
                <c:pt idx="4">
                  <c:v>6</c:v>
                </c:pt>
                <c:pt idx="5">
                  <c:v>6</c:v>
                </c:pt>
                <c:pt idx="6">
                  <c:v>6</c:v>
                </c:pt>
              </c:numCache>
            </c:numRef>
          </c:val>
          <c:smooth val="0"/>
        </c:ser>
        <c:dLbls>
          <c:showLegendKey val="0"/>
          <c:showVal val="0"/>
          <c:showCatName val="0"/>
          <c:showSerName val="0"/>
          <c:showPercent val="0"/>
          <c:showBubbleSize val="0"/>
        </c:dLbls>
        <c:marker val="1"/>
        <c:smooth val="1"/>
        <c:axId val="894235008"/>
        <c:axId val="894236544"/>
      </c:lineChart>
      <c:lineChart>
        <c:grouping val="standard"/>
        <c:varyColors val="0"/>
        <c:ser>
          <c:idx val="3"/>
          <c:order val="2"/>
          <c:tx>
            <c:strRef>
              <c:f>水质!$A$5</c:f>
              <c:strCache>
                <c:ptCount val="1"/>
                <c:pt idx="0">
                  <c:v>COD浓度</c:v>
                </c:pt>
              </c:strCache>
            </c:strRef>
          </c:tx>
          <c:spPr>
            <a:ln w="25400" cap="rnd" cmpd="sng" algn="ctr">
              <a:solidFill>
                <a:srgbClr val="1201ED"/>
              </a:solidFill>
              <a:prstDash val="solid"/>
              <a:round/>
            </a:ln>
          </c:spPr>
          <c:marker>
            <c:symbol val="triangle"/>
            <c:size val="6"/>
            <c:spPr>
              <a:solidFill>
                <a:schemeClr val="bg1"/>
              </a:solidFill>
              <a:ln w="9525" cap="flat" cmpd="sng" algn="ctr">
                <a:solidFill>
                  <a:srgbClr val="1201ED"/>
                </a:solidFill>
                <a:prstDash val="solid"/>
                <a:round/>
              </a:ln>
            </c:spPr>
          </c:marker>
          <c:dLbls>
            <c:dLbl>
              <c:idx val="0"/>
              <c:layout>
                <c:manualLayout>
                  <c:x val="-0.00646725894989708"/>
                  <c:y val="-0.05526770293609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6478007160834"/>
                  <c:y val="-0.041450777202072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8690357995883"/>
                  <c:y val="-0.04145077720207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23362947494854"/>
                  <c:y val="-0.044905008635578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431150596659805"/>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9525" cap="rnd" cmpd="sng" algn="ctr">
                <a:solidFill>
                  <a:srgbClr val="1201ED"/>
                </a:solidFill>
                <a:prstDash val="sysDash"/>
                <a:round/>
              </a:ln>
            </c:spPr>
            <c:trendlineType val="linear"/>
            <c:dispRSqr val="0"/>
            <c:dispEq val="0"/>
          </c:trendline>
          <c:cat>
            <c:strRef>
              <c:f>水质!$B$2:$H$2</c:f>
              <c:strCache>
                <c:ptCount val="7"/>
                <c:pt idx="0">
                  <c:v>2016年</c:v>
                </c:pt>
                <c:pt idx="1">
                  <c:v>2017年</c:v>
                </c:pt>
                <c:pt idx="2">
                  <c:v>2018年</c:v>
                </c:pt>
                <c:pt idx="3">
                  <c:v>2019年</c:v>
                </c:pt>
                <c:pt idx="4">
                  <c:v>2020年</c:v>
                </c:pt>
                <c:pt idx="5">
                  <c:v>2021年</c:v>
                </c:pt>
                <c:pt idx="6">
                  <c:v>2022年</c:v>
                </c:pt>
              </c:strCache>
            </c:strRef>
          </c:cat>
          <c:val>
            <c:numRef>
              <c:f>水质!$B$5:$H$5</c:f>
              <c:numCache>
                <c:formatCode>0_);[Red]\(0\)</c:formatCode>
                <c:ptCount val="7"/>
                <c:pt idx="0">
                  <c:v>4.2</c:v>
                </c:pt>
                <c:pt idx="1">
                  <c:v>2.5</c:v>
                </c:pt>
                <c:pt idx="2">
                  <c:v>6</c:v>
                </c:pt>
                <c:pt idx="3">
                  <c:v>5.83333333333333</c:v>
                </c:pt>
                <c:pt idx="4">
                  <c:v>7</c:v>
                </c:pt>
                <c:pt idx="5">
                  <c:v>9</c:v>
                </c:pt>
                <c:pt idx="6" c:formatCode="0.00_ ">
                  <c:v>2</c:v>
                </c:pt>
              </c:numCache>
            </c:numRef>
          </c:val>
          <c:smooth val="1"/>
        </c:ser>
        <c:ser>
          <c:idx val="4"/>
          <c:order val="3"/>
          <c:tx>
            <c:strRef>
              <c:f>水质!$A$6</c:f>
              <c:strCache>
                <c:ptCount val="1"/>
                <c:pt idx="0">
                  <c:v>Ⅱ类标准（COD）</c:v>
                </c:pt>
              </c:strCache>
            </c:strRef>
          </c:tx>
          <c:spPr>
            <a:ln w="25400" cap="rnd" cmpd="sng" algn="ctr">
              <a:solidFill>
                <a:srgbClr val="1201ED"/>
              </a:solidFill>
              <a:prstDash val="solid"/>
              <a:round/>
            </a:ln>
          </c:spPr>
          <c:marker>
            <c:symbol val="none"/>
          </c:marke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水质!$B$6:$H$6</c:f>
              <c:numCache>
                <c:formatCode>0_);[Red]\(0\)</c:formatCode>
                <c:ptCount val="7"/>
                <c:pt idx="0">
                  <c:v>15</c:v>
                </c:pt>
                <c:pt idx="1">
                  <c:v>15</c:v>
                </c:pt>
                <c:pt idx="2">
                  <c:v>15</c:v>
                </c:pt>
                <c:pt idx="3">
                  <c:v>15</c:v>
                </c:pt>
                <c:pt idx="4">
                  <c:v>15</c:v>
                </c:pt>
                <c:pt idx="5">
                  <c:v>15</c:v>
                </c:pt>
                <c:pt idx="6">
                  <c:v>15</c:v>
                </c:pt>
              </c:numCache>
            </c:numRef>
          </c:val>
          <c:smooth val="0"/>
        </c:ser>
        <c:dLbls>
          <c:showLegendKey val="0"/>
          <c:showVal val="0"/>
          <c:showCatName val="0"/>
          <c:showSerName val="0"/>
          <c:showPercent val="0"/>
          <c:showBubbleSize val="0"/>
        </c:dLbls>
        <c:marker val="1"/>
        <c:smooth val="1"/>
        <c:axId val="894891904"/>
        <c:axId val="894889984"/>
      </c:lineChart>
      <c:catAx>
        <c:axId val="894235008"/>
        <c:scaling>
          <c:orientation val="minMax"/>
        </c:scaling>
        <c:delete val="0"/>
        <c:axPos val="b"/>
        <c:majorTickMark val="none"/>
        <c:minorTickMark val="cross"/>
        <c:tickLblPos val="nextTo"/>
        <c:spPr>
          <a:ln w="9525" cap="flat" cmpd="sng" algn="ctr">
            <a:solidFill>
              <a:schemeClr val="bg1">
                <a:lumMod val="85000"/>
              </a:schemeClr>
            </a:solidFill>
            <a:prstDash val="solid"/>
            <a:round/>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4236544"/>
        <c:crosses val="autoZero"/>
        <c:auto val="1"/>
        <c:lblAlgn val="ctr"/>
        <c:lblOffset val="100"/>
        <c:tickLblSkip val="1"/>
        <c:noMultiLvlLbl val="0"/>
      </c:catAx>
      <c:valAx>
        <c:axId val="894236544"/>
        <c:scaling>
          <c:orientation val="minMax"/>
          <c:max val="9.5"/>
          <c:min val="1"/>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b="0">
                    <a:latin typeface="Times New Roman" panose="02020603050405020304" charset="0"/>
                    <a:cs typeface="Times New Roman" panose="02020603050405020304" charset="0"/>
                  </a:rPr>
                  <a:t>DO(mg/L)</a:t>
                </a:r>
                <a:endParaRPr lang="zh-CN" altLang="en-US" b="0">
                  <a:latin typeface="Times New Roman" panose="02020603050405020304" charset="0"/>
                  <a:cs typeface="Times New Roman" panose="02020603050405020304" charset="0"/>
                </a:endParaRPr>
              </a:p>
            </c:rich>
          </c:tx>
          <c:layout>
            <c:manualLayout>
              <c:xMode val="edge"/>
              <c:yMode val="edge"/>
              <c:x val="0.00925208441792887"/>
              <c:y val="0.315415119742157"/>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4235008"/>
        <c:crosses val="autoZero"/>
        <c:crossBetween val="between"/>
      </c:valAx>
      <c:catAx>
        <c:axId val="894891904"/>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4889984"/>
        <c:crosses val="autoZero"/>
        <c:auto val="1"/>
        <c:lblAlgn val="ctr"/>
        <c:lblOffset val="100"/>
        <c:noMultiLvlLbl val="0"/>
      </c:catAx>
      <c:valAx>
        <c:axId val="894889984"/>
        <c:scaling>
          <c:orientation val="minMax"/>
          <c:max val="16"/>
          <c:min val="1"/>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b="0">
                    <a:latin typeface="Times New Roman" panose="02020603050405020304" charset="0"/>
                    <a:cs typeface="Times New Roman" panose="02020603050405020304" charset="0"/>
                  </a:rPr>
                  <a:t>COD(mg/L)</a:t>
                </a:r>
                <a:endParaRPr lang="zh-CN" altLang="en-US" b="0">
                  <a:latin typeface="Times New Roman" panose="02020603050405020304" charset="0"/>
                  <a:cs typeface="Times New Roman" panose="02020603050405020304" charset="0"/>
                </a:endParaRPr>
              </a:p>
            </c:rich>
          </c:tx>
          <c:layout/>
          <c:overlay val="0"/>
        </c:title>
        <c:numFmt formatCode="0_);[Red]\(0\)" sourceLinked="1"/>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4891904"/>
        <c:crosses val="max"/>
        <c:crossBetween val="between"/>
      </c:valAx>
    </c:plotArea>
    <c:legend>
      <c:legendPos val="b"/>
      <c:legendEntry>
        <c:idx val="0"/>
        <c:delete val="1"/>
      </c:legendEntry>
      <c:legendEntry>
        <c:idx val="1"/>
        <c:delete val="1"/>
      </c:legendEntry>
      <c:layout>
        <c:manualLayout>
          <c:xMode val="edge"/>
          <c:yMode val="edge"/>
          <c:x val="0"/>
          <c:y val="0.847622194078887"/>
          <c:w val="1"/>
          <c:h val="0.13165244204614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42867374738779"/>
          <c:y val="0.0210795153196524"/>
          <c:w val="0.809735674232431"/>
          <c:h val="0.671163469431186"/>
        </c:manualLayout>
      </c:layout>
      <c:areaChart>
        <c:grouping val="standard"/>
        <c:varyColors val="0"/>
        <c:ser>
          <c:idx val="4"/>
          <c:order val="4"/>
          <c:tx>
            <c:strRef>
              <c:f>水质!$A$13</c:f>
              <c:strCache>
                <c:ptCount val="1"/>
                <c:pt idx="0">
                  <c:v>Ⅱ类标准(高锰酸盐指数)</c:v>
                </c:pt>
              </c:strCache>
            </c:strRef>
          </c:tx>
          <c:spPr>
            <a:solidFill>
              <a:sysClr val="window" lastClr="FFFFFF">
                <a:lumMod val="95000"/>
              </a:sysClr>
            </a:solidFill>
            <a:ln>
              <a:noFill/>
            </a:ln>
          </c:spP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水质!$B$13:$H$13</c:f>
              <c:numCache>
                <c:formatCode>0.00_);[Red]\(0.00\)</c:formatCode>
                <c:ptCount val="7"/>
                <c:pt idx="0">
                  <c:v>4</c:v>
                </c:pt>
                <c:pt idx="1">
                  <c:v>4</c:v>
                </c:pt>
                <c:pt idx="2">
                  <c:v>4</c:v>
                </c:pt>
                <c:pt idx="3">
                  <c:v>4</c:v>
                </c:pt>
                <c:pt idx="4">
                  <c:v>4</c:v>
                </c:pt>
                <c:pt idx="5">
                  <c:v>4</c:v>
                </c:pt>
                <c:pt idx="6">
                  <c:v>4</c:v>
                </c:pt>
              </c:numCache>
            </c:numRef>
          </c:val>
        </c:ser>
        <c:dLbls>
          <c:showLegendKey val="0"/>
          <c:showVal val="0"/>
          <c:showCatName val="0"/>
          <c:showSerName val="0"/>
          <c:showPercent val="0"/>
          <c:showBubbleSize val="0"/>
        </c:dLbls>
        <c:axId val="895782272"/>
        <c:axId val="895788160"/>
      </c:areaChart>
      <c:areaChart>
        <c:grouping val="standard"/>
        <c:varyColors val="0"/>
        <c:ser>
          <c:idx val="5"/>
          <c:order val="5"/>
          <c:tx>
            <c:strRef>
              <c:f>水质!$A$14</c:f>
              <c:strCache>
                <c:ptCount val="1"/>
                <c:pt idx="0">
                  <c:v>Ⅱ类标准（BOD₅）</c:v>
                </c:pt>
              </c:strCache>
            </c:strRef>
          </c:tx>
          <c:spPr>
            <a:solidFill>
              <a:sysClr val="window" lastClr="FFFFFF">
                <a:lumMod val="95000"/>
                <a:alpha val="20000"/>
              </a:sysClr>
            </a:solidFill>
            <a:ln>
              <a:noFill/>
            </a:ln>
          </c:spP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水质!$B$14:$H$14</c:f>
              <c:numCache>
                <c:formatCode>0.0_ </c:formatCode>
                <c:ptCount val="7"/>
                <c:pt idx="0">
                  <c:v>3</c:v>
                </c:pt>
                <c:pt idx="1">
                  <c:v>3</c:v>
                </c:pt>
                <c:pt idx="2">
                  <c:v>3</c:v>
                </c:pt>
                <c:pt idx="3">
                  <c:v>3</c:v>
                </c:pt>
                <c:pt idx="4">
                  <c:v>3</c:v>
                </c:pt>
                <c:pt idx="5">
                  <c:v>3</c:v>
                </c:pt>
                <c:pt idx="6">
                  <c:v>3</c:v>
                </c:pt>
              </c:numCache>
            </c:numRef>
          </c:val>
        </c:ser>
        <c:dLbls>
          <c:showLegendKey val="0"/>
          <c:showVal val="0"/>
          <c:showCatName val="0"/>
          <c:showSerName val="0"/>
          <c:showPercent val="0"/>
          <c:showBubbleSize val="0"/>
        </c:dLbls>
        <c:axId val="895800448"/>
        <c:axId val="895790080"/>
      </c:areaChart>
      <c:lineChart>
        <c:grouping val="standard"/>
        <c:varyColors val="0"/>
        <c:ser>
          <c:idx val="0"/>
          <c:order val="0"/>
          <c:tx>
            <c:strRef>
              <c:f>水质!$A$9</c:f>
              <c:strCache>
                <c:ptCount val="1"/>
                <c:pt idx="0">
                  <c:v>高锰酸盐指数</c:v>
                </c:pt>
              </c:strCache>
            </c:strRef>
          </c:tx>
          <c:spPr>
            <a:ln w="25400" cap="rnd" cmpd="sng" algn="ctr">
              <a:solidFill>
                <a:srgbClr val="FF0000"/>
              </a:solidFill>
              <a:prstDash val="solid"/>
              <a:round/>
            </a:ln>
          </c:spPr>
          <c:marker>
            <c:symbol val="circle"/>
            <c:size val="6"/>
            <c:spPr>
              <a:solidFill>
                <a:schemeClr val="bg1"/>
              </a:solidFill>
              <a:ln w="9525" cap="flat" cmpd="sng" algn="ctr">
                <a:solidFill>
                  <a:srgbClr val="FF0000"/>
                </a:solidFill>
                <a:prstDash val="solid"/>
                <a:round/>
              </a:ln>
            </c:spPr>
          </c:marker>
          <c:dLbls>
            <c:dLbl>
              <c:idx val="0"/>
              <c:layout>
                <c:manualLayout>
                  <c:x val="-0.0194017768496912"/>
                  <c:y val="0.04145077720207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017768496912"/>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8690357995883"/>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0247887828873"/>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37132828162894"/>
                  <c:y val="-0.03454231433506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82053305490737"/>
                  <c:y val="-0.03454231433506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9525" cap="rnd" cmpd="sng" algn="ctr">
                <a:solidFill>
                  <a:srgbClr val="FF0000"/>
                </a:solidFill>
                <a:prstDash val="sysDash"/>
                <a:round/>
              </a:ln>
            </c:spPr>
            <c:trendlineType val="linear"/>
            <c:dispRSqr val="0"/>
            <c:dispEq val="0"/>
          </c:trendline>
          <c:cat>
            <c:strRef>
              <c:f>水质!$B$2:$H$2</c:f>
              <c:strCache>
                <c:ptCount val="7"/>
                <c:pt idx="0">
                  <c:v>2016年</c:v>
                </c:pt>
                <c:pt idx="1">
                  <c:v>2017年</c:v>
                </c:pt>
                <c:pt idx="2">
                  <c:v>2018年</c:v>
                </c:pt>
                <c:pt idx="3">
                  <c:v>2019年</c:v>
                </c:pt>
                <c:pt idx="4">
                  <c:v>2020年</c:v>
                </c:pt>
                <c:pt idx="5">
                  <c:v>2021年</c:v>
                </c:pt>
                <c:pt idx="6">
                  <c:v>2022年</c:v>
                </c:pt>
              </c:strCache>
            </c:strRef>
          </c:cat>
          <c:val>
            <c:numRef>
              <c:f>水质!$B$9:$H$9</c:f>
              <c:numCache>
                <c:formatCode>0.00_);[Red]\(0.00\)</c:formatCode>
                <c:ptCount val="7"/>
                <c:pt idx="0">
                  <c:v>1.90166666666667</c:v>
                </c:pt>
                <c:pt idx="1" c:formatCode="0.0_);[Red]\(0.0\)">
                  <c:v>2.23333333333333</c:v>
                </c:pt>
                <c:pt idx="2">
                  <c:v>2.10166666666667</c:v>
                </c:pt>
                <c:pt idx="3" c:formatCode="0.0_);[Red]\(0.0\)">
                  <c:v>1.53</c:v>
                </c:pt>
                <c:pt idx="4">
                  <c:v>1.795</c:v>
                </c:pt>
                <c:pt idx="5">
                  <c:v>2.36</c:v>
                </c:pt>
                <c:pt idx="6">
                  <c:v>1.28333333333333</c:v>
                </c:pt>
              </c:numCache>
            </c:numRef>
          </c:val>
          <c:smooth val="1"/>
        </c:ser>
        <c:ser>
          <c:idx val="1"/>
          <c:order val="1"/>
          <c:tx>
            <c:strRef>
              <c:f>水质!$A$10</c:f>
              <c:strCache>
                <c:ptCount val="1"/>
                <c:pt idx="0">
                  <c:v>Ⅱ类标准(高锰酸盐指数)</c:v>
                </c:pt>
              </c:strCache>
            </c:strRef>
          </c:tx>
          <c:spPr>
            <a:ln w="25400" cap="rnd" cmpd="sng" algn="ctr">
              <a:solidFill>
                <a:srgbClr val="FF0000"/>
              </a:solidFill>
              <a:prstDash val="solid"/>
              <a:round/>
            </a:ln>
          </c:spPr>
          <c:marker>
            <c:symbol val="none"/>
          </c:marke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水质!$B$10:$H$10</c:f>
              <c:numCache>
                <c:formatCode>0.00_);[Red]\(0.00\)</c:formatCode>
                <c:ptCount val="7"/>
                <c:pt idx="0">
                  <c:v>4</c:v>
                </c:pt>
                <c:pt idx="1">
                  <c:v>4</c:v>
                </c:pt>
                <c:pt idx="2">
                  <c:v>4</c:v>
                </c:pt>
                <c:pt idx="3">
                  <c:v>4</c:v>
                </c:pt>
                <c:pt idx="4">
                  <c:v>4</c:v>
                </c:pt>
                <c:pt idx="5">
                  <c:v>4</c:v>
                </c:pt>
                <c:pt idx="6">
                  <c:v>4</c:v>
                </c:pt>
              </c:numCache>
            </c:numRef>
          </c:val>
          <c:smooth val="0"/>
        </c:ser>
        <c:dLbls>
          <c:showLegendKey val="0"/>
          <c:showVal val="0"/>
          <c:showCatName val="0"/>
          <c:showSerName val="0"/>
          <c:showPercent val="0"/>
          <c:showBubbleSize val="0"/>
        </c:dLbls>
        <c:marker val="1"/>
        <c:smooth val="1"/>
        <c:axId val="895782272"/>
        <c:axId val="895788160"/>
      </c:lineChart>
      <c:lineChart>
        <c:grouping val="standard"/>
        <c:varyColors val="0"/>
        <c:ser>
          <c:idx val="2"/>
          <c:order val="2"/>
          <c:tx>
            <c:strRef>
              <c:f>水质!$A$11</c:f>
              <c:strCache>
                <c:ptCount val="1"/>
                <c:pt idx="0">
                  <c:v>BOD₅浓度</c:v>
                </c:pt>
              </c:strCache>
            </c:strRef>
          </c:tx>
          <c:spPr>
            <a:ln w="25400" cap="rnd" cmpd="sng" algn="ctr">
              <a:solidFill>
                <a:srgbClr val="1201ED"/>
              </a:solidFill>
              <a:prstDash val="solid"/>
              <a:round/>
            </a:ln>
          </c:spPr>
          <c:marker>
            <c:symbol val="circle"/>
            <c:size val="6"/>
            <c:spPr>
              <a:solidFill>
                <a:sysClr val="window" lastClr="FFFFFF"/>
              </a:solidFill>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9525" cap="rnd" cmpd="sng" algn="ctr">
                <a:solidFill>
                  <a:srgbClr val="1201ED"/>
                </a:solidFill>
                <a:prstDash val="sysDash"/>
                <a:round/>
              </a:ln>
            </c:spPr>
            <c:trendlineType val="linear"/>
            <c:dispRSqr val="0"/>
            <c:dispEq val="0"/>
          </c:trendline>
          <c:cat>
            <c:strRef>
              <c:f>水质!$B$2:$H$2</c:f>
              <c:strCache>
                <c:ptCount val="7"/>
                <c:pt idx="0">
                  <c:v>2016年</c:v>
                </c:pt>
                <c:pt idx="1">
                  <c:v>2017年</c:v>
                </c:pt>
                <c:pt idx="2">
                  <c:v>2018年</c:v>
                </c:pt>
                <c:pt idx="3">
                  <c:v>2019年</c:v>
                </c:pt>
                <c:pt idx="4">
                  <c:v>2020年</c:v>
                </c:pt>
                <c:pt idx="5">
                  <c:v>2021年</c:v>
                </c:pt>
                <c:pt idx="6">
                  <c:v>2022年</c:v>
                </c:pt>
              </c:strCache>
            </c:strRef>
          </c:cat>
          <c:val>
            <c:numRef>
              <c:f>水质!$B$11:$H$11</c:f>
              <c:numCache>
                <c:formatCode>0.0_ </c:formatCode>
                <c:ptCount val="7"/>
                <c:pt idx="0">
                  <c:v>2.06666666666667</c:v>
                </c:pt>
                <c:pt idx="1" c:formatCode="0_ ">
                  <c:v>1.962</c:v>
                </c:pt>
                <c:pt idx="2">
                  <c:v>1.65</c:v>
                </c:pt>
                <c:pt idx="3" c:formatCode="0.00_ ">
                  <c:v>1.43333333333333</c:v>
                </c:pt>
                <c:pt idx="4">
                  <c:v>1.5</c:v>
                </c:pt>
                <c:pt idx="5">
                  <c:v>2.1</c:v>
                </c:pt>
                <c:pt idx="6">
                  <c:v>1.03333333333333</c:v>
                </c:pt>
              </c:numCache>
            </c:numRef>
          </c:val>
          <c:smooth val="1"/>
        </c:ser>
        <c:ser>
          <c:idx val="3"/>
          <c:order val="3"/>
          <c:tx>
            <c:strRef>
              <c:f>水质!$A$12</c:f>
              <c:strCache>
                <c:ptCount val="1"/>
                <c:pt idx="0">
                  <c:v>Ⅱ类标准（BOD₅）</c:v>
                </c:pt>
              </c:strCache>
            </c:strRef>
          </c:tx>
          <c:spPr>
            <a:ln w="25400" cap="rnd" cmpd="sng" algn="ctr">
              <a:solidFill>
                <a:srgbClr val="1201ED"/>
              </a:solidFill>
              <a:prstDash val="solid"/>
              <a:round/>
            </a:ln>
          </c:spPr>
          <c:marker>
            <c:symbol val="none"/>
          </c:marker>
          <c:dLbls>
            <c:delete val="1"/>
          </c:dLbls>
          <c:cat>
            <c:strRef>
              <c:f>水质!$B$2:$H$2</c:f>
              <c:strCache>
                <c:ptCount val="7"/>
                <c:pt idx="0">
                  <c:v>2016年</c:v>
                </c:pt>
                <c:pt idx="1">
                  <c:v>2017年</c:v>
                </c:pt>
                <c:pt idx="2">
                  <c:v>2018年</c:v>
                </c:pt>
                <c:pt idx="3">
                  <c:v>2019年</c:v>
                </c:pt>
                <c:pt idx="4">
                  <c:v>2020年</c:v>
                </c:pt>
                <c:pt idx="5">
                  <c:v>2021年</c:v>
                </c:pt>
                <c:pt idx="6">
                  <c:v>2022年</c:v>
                </c:pt>
              </c:strCache>
            </c:strRef>
          </c:cat>
          <c:val>
            <c:numRef>
              <c:f>水质!$B$12:$H$12</c:f>
              <c:numCache>
                <c:formatCode>0.0_ </c:formatCode>
                <c:ptCount val="7"/>
                <c:pt idx="0">
                  <c:v>3</c:v>
                </c:pt>
                <c:pt idx="1">
                  <c:v>3</c:v>
                </c:pt>
                <c:pt idx="2">
                  <c:v>3</c:v>
                </c:pt>
                <c:pt idx="3">
                  <c:v>3</c:v>
                </c:pt>
                <c:pt idx="4">
                  <c:v>3</c:v>
                </c:pt>
                <c:pt idx="5">
                  <c:v>3</c:v>
                </c:pt>
                <c:pt idx="6">
                  <c:v>3</c:v>
                </c:pt>
              </c:numCache>
            </c:numRef>
          </c:val>
          <c:smooth val="0"/>
        </c:ser>
        <c:dLbls>
          <c:showLegendKey val="0"/>
          <c:showVal val="0"/>
          <c:showCatName val="0"/>
          <c:showSerName val="0"/>
          <c:showPercent val="0"/>
          <c:showBubbleSize val="0"/>
        </c:dLbls>
        <c:marker val="1"/>
        <c:smooth val="1"/>
        <c:axId val="895800448"/>
        <c:axId val="895790080"/>
      </c:lineChart>
      <c:catAx>
        <c:axId val="895782272"/>
        <c:scaling>
          <c:orientation val="minMax"/>
        </c:scaling>
        <c:delete val="0"/>
        <c:axPos val="b"/>
        <c:majorTickMark val="none"/>
        <c:minorTickMark val="cross"/>
        <c:tickLblPos val="nextTo"/>
        <c:spPr>
          <a:ln w="9525" cap="flat" cmpd="sng" algn="ctr">
            <a:solidFill>
              <a:schemeClr val="bg1">
                <a:lumMod val="85000"/>
              </a:schemeClr>
            </a:solidFill>
            <a:prstDash val="solid"/>
            <a:round/>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5788160"/>
        <c:crosses val="autoZero"/>
        <c:auto val="1"/>
        <c:lblAlgn val="ctr"/>
        <c:lblOffset val="100"/>
        <c:tickLblSkip val="1"/>
        <c:noMultiLvlLbl val="0"/>
      </c:catAx>
      <c:valAx>
        <c:axId val="895788160"/>
        <c:scaling>
          <c:orientation val="minMax"/>
          <c:max val="5"/>
          <c:min val="1"/>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zh-CN" altLang="en-US" b="0">
                    <a:latin typeface="Times New Roman" panose="02020603050405020304" charset="0"/>
                    <a:cs typeface="Times New Roman" panose="02020603050405020304" charset="0"/>
                  </a:rPr>
                  <a:t>高锰酸盐指数</a:t>
                </a:r>
                <a:r>
                  <a:rPr lang="en-US" altLang="zh-CN" b="0">
                    <a:latin typeface="Times New Roman" panose="02020603050405020304" charset="0"/>
                    <a:cs typeface="Times New Roman" panose="02020603050405020304" charset="0"/>
                  </a:rPr>
                  <a:t>(mg/L)</a:t>
                </a:r>
                <a:endParaRPr lang="zh-CN" altLang="en-US" b="0">
                  <a:latin typeface="Times New Roman" panose="02020603050405020304" charset="0"/>
                  <a:cs typeface="Times New Roman" panose="02020603050405020304" charset="0"/>
                </a:endParaRPr>
              </a:p>
            </c:rich>
          </c:tx>
          <c:layout>
            <c:manualLayout>
              <c:xMode val="edge"/>
              <c:yMode val="edge"/>
              <c:x val="0.00214728931530095"/>
              <c:y val="0.201850352302177"/>
            </c:manualLayout>
          </c:layout>
          <c:overlay val="0"/>
        </c:title>
        <c:numFmt formatCode="#,##0.0_);[Red]\(#,##0.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5782272"/>
        <c:crosses val="autoZero"/>
        <c:crossBetween val="between"/>
        <c:majorUnit val="0.5"/>
      </c:valAx>
      <c:catAx>
        <c:axId val="89580044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5790080"/>
        <c:crosses val="autoZero"/>
        <c:auto val="1"/>
        <c:lblAlgn val="ctr"/>
        <c:lblOffset val="100"/>
        <c:noMultiLvlLbl val="0"/>
      </c:catAx>
      <c:valAx>
        <c:axId val="895790080"/>
        <c:scaling>
          <c:orientation val="minMax"/>
          <c:max val="3.2"/>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b="0">
                    <a:latin typeface="Times New Roman" panose="02020603050405020304" charset="0"/>
                    <a:cs typeface="Times New Roman" panose="02020603050405020304" charset="0"/>
                  </a:rPr>
                  <a:t>BOD₅</a:t>
                </a:r>
                <a:r>
                  <a:rPr lang="zh-CN" altLang="en-US" b="0">
                    <a:latin typeface="Times New Roman" panose="02020603050405020304" charset="0"/>
                    <a:cs typeface="Times New Roman" panose="02020603050405020304" charset="0"/>
                  </a:rPr>
                  <a:t>（</a:t>
                </a:r>
                <a:r>
                  <a:rPr lang="en-US" altLang="zh-CN" b="0">
                    <a:latin typeface="Times New Roman" panose="02020603050405020304" charset="0"/>
                    <a:cs typeface="Times New Roman" panose="02020603050405020304" charset="0"/>
                  </a:rPr>
                  <a:t>mg/L</a:t>
                </a:r>
                <a:r>
                  <a:rPr lang="zh-CN" altLang="en-US" b="0">
                    <a:latin typeface="Times New Roman" panose="02020603050405020304" charset="0"/>
                    <a:cs typeface="Times New Roman" panose="02020603050405020304" charset="0"/>
                  </a:rPr>
                  <a:t>）</a:t>
                </a:r>
                <a:endParaRPr lang="zh-CN" altLang="en-US" b="0">
                  <a:latin typeface="Times New Roman" panose="02020603050405020304" charset="0"/>
                  <a:cs typeface="Times New Roman" panose="02020603050405020304" charset="0"/>
                </a:endParaRPr>
              </a:p>
            </c:rich>
          </c:tx>
          <c:layout>
            <c:manualLayout>
              <c:xMode val="edge"/>
              <c:yMode val="edge"/>
              <c:x val="0.961422543701025"/>
              <c:y val="0.205035064623231"/>
            </c:manualLayout>
          </c:layout>
          <c:overlay val="0"/>
        </c:title>
        <c:numFmt formatCode="0.0_ " sourceLinked="1"/>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5800448"/>
        <c:crosses val="max"/>
        <c:crossBetween val="between"/>
      </c:valAx>
    </c:plotArea>
    <c:legend>
      <c:legendPos val="b"/>
      <c:legendEntry>
        <c:idx val="0"/>
        <c:delete val="1"/>
      </c:legendEntry>
      <c:legendEntry>
        <c:idx val="1"/>
        <c:delete val="1"/>
      </c:legendEntry>
      <c:layout>
        <c:manualLayout>
          <c:xMode val="edge"/>
          <c:yMode val="edge"/>
          <c:x val="0"/>
          <c:y val="0.807827277404278"/>
          <c:w val="0.99982318798513"/>
          <c:h val="0.1725492234262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19613312233"/>
          <c:y val="0.0210795153196524"/>
          <c:w val="0.790624104068211"/>
          <c:h val="0.715090932782338"/>
        </c:manualLayout>
      </c:layout>
      <c:areaChart>
        <c:grouping val="standard"/>
        <c:varyColors val="0"/>
        <c:ser>
          <c:idx val="4"/>
          <c:order val="4"/>
          <c:tx>
            <c:strRef>
              <c:f>隆街大桥断面水质!$A$19</c:f>
              <c:strCache>
                <c:ptCount val="1"/>
                <c:pt idx="0">
                  <c:v>Ⅱ类标准（NH₃-N）</c:v>
                </c:pt>
              </c:strCache>
            </c:strRef>
          </c:tx>
          <c:spPr>
            <a:solidFill>
              <a:sysClr val="window" lastClr="FFFFFF">
                <a:lumMod val="85000"/>
              </a:sysClr>
            </a:solidFill>
            <a:ln>
              <a:noFill/>
            </a:ln>
          </c:spPr>
          <c:dLbls>
            <c:delete val="1"/>
          </c:dLbls>
          <c:cat>
            <c:strRef>
              <c:f>隆街大桥断面水质!$B$2:$H$2</c:f>
              <c:strCache>
                <c:ptCount val="7"/>
                <c:pt idx="0">
                  <c:v>2016年</c:v>
                </c:pt>
                <c:pt idx="1">
                  <c:v>2017年</c:v>
                </c:pt>
                <c:pt idx="2">
                  <c:v>2018年</c:v>
                </c:pt>
                <c:pt idx="3">
                  <c:v>2019年</c:v>
                </c:pt>
                <c:pt idx="4">
                  <c:v>2020年</c:v>
                </c:pt>
                <c:pt idx="5">
                  <c:v>2021年</c:v>
                </c:pt>
                <c:pt idx="6">
                  <c:v>2022年</c:v>
                </c:pt>
              </c:strCache>
            </c:strRef>
          </c:cat>
          <c:val>
            <c:numRef>
              <c:f>隆街大桥断面水质!$B$19:$H$19</c:f>
              <c:numCache>
                <c:formatCode>0.000</c:formatCode>
                <c:ptCount val="7"/>
                <c:pt idx="0">
                  <c:v>0.5</c:v>
                </c:pt>
                <c:pt idx="1">
                  <c:v>0.5</c:v>
                </c:pt>
                <c:pt idx="2">
                  <c:v>0.5</c:v>
                </c:pt>
                <c:pt idx="3">
                  <c:v>0.5</c:v>
                </c:pt>
                <c:pt idx="4">
                  <c:v>0.5</c:v>
                </c:pt>
                <c:pt idx="5">
                  <c:v>0.5</c:v>
                </c:pt>
                <c:pt idx="6">
                  <c:v>0.5</c:v>
                </c:pt>
              </c:numCache>
            </c:numRef>
          </c:val>
        </c:ser>
        <c:dLbls>
          <c:showLegendKey val="0"/>
          <c:showVal val="0"/>
          <c:showCatName val="0"/>
          <c:showSerName val="0"/>
          <c:showPercent val="0"/>
          <c:showBubbleSize val="0"/>
        </c:dLbls>
        <c:axId val="896377600"/>
        <c:axId val="896379136"/>
      </c:areaChart>
      <c:areaChart>
        <c:grouping val="standard"/>
        <c:varyColors val="0"/>
        <c:ser>
          <c:idx val="5"/>
          <c:order val="5"/>
          <c:tx>
            <c:strRef>
              <c:f>隆街大桥断面水质!$A$20</c:f>
              <c:strCache>
                <c:ptCount val="1"/>
                <c:pt idx="0">
                  <c:v>Ⅱ类标准(TP)</c:v>
                </c:pt>
              </c:strCache>
            </c:strRef>
          </c:tx>
          <c:spPr>
            <a:solidFill>
              <a:sysClr val="window" lastClr="FFFFFF">
                <a:lumMod val="95000"/>
                <a:alpha val="65000"/>
              </a:sysClr>
            </a:solidFill>
            <a:ln>
              <a:noFill/>
            </a:ln>
          </c:spPr>
          <c:dLbls>
            <c:delete val="1"/>
          </c:dLbls>
          <c:cat>
            <c:strRef>
              <c:f>隆街大桥断面水质!$B$2:$H$2</c:f>
              <c:strCache>
                <c:ptCount val="7"/>
                <c:pt idx="0">
                  <c:v>2016年</c:v>
                </c:pt>
                <c:pt idx="1">
                  <c:v>2017年</c:v>
                </c:pt>
                <c:pt idx="2">
                  <c:v>2018年</c:v>
                </c:pt>
                <c:pt idx="3">
                  <c:v>2019年</c:v>
                </c:pt>
                <c:pt idx="4">
                  <c:v>2020年</c:v>
                </c:pt>
                <c:pt idx="5">
                  <c:v>2021年</c:v>
                </c:pt>
                <c:pt idx="6">
                  <c:v>2022年</c:v>
                </c:pt>
              </c:strCache>
            </c:strRef>
          </c:cat>
          <c:val>
            <c:numRef>
              <c:f>隆街大桥断面水质!$B$20:$H$20</c:f>
              <c:numCache>
                <c:formatCode>0.00_ </c:formatCode>
                <c:ptCount val="7"/>
                <c:pt idx="0">
                  <c:v>0.1</c:v>
                </c:pt>
                <c:pt idx="1">
                  <c:v>0.1</c:v>
                </c:pt>
                <c:pt idx="2">
                  <c:v>0.1</c:v>
                </c:pt>
                <c:pt idx="3">
                  <c:v>0.1</c:v>
                </c:pt>
                <c:pt idx="4">
                  <c:v>0.1</c:v>
                </c:pt>
                <c:pt idx="5">
                  <c:v>0.1</c:v>
                </c:pt>
                <c:pt idx="6">
                  <c:v>0.1</c:v>
                </c:pt>
              </c:numCache>
            </c:numRef>
          </c:val>
        </c:ser>
        <c:dLbls>
          <c:showLegendKey val="0"/>
          <c:showVal val="0"/>
          <c:showCatName val="0"/>
          <c:showSerName val="0"/>
          <c:showPercent val="0"/>
          <c:showBubbleSize val="0"/>
        </c:dLbls>
        <c:axId val="896657664"/>
        <c:axId val="896655744"/>
      </c:areaChart>
      <c:lineChart>
        <c:grouping val="standard"/>
        <c:varyColors val="0"/>
        <c:ser>
          <c:idx val="0"/>
          <c:order val="0"/>
          <c:tx>
            <c:strRef>
              <c:f>隆街大桥断面水质!$A$15</c:f>
              <c:strCache>
                <c:ptCount val="1"/>
                <c:pt idx="0">
                  <c:v>NH₃-N浓度</c:v>
                </c:pt>
              </c:strCache>
            </c:strRef>
          </c:tx>
          <c:spPr>
            <a:ln w="25400" cap="rnd" cmpd="sng" algn="ctr">
              <a:solidFill>
                <a:srgbClr val="FF0000"/>
              </a:solidFill>
              <a:prstDash val="solid"/>
              <a:round/>
            </a:ln>
          </c:spPr>
          <c:marker>
            <c:symbol val="circle"/>
            <c:size val="6"/>
            <c:spPr>
              <a:solidFill>
                <a:schemeClr val="bg1"/>
              </a:solidFill>
              <a:ln w="9525" cap="flat" cmpd="sng" algn="ctr">
                <a:solidFill>
                  <a:srgbClr val="FF0000"/>
                </a:solidFill>
                <a:prstDash val="solid"/>
                <a:round/>
              </a:ln>
            </c:spPr>
          </c:marker>
          <c:dLbls>
            <c:dLbl>
              <c:idx val="0"/>
              <c:layout>
                <c:manualLayout>
                  <c:x val="-0.0194017768496912"/>
                  <c:y val="0.04145077720207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017768496912"/>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8690357995883"/>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0247887828873"/>
                  <c:y val="0.03108808290155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37132828162894"/>
                  <c:y val="-0.03454231433506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82053305490737"/>
                  <c:y val="-0.03454231433506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9525" cap="rnd" cmpd="sng" algn="ctr">
                <a:solidFill>
                  <a:srgbClr val="FF0000"/>
                </a:solidFill>
                <a:prstDash val="sysDash"/>
                <a:round/>
              </a:ln>
            </c:spPr>
            <c:trendlineType val="linear"/>
            <c:dispRSqr val="0"/>
            <c:dispEq val="0"/>
          </c:trendline>
          <c:cat>
            <c:strRef>
              <c:f>隆街大桥断面水质!$B$2:$H$2</c:f>
              <c:strCache>
                <c:ptCount val="7"/>
                <c:pt idx="0">
                  <c:v>2016年</c:v>
                </c:pt>
                <c:pt idx="1">
                  <c:v>2017年</c:v>
                </c:pt>
                <c:pt idx="2">
                  <c:v>2018年</c:v>
                </c:pt>
                <c:pt idx="3">
                  <c:v>2019年</c:v>
                </c:pt>
                <c:pt idx="4">
                  <c:v>2020年</c:v>
                </c:pt>
                <c:pt idx="5">
                  <c:v>2021年</c:v>
                </c:pt>
                <c:pt idx="6">
                  <c:v>2022年</c:v>
                </c:pt>
              </c:strCache>
            </c:strRef>
          </c:cat>
          <c:val>
            <c:numRef>
              <c:f>隆街大桥断面水质!$B$15:$H$15</c:f>
              <c:numCache>
                <c:formatCode>0.000</c:formatCode>
                <c:ptCount val="7"/>
                <c:pt idx="0">
                  <c:v>0.158833333333333</c:v>
                </c:pt>
                <c:pt idx="1">
                  <c:v>0.244166666666667</c:v>
                </c:pt>
                <c:pt idx="2">
                  <c:v>0.229666666666667</c:v>
                </c:pt>
                <c:pt idx="3">
                  <c:v>0.178666666666667</c:v>
                </c:pt>
                <c:pt idx="4">
                  <c:v>0.1915</c:v>
                </c:pt>
                <c:pt idx="5">
                  <c:v>0.252</c:v>
                </c:pt>
                <c:pt idx="6">
                  <c:v>0.193333333333333</c:v>
                </c:pt>
              </c:numCache>
            </c:numRef>
          </c:val>
          <c:smooth val="1"/>
        </c:ser>
        <c:ser>
          <c:idx val="1"/>
          <c:order val="1"/>
          <c:tx>
            <c:strRef>
              <c:f>隆街大桥断面水质!$A$16</c:f>
              <c:strCache>
                <c:ptCount val="1"/>
                <c:pt idx="0">
                  <c:v>Ⅱ类标准（NH₃-N）</c:v>
                </c:pt>
              </c:strCache>
            </c:strRef>
          </c:tx>
          <c:spPr>
            <a:ln w="25400" cap="rnd" cmpd="sng" algn="ctr">
              <a:solidFill>
                <a:srgbClr val="FF0000"/>
              </a:solidFill>
              <a:prstDash val="solid"/>
              <a:round/>
            </a:ln>
          </c:spPr>
          <c:marker>
            <c:symbol val="none"/>
          </c:marker>
          <c:dLbls>
            <c:delete val="1"/>
          </c:dLbls>
          <c:cat>
            <c:strRef>
              <c:f>隆街大桥断面水质!$B$2:$H$2</c:f>
              <c:strCache>
                <c:ptCount val="7"/>
                <c:pt idx="0">
                  <c:v>2016年</c:v>
                </c:pt>
                <c:pt idx="1">
                  <c:v>2017年</c:v>
                </c:pt>
                <c:pt idx="2">
                  <c:v>2018年</c:v>
                </c:pt>
                <c:pt idx="3">
                  <c:v>2019年</c:v>
                </c:pt>
                <c:pt idx="4">
                  <c:v>2020年</c:v>
                </c:pt>
                <c:pt idx="5">
                  <c:v>2021年</c:v>
                </c:pt>
                <c:pt idx="6">
                  <c:v>2022年</c:v>
                </c:pt>
              </c:strCache>
            </c:strRef>
          </c:cat>
          <c:val>
            <c:numRef>
              <c:f>隆街大桥断面水质!$B$16:$H$16</c:f>
              <c:numCache>
                <c:formatCode>0.000</c:formatCode>
                <c:ptCount val="7"/>
                <c:pt idx="0">
                  <c:v>0.5</c:v>
                </c:pt>
                <c:pt idx="1">
                  <c:v>0.5</c:v>
                </c:pt>
                <c:pt idx="2">
                  <c:v>0.5</c:v>
                </c:pt>
                <c:pt idx="3">
                  <c:v>0.5</c:v>
                </c:pt>
                <c:pt idx="4">
                  <c:v>0.5</c:v>
                </c:pt>
                <c:pt idx="5">
                  <c:v>0.5</c:v>
                </c:pt>
                <c:pt idx="6">
                  <c:v>0.5</c:v>
                </c:pt>
              </c:numCache>
            </c:numRef>
          </c:val>
          <c:smooth val="0"/>
        </c:ser>
        <c:ser>
          <c:idx val="6"/>
          <c:order val="6"/>
          <c:tx>
            <c:strRef>
              <c:f>隆街大桥断面水质!$A$21</c:f>
              <c:strCache>
                <c:ptCount val="1"/>
                <c:pt idx="0">
                  <c:v>总氮</c:v>
                </c:pt>
              </c:strCache>
            </c:strRef>
          </c:tx>
          <c:spPr>
            <a:ln w="25400" cap="rnd" cmpd="sng" algn="ctr">
              <a:solidFill>
                <a:srgbClr val="F79646">
                  <a:lumMod val="75000"/>
                </a:srgbClr>
              </a:solidFill>
              <a:prstDash val="solid"/>
              <a:round/>
            </a:ln>
          </c:spPr>
          <c:marker>
            <c:symbol val="diamond"/>
            <c:size val="6"/>
            <c:spPr>
              <a:solidFill>
                <a:sysClr val="window" lastClr="FFFFFF"/>
              </a:solidFill>
              <a:ln w="9525" cap="flat" cmpd="sng" algn="ctr">
                <a:solidFill>
                  <a:srgbClr val="F79646">
                    <a:lumMod val="75000"/>
                  </a:srgbClr>
                </a:solidFill>
                <a:prstDash val="solid"/>
                <a:round/>
              </a:ln>
            </c:spPr>
          </c:marker>
          <c:dLbls>
            <c:dLbl>
              <c:idx val="0"/>
              <c:layout>
                <c:manualLayout>
                  <c:x val="-0.0194017768496912"/>
                  <c:y val="-0.03141361256544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01805417661864"/>
                  <c:y val="-0.031413612565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46725894989708"/>
                  <c:y val="0.01745200698080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25168365156717"/>
                  <c:y val="-0.013961605584642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44920477327844"/>
                  <c:y val="0.03490401396160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58690357995883"/>
                  <c:y val="0.03839441535776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52708126492795"/>
                  <c:y val="-0.013961605584642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9525" cap="rnd" cmpd="sng" algn="ctr">
                <a:solidFill>
                  <a:srgbClr val="F79646">
                    <a:lumMod val="75000"/>
                  </a:srgbClr>
                </a:solidFill>
                <a:prstDash val="sysDash"/>
                <a:round/>
              </a:ln>
            </c:spPr>
            <c:trendlineType val="linear"/>
            <c:dispRSqr val="0"/>
            <c:dispEq val="0"/>
          </c:trendline>
          <c:cat>
            <c:strRef>
              <c:f>隆街大桥断面水质!$B$2:$H$2</c:f>
              <c:strCache>
                <c:ptCount val="7"/>
                <c:pt idx="0">
                  <c:v>2016年</c:v>
                </c:pt>
                <c:pt idx="1">
                  <c:v>2017年</c:v>
                </c:pt>
                <c:pt idx="2">
                  <c:v>2018年</c:v>
                </c:pt>
                <c:pt idx="3">
                  <c:v>2019年</c:v>
                </c:pt>
                <c:pt idx="4">
                  <c:v>2020年</c:v>
                </c:pt>
                <c:pt idx="5">
                  <c:v>2021年</c:v>
                </c:pt>
                <c:pt idx="6">
                  <c:v>2022年</c:v>
                </c:pt>
              </c:strCache>
            </c:strRef>
          </c:cat>
          <c:val>
            <c:numRef>
              <c:f>隆街大桥断面水质!$B$21:$H$21</c:f>
              <c:numCache>
                <c:formatCode>0.00_ </c:formatCode>
                <c:ptCount val="7"/>
                <c:pt idx="0">
                  <c:v>0.346666666666667</c:v>
                </c:pt>
                <c:pt idx="1">
                  <c:v>0.426666666666667</c:v>
                </c:pt>
                <c:pt idx="2">
                  <c:v>0.416666666666667</c:v>
                </c:pt>
                <c:pt idx="3">
                  <c:v>0.676666666666667</c:v>
                </c:pt>
                <c:pt idx="4">
                  <c:v>0.72</c:v>
                </c:pt>
                <c:pt idx="5">
                  <c:v>0.76</c:v>
                </c:pt>
                <c:pt idx="6">
                  <c:v>1</c:v>
                </c:pt>
              </c:numCache>
            </c:numRef>
          </c:val>
          <c:smooth val="1"/>
        </c:ser>
        <c:dLbls>
          <c:showLegendKey val="0"/>
          <c:showVal val="0"/>
          <c:showCatName val="0"/>
          <c:showSerName val="0"/>
          <c:showPercent val="0"/>
          <c:showBubbleSize val="0"/>
        </c:dLbls>
        <c:marker val="1"/>
        <c:smooth val="1"/>
        <c:axId val="896377600"/>
        <c:axId val="896379136"/>
      </c:lineChart>
      <c:lineChart>
        <c:grouping val="standard"/>
        <c:varyColors val="0"/>
        <c:ser>
          <c:idx val="2"/>
          <c:order val="2"/>
          <c:tx>
            <c:strRef>
              <c:f>隆街大桥断面水质!$A$17</c:f>
              <c:strCache>
                <c:ptCount val="1"/>
                <c:pt idx="0">
                  <c:v>TP浓度</c:v>
                </c:pt>
              </c:strCache>
            </c:strRef>
          </c:tx>
          <c:spPr>
            <a:ln w="25400" cap="rnd" cmpd="sng" algn="ctr">
              <a:solidFill>
                <a:srgbClr val="1201ED"/>
              </a:solidFill>
              <a:prstDash val="solid"/>
              <a:round/>
            </a:ln>
          </c:spPr>
          <c:marker>
            <c:symbol val="triangle"/>
            <c:size val="6"/>
            <c:spPr>
              <a:solidFill>
                <a:sysClr val="window" lastClr="FFFFFF"/>
              </a:solidFill>
              <a:ln w="9525" cap="flat" cmpd="sng" algn="ctr">
                <a:solidFill>
                  <a:srgbClr val="1201ED"/>
                </a:solidFill>
                <a:prstDash val="solid"/>
                <a:round/>
              </a:ln>
            </c:spPr>
          </c:marker>
          <c:dLbls>
            <c:dLbl>
              <c:idx val="1"/>
              <c:layout>
                <c:manualLayout>
                  <c:x val="-0.0301805417661864"/>
                  <c:y val="-0.031413612565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8690357995883"/>
                  <c:y val="-0.03141361256544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44920477327844"/>
                  <c:y val="-0.031413612565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88035536993825"/>
                  <c:y val="-0.03490401396160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50902708830932"/>
                  <c:y val="-0.02792321116928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646725894989708"/>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9525" cap="rnd" cmpd="sng" algn="ctr">
                <a:solidFill>
                  <a:srgbClr val="1201ED"/>
                </a:solidFill>
                <a:prstDash val="sysDash"/>
                <a:round/>
              </a:ln>
            </c:spPr>
            <c:trendlineType val="linear"/>
            <c:dispRSqr val="0"/>
            <c:dispEq val="0"/>
          </c:trendline>
          <c:cat>
            <c:strRef>
              <c:f>隆街大桥断面水质!$B$2:$H$2</c:f>
              <c:strCache>
                <c:ptCount val="7"/>
                <c:pt idx="0">
                  <c:v>2016年</c:v>
                </c:pt>
                <c:pt idx="1">
                  <c:v>2017年</c:v>
                </c:pt>
                <c:pt idx="2">
                  <c:v>2018年</c:v>
                </c:pt>
                <c:pt idx="3">
                  <c:v>2019年</c:v>
                </c:pt>
                <c:pt idx="4">
                  <c:v>2020年</c:v>
                </c:pt>
                <c:pt idx="5">
                  <c:v>2021年</c:v>
                </c:pt>
                <c:pt idx="6">
                  <c:v>2022年</c:v>
                </c:pt>
              </c:strCache>
            </c:strRef>
          </c:cat>
          <c:val>
            <c:numRef>
              <c:f>隆街大桥断面水质!$B$17:$H$17</c:f>
              <c:numCache>
                <c:formatCode>0.00_ </c:formatCode>
                <c:ptCount val="7"/>
                <c:pt idx="0">
                  <c:v>0.06</c:v>
                </c:pt>
                <c:pt idx="1">
                  <c:v>0.0783333333333334</c:v>
                </c:pt>
                <c:pt idx="2">
                  <c:v>0.0733333333333333</c:v>
                </c:pt>
                <c:pt idx="3">
                  <c:v>0.075</c:v>
                </c:pt>
                <c:pt idx="4">
                  <c:v>0.0733333333333333</c:v>
                </c:pt>
                <c:pt idx="5">
                  <c:v>0.09</c:v>
                </c:pt>
                <c:pt idx="6">
                  <c:v>0.06</c:v>
                </c:pt>
              </c:numCache>
            </c:numRef>
          </c:val>
          <c:smooth val="1"/>
        </c:ser>
        <c:ser>
          <c:idx val="3"/>
          <c:order val="3"/>
          <c:tx>
            <c:strRef>
              <c:f>隆街大桥断面水质!$A$18</c:f>
              <c:strCache>
                <c:ptCount val="1"/>
                <c:pt idx="0">
                  <c:v>Ⅱ类标准(TP)</c:v>
                </c:pt>
              </c:strCache>
            </c:strRef>
          </c:tx>
          <c:spPr>
            <a:ln w="25400" cap="rnd" cmpd="sng" algn="ctr">
              <a:solidFill>
                <a:srgbClr val="1201ED"/>
              </a:solidFill>
              <a:prstDash val="solid"/>
              <a:round/>
            </a:ln>
          </c:spPr>
          <c:marker>
            <c:symbol val="none"/>
          </c:marker>
          <c:dLbls>
            <c:delete val="1"/>
          </c:dLbls>
          <c:cat>
            <c:strRef>
              <c:f>隆街大桥断面水质!$B$2:$H$2</c:f>
              <c:strCache>
                <c:ptCount val="7"/>
                <c:pt idx="0">
                  <c:v>2016年</c:v>
                </c:pt>
                <c:pt idx="1">
                  <c:v>2017年</c:v>
                </c:pt>
                <c:pt idx="2">
                  <c:v>2018年</c:v>
                </c:pt>
                <c:pt idx="3">
                  <c:v>2019年</c:v>
                </c:pt>
                <c:pt idx="4">
                  <c:v>2020年</c:v>
                </c:pt>
                <c:pt idx="5">
                  <c:v>2021年</c:v>
                </c:pt>
                <c:pt idx="6">
                  <c:v>2022年</c:v>
                </c:pt>
              </c:strCache>
            </c:strRef>
          </c:cat>
          <c:val>
            <c:numRef>
              <c:f>隆街大桥断面水质!$B$18:$H$18</c:f>
              <c:numCache>
                <c:formatCode>0.00_ </c:formatCode>
                <c:ptCount val="7"/>
                <c:pt idx="0">
                  <c:v>0.1</c:v>
                </c:pt>
                <c:pt idx="1">
                  <c:v>0.1</c:v>
                </c:pt>
                <c:pt idx="2">
                  <c:v>0.1</c:v>
                </c:pt>
                <c:pt idx="3">
                  <c:v>0.1</c:v>
                </c:pt>
                <c:pt idx="4">
                  <c:v>0.1</c:v>
                </c:pt>
                <c:pt idx="5">
                  <c:v>0.1</c:v>
                </c:pt>
                <c:pt idx="6">
                  <c:v>0.1</c:v>
                </c:pt>
              </c:numCache>
            </c:numRef>
          </c:val>
          <c:smooth val="0"/>
        </c:ser>
        <c:dLbls>
          <c:showLegendKey val="0"/>
          <c:showVal val="0"/>
          <c:showCatName val="0"/>
          <c:showSerName val="0"/>
          <c:showPercent val="0"/>
          <c:showBubbleSize val="0"/>
        </c:dLbls>
        <c:marker val="1"/>
        <c:smooth val="1"/>
        <c:axId val="896657664"/>
        <c:axId val="896655744"/>
      </c:lineChart>
      <c:catAx>
        <c:axId val="896377600"/>
        <c:scaling>
          <c:orientation val="minMax"/>
        </c:scaling>
        <c:delete val="0"/>
        <c:axPos val="b"/>
        <c:majorTickMark val="none"/>
        <c:minorTickMark val="cross"/>
        <c:tickLblPos val="nextTo"/>
        <c:spPr>
          <a:ln w="9525" cap="flat" cmpd="sng" algn="ctr">
            <a:solidFill>
              <a:schemeClr val="bg1">
                <a:lumMod val="85000"/>
              </a:schemeClr>
            </a:solidFill>
            <a:prstDash val="solid"/>
            <a:round/>
          </a:ln>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6379136"/>
        <c:crosses val="autoZero"/>
        <c:auto val="1"/>
        <c:lblAlgn val="ctr"/>
        <c:lblOffset val="100"/>
        <c:tickLblSkip val="1"/>
        <c:noMultiLvlLbl val="0"/>
      </c:catAx>
      <c:valAx>
        <c:axId val="896379136"/>
        <c:scaling>
          <c:orientation val="minMax"/>
          <c:max val="1.2"/>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b="0">
                    <a:latin typeface="Times New Roman" panose="02020603050405020304" charset="0"/>
                    <a:cs typeface="Times New Roman" panose="02020603050405020304" charset="0"/>
                  </a:rPr>
                  <a:t>NH₃-N</a:t>
                </a:r>
                <a:r>
                  <a:rPr lang="zh-CN" altLang="en-US" b="0">
                    <a:latin typeface="Times New Roman" panose="02020603050405020304" charset="0"/>
                    <a:cs typeface="Times New Roman" panose="02020603050405020304" charset="0"/>
                  </a:rPr>
                  <a:t>、</a:t>
                </a:r>
                <a:r>
                  <a:rPr lang="en-US" altLang="zh-CN" b="0">
                    <a:latin typeface="Times New Roman" panose="02020603050405020304" charset="0"/>
                    <a:cs typeface="Times New Roman" panose="02020603050405020304" charset="0"/>
                  </a:rPr>
                  <a:t>TN</a:t>
                </a:r>
                <a:r>
                  <a:rPr lang="zh-CN" altLang="en-US" b="0">
                    <a:latin typeface="Times New Roman" panose="02020603050405020304" charset="0"/>
                    <a:cs typeface="Times New Roman" panose="02020603050405020304" charset="0"/>
                  </a:rPr>
                  <a:t>浓度</a:t>
                </a:r>
                <a:r>
                  <a:rPr lang="en-US" altLang="zh-CN" b="0">
                    <a:latin typeface="Times New Roman" panose="02020603050405020304" charset="0"/>
                    <a:cs typeface="Times New Roman" panose="02020603050405020304" charset="0"/>
                  </a:rPr>
                  <a:t>(mg/L)</a:t>
                </a:r>
                <a:endParaRPr lang="zh-CN" altLang="en-US" b="0">
                  <a:latin typeface="Times New Roman" panose="02020603050405020304" charset="0"/>
                  <a:cs typeface="Times New Roman" panose="02020603050405020304" charset="0"/>
                </a:endParaRPr>
              </a:p>
            </c:rich>
          </c:tx>
          <c:layout>
            <c:manualLayout>
              <c:xMode val="edge"/>
              <c:yMode val="edge"/>
              <c:x val="0.00201886156635484"/>
              <c:y val="0.235036950168463"/>
            </c:manualLayout>
          </c:layout>
          <c:overlay val="0"/>
        </c:title>
        <c:numFmt formatCode="#,##0.0_);[Red]\(#,##0.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6377600"/>
        <c:crosses val="autoZero"/>
        <c:crossBetween val="between"/>
        <c:majorUnit val="0.2"/>
      </c:valAx>
      <c:catAx>
        <c:axId val="896657664"/>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6655744"/>
        <c:crosses val="autoZero"/>
        <c:auto val="1"/>
        <c:lblAlgn val="ctr"/>
        <c:lblOffset val="100"/>
        <c:noMultiLvlLbl val="0"/>
      </c:catAx>
      <c:valAx>
        <c:axId val="896655744"/>
        <c:scaling>
          <c:orientation val="minMax"/>
          <c:max val="0.11"/>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b="0">
                    <a:latin typeface="Times New Roman" panose="02020603050405020304" charset="0"/>
                    <a:cs typeface="Times New Roman" panose="02020603050405020304" charset="0"/>
                  </a:rPr>
                  <a:t>TP</a:t>
                </a:r>
                <a:r>
                  <a:rPr lang="zh-CN" altLang="en-US" b="0">
                    <a:latin typeface="Times New Roman" panose="02020603050405020304" charset="0"/>
                    <a:cs typeface="Times New Roman" panose="02020603050405020304" charset="0"/>
                  </a:rPr>
                  <a:t>浓度（</a:t>
                </a:r>
                <a:r>
                  <a:rPr lang="en-US" altLang="zh-CN" b="0">
                    <a:latin typeface="Times New Roman" panose="02020603050405020304" charset="0"/>
                    <a:cs typeface="Times New Roman" panose="02020603050405020304" charset="0"/>
                  </a:rPr>
                  <a:t>mg/L</a:t>
                </a:r>
                <a:r>
                  <a:rPr lang="zh-CN" altLang="en-US" b="0">
                    <a:latin typeface="Times New Roman" panose="02020603050405020304" charset="0"/>
                    <a:cs typeface="Times New Roman" panose="02020603050405020304" charset="0"/>
                  </a:rPr>
                  <a:t>）</a:t>
                </a:r>
                <a:endParaRPr lang="zh-CN" altLang="en-US" b="0">
                  <a:latin typeface="Times New Roman" panose="02020603050405020304" charset="0"/>
                  <a:cs typeface="Times New Roman" panose="02020603050405020304" charset="0"/>
                </a:endParaRPr>
              </a:p>
            </c:rich>
          </c:tx>
          <c:layout>
            <c:manualLayout>
              <c:xMode val="edge"/>
              <c:yMode val="edge"/>
              <c:x val="0.961422543701025"/>
              <c:y val="0.204838703672679"/>
            </c:manualLayout>
          </c:layout>
          <c:overlay val="0"/>
        </c:title>
        <c:numFmt formatCode="0.00_ " sourceLinked="1"/>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6657664"/>
        <c:crosses val="max"/>
        <c:crossBetween val="between"/>
        <c:majorUnit val="0.02"/>
      </c:valAx>
    </c:plotArea>
    <c:legend>
      <c:legendPos val="b"/>
      <c:legendEntry>
        <c:idx val="0"/>
        <c:delete val="1"/>
      </c:legendEntry>
      <c:legendEntry>
        <c:idx val="1"/>
        <c:delete val="1"/>
      </c:legendEntry>
      <c:layout>
        <c:manualLayout>
          <c:xMode val="edge"/>
          <c:yMode val="edge"/>
          <c:x val="0.014694558192875"/>
          <c:y val="0.859350015802998"/>
          <c:w val="0.983519338563692"/>
          <c:h val="0.14064998419700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382029777923"/>
          <c:y val="0.0237492313460817"/>
          <c:w val="0.873669712500249"/>
          <c:h val="0.715246194225722"/>
        </c:manualLayout>
      </c:layout>
      <c:lineChart>
        <c:grouping val="standard"/>
        <c:varyColors val="0"/>
        <c:ser>
          <c:idx val="0"/>
          <c:order val="0"/>
          <c:tx>
            <c:strRef>
              <c:f>合水桥、连中桥、黄潭寺、大席水总磷浓度变化!$A$3</c:f>
              <c:strCache>
                <c:ptCount val="1"/>
                <c:pt idx="0">
                  <c:v>合水桥</c:v>
                </c:pt>
              </c:strCache>
            </c:strRef>
          </c:tx>
          <c:spPr>
            <a:ln w="25400" cap="rnd" cmpd="sng" algn="ctr">
              <a:solidFill>
                <a:srgbClr val="FFC000"/>
              </a:solidFill>
              <a:prstDash val="solid"/>
              <a:round/>
            </a:ln>
          </c:spPr>
          <c:marker>
            <c:symbol val="diamond"/>
            <c:size val="6"/>
            <c:spPr>
              <a:solidFill>
                <a:schemeClr val="bg1"/>
              </a:solidFill>
              <a:ln w="9525" cap="flat" cmpd="sng" algn="ctr">
                <a:solidFill>
                  <a:srgbClr val="FFC000"/>
                </a:solidFill>
                <a:prstDash val="solid"/>
                <a:round/>
              </a:ln>
            </c:spPr>
          </c:marker>
          <c:dLbls>
            <c:dLbl>
              <c:idx val="0"/>
              <c:layout>
                <c:manualLayout>
                  <c:x val="-0.0361663652802893"/>
                  <c:y val="-0.0342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65220012055455"/>
                  <c:y val="-0.03047619047619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455093429777"/>
                  <c:y val="0.026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37552742616034"/>
                  <c:y val="0.03047619047619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13441832429174"/>
                  <c:y val="-0.03809523809523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16998191681736"/>
                  <c:y val="0.03047619047619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FFC000"/>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chemeClr val="accent6"/>
                </a:solidFill>
                <a:prstDash val="lgDash"/>
                <a:round/>
              </a:ln>
            </c:spPr>
            <c:trendlineType val="linear"/>
            <c:dispRSqr val="0"/>
            <c:dispEq val="0"/>
          </c:trendline>
          <c:cat>
            <c:strRef>
              <c:f>合水桥、连中桥、黄潭寺、大席水总磷浓度变化!$B$2:$H$2</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合水桥、连中桥、黄潭寺、大席水总磷浓度变化!$B$3:$H$3</c:f>
              <c:numCache>
                <c:formatCode>0.00_ </c:formatCode>
                <c:ptCount val="7"/>
                <c:pt idx="0">
                  <c:v>0.0690909090909091</c:v>
                </c:pt>
                <c:pt idx="1">
                  <c:v>0.0708333333333333</c:v>
                </c:pt>
                <c:pt idx="2">
                  <c:v>0.0818181818181818</c:v>
                </c:pt>
                <c:pt idx="3">
                  <c:v>0.0758333333333333</c:v>
                </c:pt>
                <c:pt idx="4">
                  <c:v>0.075</c:v>
                </c:pt>
                <c:pt idx="5">
                  <c:v>0.085</c:v>
                </c:pt>
                <c:pt idx="6">
                  <c:v>0.0841666666666667</c:v>
                </c:pt>
              </c:numCache>
            </c:numRef>
          </c:val>
          <c:smooth val="1"/>
        </c:ser>
        <c:ser>
          <c:idx val="1"/>
          <c:order val="1"/>
          <c:tx>
            <c:strRef>
              <c:f>合水桥、连中桥、黄潭寺、大席水总磷浓度变化!$A$4</c:f>
              <c:strCache>
                <c:ptCount val="1"/>
                <c:pt idx="0">
                  <c:v>连中桥</c:v>
                </c:pt>
              </c:strCache>
            </c:strRef>
          </c:tx>
          <c:spPr>
            <a:ln w="25400" cap="rnd" cmpd="sng" algn="ctr">
              <a:solidFill>
                <a:srgbClr val="006600"/>
              </a:solidFill>
              <a:prstDash val="solid"/>
              <a:round/>
            </a:ln>
          </c:spPr>
          <c:marker>
            <c:symbol val="square"/>
            <c:size val="6"/>
            <c:spPr>
              <a:solidFill>
                <a:schemeClr val="bg1"/>
              </a:solidFill>
              <a:ln w="9525" cap="flat" cmpd="sng" algn="ctr">
                <a:solidFill>
                  <a:srgbClr val="006600"/>
                </a:solidFill>
                <a:prstDash val="solid"/>
                <a:round/>
              </a:ln>
            </c:spPr>
          </c:marker>
          <c:dLbls>
            <c:dLbl>
              <c:idx val="0"/>
              <c:layout>
                <c:manualLayout>
                  <c:x val="-0.0216998191681736"/>
                  <c:y val="0.03809523809523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5220012055456"/>
                  <c:y val="0.04190476190476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65220012055455"/>
                  <c:y val="-0.03809523809523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16998191681736"/>
                  <c:y val="-0.03809523809523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41109101868596"/>
                  <c:y val="0.01142857142857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44665461121157"/>
                  <c:y val="-0.03047619047619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723327305605787"/>
                  <c:y val="-0.03809523809523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92D050"/>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rgbClr val="006600"/>
                </a:solidFill>
                <a:prstDash val="lgDash"/>
                <a:round/>
                <a:tailEnd type="none"/>
              </a:ln>
            </c:spPr>
            <c:trendlineType val="linear"/>
            <c:dispRSqr val="0"/>
            <c:dispEq val="0"/>
          </c:trendline>
          <c:cat>
            <c:strRef>
              <c:f>合水桥、连中桥、黄潭寺、大席水总磷浓度变化!$B$2:$H$2</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合水桥、连中桥、黄潭寺、大席水总磷浓度变化!$B$4:$H$4</c:f>
              <c:numCache>
                <c:formatCode>0.00_ </c:formatCode>
                <c:ptCount val="7"/>
                <c:pt idx="0">
                  <c:v>0.04</c:v>
                </c:pt>
                <c:pt idx="1">
                  <c:v>0.0466666666666667</c:v>
                </c:pt>
                <c:pt idx="2">
                  <c:v>0.065</c:v>
                </c:pt>
                <c:pt idx="3">
                  <c:v>0.06</c:v>
                </c:pt>
                <c:pt idx="4">
                  <c:v>0.0566666666666667</c:v>
                </c:pt>
                <c:pt idx="5">
                  <c:v>0.07</c:v>
                </c:pt>
                <c:pt idx="6">
                  <c:v>0.0566666666666667</c:v>
                </c:pt>
              </c:numCache>
            </c:numRef>
          </c:val>
          <c:smooth val="1"/>
        </c:ser>
        <c:ser>
          <c:idx val="2"/>
          <c:order val="2"/>
          <c:tx>
            <c:strRef>
              <c:f>合水桥、连中桥、黄潭寺、大席水总磷浓度变化!$A$5</c:f>
              <c:strCache>
                <c:ptCount val="1"/>
                <c:pt idx="0">
                  <c:v>黄潭寺</c:v>
                </c:pt>
              </c:strCache>
            </c:strRef>
          </c:tx>
          <c:spPr>
            <a:ln w="25400" cap="rnd" cmpd="sng" algn="ctr">
              <a:solidFill>
                <a:schemeClr val="tx1"/>
              </a:solidFill>
              <a:prstDash val="solid"/>
              <a:round/>
            </a:ln>
          </c:spPr>
          <c:marker>
            <c:symbol val="circle"/>
            <c:size val="5"/>
            <c:spPr>
              <a:solidFill>
                <a:schemeClr val="bg1"/>
              </a:solidFill>
              <a:ln w="9525" cap="flat" cmpd="sng" algn="ctr">
                <a:solidFill>
                  <a:schemeClr val="tx1"/>
                </a:solidFill>
                <a:prstDash val="solid"/>
                <a:round/>
              </a:ln>
            </c:spPr>
          </c:marker>
          <c:dLbls>
            <c:dLbl>
              <c:idx val="0"/>
              <c:layout>
                <c:manualLayout>
                  <c:x val="-0.0675105485232067"/>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93550332"/>
                  <c:y val="-0.0342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44665461121157"/>
                  <c:y val="-0.02285714285714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92887281494876"/>
                  <c:y val="-0.0342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9330922242315"/>
                  <c:y val="-0.03047619047619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02772754671489"/>
                  <c:y val="0.0190476190476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16998191681736"/>
                  <c:y val="-0.02285714285714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chemeClr val="tx1"/>
                </a:solidFill>
                <a:prstDash val="lgDash"/>
                <a:round/>
              </a:ln>
            </c:spPr>
            <c:trendlineType val="linear"/>
            <c:dispRSqr val="0"/>
            <c:dispEq val="0"/>
          </c:trendline>
          <c:cat>
            <c:strRef>
              <c:f>合水桥、连中桥、黄潭寺、大席水总磷浓度变化!$B$2:$H$2</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合水桥、连中桥、黄潭寺、大席水总磷浓度变化!$B$5:$H$5</c:f>
              <c:numCache>
                <c:formatCode>0.00_ </c:formatCode>
                <c:ptCount val="7"/>
                <c:pt idx="0">
                  <c:v>0.0633333333333333</c:v>
                </c:pt>
                <c:pt idx="1">
                  <c:v>0.06</c:v>
                </c:pt>
                <c:pt idx="2">
                  <c:v>0.101666666666667</c:v>
                </c:pt>
                <c:pt idx="3">
                  <c:v>0.0783333333333333</c:v>
                </c:pt>
                <c:pt idx="4">
                  <c:v>0.0783333333333333</c:v>
                </c:pt>
                <c:pt idx="5">
                  <c:v>0.08</c:v>
                </c:pt>
                <c:pt idx="6">
                  <c:v>0.0866666666666667</c:v>
                </c:pt>
              </c:numCache>
            </c:numRef>
          </c:val>
          <c:smooth val="1"/>
        </c:ser>
        <c:ser>
          <c:idx val="3"/>
          <c:order val="3"/>
          <c:tx>
            <c:strRef>
              <c:f>合水桥、连中桥、黄潭寺、大席水总磷浓度变化!$A$6</c:f>
              <c:strCache>
                <c:ptCount val="1"/>
                <c:pt idx="0">
                  <c:v>大席水</c:v>
                </c:pt>
              </c:strCache>
            </c:strRef>
          </c:tx>
          <c:spPr>
            <a:ln w="25400" cap="rnd" cmpd="sng" algn="ctr">
              <a:solidFill>
                <a:srgbClr val="1201ED"/>
              </a:solidFill>
              <a:prstDash val="solid"/>
              <a:round/>
            </a:ln>
          </c:spPr>
          <c:marker>
            <c:symbol val="triangle"/>
            <c:size val="7"/>
            <c:spPr>
              <a:solidFill>
                <a:schemeClr val="bg1"/>
              </a:solidFill>
              <a:ln w="9525" cap="flat" cmpd="sng" algn="ctr">
                <a:solidFill>
                  <a:srgbClr val="1201ED"/>
                </a:solidFill>
                <a:prstDash val="solid"/>
                <a:round/>
              </a:ln>
            </c:spPr>
          </c:marker>
          <c:dLbls>
            <c:dLbl>
              <c:idx val="0"/>
              <c:layout>
                <c:manualLayout>
                  <c:x val="-0.0723327305605787"/>
                  <c:y val="-0.003809523809523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82218203737195"/>
                  <c:y val="-0.003809523809523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23327305605787"/>
                  <c:y val="0.007619047619047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82218203737191"/>
                  <c:y val="0.02285714285714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65220012055455"/>
                  <c:y val="-0.03428571428571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61663652802893"/>
                  <c:y val="-0.03047619047619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06329113924051"/>
                  <c:y val="0.045714285714285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99"/>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rgbClr val="1201ED"/>
                </a:solidFill>
                <a:prstDash val="lgDash"/>
                <a:round/>
              </a:ln>
            </c:spPr>
            <c:trendlineType val="linear"/>
            <c:dispRSqr val="0"/>
            <c:dispEq val="0"/>
          </c:trendline>
          <c:cat>
            <c:strRef>
              <c:f>合水桥、连中桥、黄潭寺、大席水总磷浓度变化!$B$2:$H$2</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合水桥、连中桥、黄潭寺、大席水总磷浓度变化!$B$6:$H$6</c:f>
              <c:numCache>
                <c:formatCode>0.00_ </c:formatCode>
                <c:ptCount val="7"/>
                <c:pt idx="0">
                  <c:v>0.0424</c:v>
                </c:pt>
                <c:pt idx="1">
                  <c:v>0.06</c:v>
                </c:pt>
                <c:pt idx="2">
                  <c:v>0.03</c:v>
                </c:pt>
                <c:pt idx="3">
                  <c:v>0.03</c:v>
                </c:pt>
                <c:pt idx="4">
                  <c:v>0.0433333333333333</c:v>
                </c:pt>
                <c:pt idx="5" c:formatCode="General">
                  <c:v>0.04</c:v>
                </c:pt>
                <c:pt idx="6" c:formatCode="General">
                  <c:v>0.035</c:v>
                </c:pt>
              </c:numCache>
            </c:numRef>
          </c:val>
          <c:smooth val="1"/>
        </c:ser>
        <c:ser>
          <c:idx val="4"/>
          <c:order val="4"/>
          <c:tx>
            <c:strRef>
              <c:f>合水桥、连中桥、黄潭寺、大席水总磷浓度变化!$A$7</c:f>
              <c:strCache>
                <c:ptCount val="1"/>
                <c:pt idx="0">
                  <c:v>Ⅱ类标准(TP)</c:v>
                </c:pt>
              </c:strCache>
            </c:strRef>
          </c:tx>
          <c:spPr>
            <a:ln w="25400" cap="rnd" cmpd="sng" algn="ctr">
              <a:solidFill>
                <a:srgbClr val="FF0000"/>
              </a:solidFill>
              <a:prstDash val="solid"/>
              <a:round/>
            </a:ln>
          </c:spPr>
          <c:marker>
            <c:symbol val="none"/>
          </c:marker>
          <c:dLbls>
            <c:delete val="1"/>
          </c:dLbls>
          <c:cat>
            <c:strRef>
              <c:f>合水桥、连中桥、黄潭寺、大席水总磷浓度变化!$B$2:$H$2</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合水桥、连中桥、黄潭寺、大席水总磷浓度变化!$B$7:$H$7</c:f>
              <c:numCache>
                <c:formatCode>0.00_ </c:formatCode>
                <c:ptCount val="7"/>
                <c:pt idx="0">
                  <c:v>0.1</c:v>
                </c:pt>
                <c:pt idx="1">
                  <c:v>0.1</c:v>
                </c:pt>
                <c:pt idx="2">
                  <c:v>0.1</c:v>
                </c:pt>
                <c:pt idx="3">
                  <c:v>0.1</c:v>
                </c:pt>
                <c:pt idx="4">
                  <c:v>0.1</c:v>
                </c:pt>
                <c:pt idx="5">
                  <c:v>0.1</c:v>
                </c:pt>
                <c:pt idx="6">
                  <c:v>0.1</c:v>
                </c:pt>
              </c:numCache>
            </c:numRef>
          </c:val>
          <c:smooth val="0"/>
        </c:ser>
        <c:dLbls>
          <c:showLegendKey val="0"/>
          <c:showVal val="0"/>
          <c:showCatName val="0"/>
          <c:showSerName val="0"/>
          <c:showPercent val="0"/>
          <c:showBubbleSize val="0"/>
        </c:dLbls>
        <c:marker val="1"/>
        <c:smooth val="1"/>
        <c:axId val="897117568"/>
        <c:axId val="897987712"/>
      </c:lineChart>
      <c:catAx>
        <c:axId val="897117568"/>
        <c:scaling>
          <c:orientation val="minMax"/>
        </c:scaling>
        <c:delete val="0"/>
        <c:axPos val="b"/>
        <c:minorGridlines>
          <c:spPr>
            <a:ln w="9525" cap="flat" cmpd="sng" algn="ctr">
              <a:solidFill>
                <a:schemeClr val="bg1">
                  <a:lumMod val="85000"/>
                </a:schemeClr>
              </a:solidFill>
              <a:prstDash val="solid"/>
              <a:round/>
            </a:ln>
          </c:spPr>
        </c:minorGridlines>
        <c:majorTickMark val="none"/>
        <c:minorTickMark val="out"/>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7987712"/>
        <c:crosses val="autoZero"/>
        <c:auto val="1"/>
        <c:lblAlgn val="ctr"/>
        <c:lblOffset val="100"/>
        <c:noMultiLvlLbl val="0"/>
      </c:catAx>
      <c:valAx>
        <c:axId val="897987712"/>
        <c:scaling>
          <c:orientation val="minMax"/>
          <c:max val="0.11"/>
          <c:min val="0.02"/>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cs typeface="Times New Roman" panose="02020603050405020304" charset="0"/>
                  </a:rPr>
                  <a:t>单位：</a:t>
                </a:r>
                <a:r>
                  <a:rPr lang="en-US" altLang="zh-CN" b="0">
                    <a:latin typeface="Times New Roman" panose="02020603050405020304" charset="0"/>
                    <a:cs typeface="Times New Roman" panose="02020603050405020304" charset="0"/>
                  </a:rPr>
                  <a:t>mg/L</a:t>
                </a:r>
                <a:endParaRPr lang="zh-CN" altLang="en-US" b="0">
                  <a:latin typeface="Times New Roman" panose="02020603050405020304" charset="0"/>
                  <a:cs typeface="Times New Roman" panose="02020603050405020304" charset="0"/>
                </a:endParaRPr>
              </a:p>
            </c:rich>
          </c:tx>
          <c:layout>
            <c:manualLayout>
              <c:xMode val="edge"/>
              <c:yMode val="edge"/>
              <c:x val="0.00129743275761416"/>
              <c:y val="0.304495838020247"/>
            </c:manualLayout>
          </c:layout>
          <c:overlay val="0"/>
        </c:title>
        <c:numFmt formatCode="0.00_ " sourceLinked="1"/>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7117568"/>
        <c:crosses val="autoZero"/>
        <c:crossBetween val="between"/>
        <c:majorUnit val="0.01"/>
      </c:valAx>
      <c:spPr>
        <a:solidFill>
          <a:schemeClr val="bg1">
            <a:lumMod val="95000"/>
            <a:alpha val="55000"/>
          </a:schemeClr>
        </a:solidFill>
        <a:ln>
          <a:solidFill>
            <a:schemeClr val="bg1">
              <a:lumMod val="85000"/>
            </a:schemeClr>
          </a:solidFill>
        </a:ln>
      </c:spPr>
    </c:plotArea>
    <c:legend>
      <c:legendPos val="b"/>
      <c:layout>
        <c:manualLayout>
          <c:xMode val="edge"/>
          <c:yMode val="edge"/>
          <c:x val="0"/>
          <c:y val="0.825755380577428"/>
          <c:w val="0.999409804529764"/>
          <c:h val="0.16295733033370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37834386501"/>
          <c:y val="0.0543571204542828"/>
          <c:w val="0.865930627612303"/>
          <c:h val="0.859940573466053"/>
        </c:manualLayout>
      </c:layout>
      <c:barChart>
        <c:barDir val="col"/>
        <c:grouping val="clustered"/>
        <c:varyColors val="0"/>
        <c:ser>
          <c:idx val="0"/>
          <c:order val="0"/>
          <c:tx>
            <c:strRef>
              <c:f>经济!$B$11</c:f>
              <c:strCache>
                <c:ptCount val="1"/>
                <c:pt idx="0">
                  <c:v>GDP（亿元）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solidFill>
                        <a:schemeClr val="tx2">
                          <a:lumMod val="75000"/>
                        </a:schemeClr>
                      </a:solidFill>
                    </a:ln>
                    <a:solidFill>
                      <a:schemeClr val="tx1"/>
                    </a:solidFill>
                    <a:effectLst>
                      <a:reflection blurRad="6350" stA="60000" endA="900" endPos="58000" dir="5400000" sy="-100000" algn="bl" rotWithShape="0"/>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经济!$A$12:$A$18</c:f>
              <c:strCache>
                <c:ptCount val="7"/>
                <c:pt idx="0">
                  <c:v>2016年</c:v>
                </c:pt>
                <c:pt idx="1">
                  <c:v>2017年</c:v>
                </c:pt>
                <c:pt idx="2">
                  <c:v>2018年</c:v>
                </c:pt>
                <c:pt idx="3">
                  <c:v>2019年</c:v>
                </c:pt>
                <c:pt idx="4">
                  <c:v>2020年</c:v>
                </c:pt>
                <c:pt idx="5">
                  <c:v>2021年</c:v>
                </c:pt>
                <c:pt idx="6">
                  <c:v>2022年</c:v>
                </c:pt>
              </c:strCache>
            </c:strRef>
          </c:cat>
          <c:val>
            <c:numRef>
              <c:f>经济!$B$12:$B$18</c:f>
              <c:numCache>
                <c:formatCode>0.00_ </c:formatCode>
                <c:ptCount val="7"/>
                <c:pt idx="0">
                  <c:v>67.4401</c:v>
                </c:pt>
                <c:pt idx="1">
                  <c:v>74.0965</c:v>
                </c:pt>
                <c:pt idx="2">
                  <c:v>75.3928</c:v>
                </c:pt>
                <c:pt idx="3">
                  <c:v>81.315</c:v>
                </c:pt>
                <c:pt idx="4">
                  <c:v>83.8703</c:v>
                </c:pt>
                <c:pt idx="5">
                  <c:v>97.8228</c:v>
                </c:pt>
                <c:pt idx="6">
                  <c:v>100.26</c:v>
                </c:pt>
              </c:numCache>
            </c:numRef>
          </c:val>
        </c:ser>
        <c:dLbls>
          <c:showLegendKey val="0"/>
          <c:showVal val="0"/>
          <c:showCatName val="0"/>
          <c:showSerName val="0"/>
          <c:showPercent val="0"/>
          <c:showBubbleSize val="0"/>
        </c:dLbls>
        <c:gapWidth val="150"/>
        <c:axId val="49665536"/>
        <c:axId val="49667072"/>
      </c:barChart>
      <c:lineChart>
        <c:grouping val="standard"/>
        <c:varyColors val="0"/>
        <c:ser>
          <c:idx val="1"/>
          <c:order val="1"/>
          <c:tx>
            <c:strRef>
              <c:f>经济!$C$11</c:f>
              <c:strCache>
                <c:ptCount val="1"/>
                <c:pt idx="0">
                  <c:v>工业增加值（亿元）</c:v>
                </c:pt>
              </c:strCache>
            </c:strRef>
          </c:tx>
          <c:spPr>
            <a:ln w="25400" cap="rnd" cmpd="sng" algn="ctr">
              <a:solidFill>
                <a:schemeClr val="accent2">
                  <a:shade val="95000"/>
                  <a:satMod val="105000"/>
                </a:schemeClr>
              </a:solidFill>
              <a:prstDash val="dash"/>
              <a:round/>
            </a:ln>
          </c:spPr>
          <c:marker>
            <c:symbol val="circle"/>
            <c:size val="6"/>
            <c:spPr>
              <a:solidFill>
                <a:srgbClr val="C00000"/>
              </a:solidFill>
              <a:ln w="9525" cap="flat" cmpd="sng" algn="ctr">
                <a:solidFill>
                  <a:schemeClr val="bg1"/>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solidFill>
                        <a:schemeClr val="accent2">
                          <a:lumMod val="50000"/>
                        </a:schemeClr>
                      </a:solidFill>
                    </a:ln>
                    <a:solidFill>
                      <a:schemeClr val="tx1"/>
                    </a:solidFill>
                    <a:effectLst>
                      <a:reflection blurRad="6350" stA="60000" endA="900" endPos="58000" dir="5400000" sy="-100000" algn="bl" rotWithShape="0"/>
                    </a:effectLst>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经济!$A$12:$A$18</c:f>
              <c:strCache>
                <c:ptCount val="7"/>
                <c:pt idx="0">
                  <c:v>2016年</c:v>
                </c:pt>
                <c:pt idx="1">
                  <c:v>2017年</c:v>
                </c:pt>
                <c:pt idx="2">
                  <c:v>2018年</c:v>
                </c:pt>
                <c:pt idx="3">
                  <c:v>2019年</c:v>
                </c:pt>
                <c:pt idx="4">
                  <c:v>2020年</c:v>
                </c:pt>
                <c:pt idx="5">
                  <c:v>2021年</c:v>
                </c:pt>
                <c:pt idx="6">
                  <c:v>2022年</c:v>
                </c:pt>
              </c:strCache>
            </c:strRef>
          </c:cat>
          <c:val>
            <c:numRef>
              <c:f>经济!$C$12:$C$18</c:f>
              <c:numCache>
                <c:formatCode>0.00_ </c:formatCode>
                <c:ptCount val="7"/>
                <c:pt idx="0">
                  <c:v>17.731</c:v>
                </c:pt>
                <c:pt idx="1">
                  <c:v>17.1163</c:v>
                </c:pt>
                <c:pt idx="2">
                  <c:v>14.1473</c:v>
                </c:pt>
                <c:pt idx="3">
                  <c:v>16.0165</c:v>
                </c:pt>
                <c:pt idx="4">
                  <c:v>16.1756</c:v>
                </c:pt>
                <c:pt idx="5">
                  <c:v>18.81</c:v>
                </c:pt>
                <c:pt idx="6">
                  <c:v>18.94</c:v>
                </c:pt>
              </c:numCache>
            </c:numRef>
          </c:val>
          <c:smooth val="0"/>
        </c:ser>
        <c:dLbls>
          <c:showLegendKey val="0"/>
          <c:showVal val="0"/>
          <c:showCatName val="0"/>
          <c:showSerName val="0"/>
          <c:showPercent val="0"/>
          <c:showBubbleSize val="0"/>
        </c:dLbls>
        <c:marker val="1"/>
        <c:smooth val="0"/>
        <c:axId val="49665536"/>
        <c:axId val="49667072"/>
      </c:lineChart>
      <c:catAx>
        <c:axId val="49665536"/>
        <c:scaling>
          <c:orientation val="minMax"/>
        </c:scaling>
        <c:delete val="0"/>
        <c:axPos val="b"/>
        <c:majorTickMark val="none"/>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9667072"/>
        <c:crosses val="autoZero"/>
        <c:auto val="1"/>
        <c:lblAlgn val="ctr"/>
        <c:lblOffset val="100"/>
        <c:noMultiLvlLbl val="0"/>
      </c:catAx>
      <c:valAx>
        <c:axId val="49667072"/>
        <c:scaling>
          <c:orientation val="minMax"/>
          <c:max val="110"/>
          <c:min val="0"/>
        </c:scaling>
        <c:delete val="0"/>
        <c:axPos val="l"/>
        <c:majorGridlines>
          <c:spPr>
            <a:ln w="9525" cap="flat" cmpd="sng" algn="ctr">
              <a:noFill/>
              <a:prstDash val="solid"/>
              <a:round/>
            </a:ln>
          </c:spPr>
        </c:majorGridlines>
        <c:numFmt formatCode="0.00_ "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9665536"/>
        <c:crosses val="autoZero"/>
        <c:crossBetween val="between"/>
      </c:valAx>
    </c:plotArea>
    <c:legend>
      <c:legendPos val="t"/>
      <c:layout>
        <c:manualLayout>
          <c:xMode val="edge"/>
          <c:yMode val="edge"/>
          <c:x val="0.191681533524647"/>
          <c:y val="0"/>
          <c:w val="0.611849192100539"/>
          <c:h val="0.071128608923884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9525" cap="flat" cmpd="sng" algn="ctr">
      <a:noFill/>
      <a:prstDash val="solid"/>
      <a:round/>
    </a:ln>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79739519942"/>
          <c:y val="0.0237492819789681"/>
          <c:w val="0.806791028093097"/>
          <c:h val="0.726674723512813"/>
        </c:manualLayout>
      </c:layout>
      <c:lineChart>
        <c:grouping val="standard"/>
        <c:varyColors val="0"/>
        <c:ser>
          <c:idx val="0"/>
          <c:order val="0"/>
          <c:tx>
            <c:strRef>
              <c:f>合水桥、连中桥、黄潭寺、大席水总磷浓度变化!$A$10</c:f>
              <c:strCache>
                <c:ptCount val="1"/>
                <c:pt idx="0">
                  <c:v>合水桥</c:v>
                </c:pt>
              </c:strCache>
            </c:strRef>
          </c:tx>
          <c:spPr>
            <a:ln w="25400" cap="rnd" cmpd="sng" algn="ctr">
              <a:solidFill>
                <a:srgbClr val="FFC000"/>
              </a:solidFill>
              <a:prstDash val="solid"/>
              <a:round/>
            </a:ln>
          </c:spPr>
          <c:marker>
            <c:symbol val="diamond"/>
            <c:size val="6"/>
            <c:spPr>
              <a:solidFill>
                <a:schemeClr val="bg1"/>
              </a:solidFill>
              <a:ln w="9525" cap="flat" cmpd="sng" algn="ctr">
                <a:solidFill>
                  <a:srgbClr val="FFC000"/>
                </a:solidFill>
                <a:prstDash val="solid"/>
                <a:round/>
              </a:ln>
            </c:spPr>
          </c:marker>
          <c:dLbls>
            <c:delete val="1"/>
          </c:dLbls>
          <c:trendline>
            <c:spPr>
              <a:ln w="12700" cap="rnd" cmpd="sng" algn="ctr">
                <a:solidFill>
                  <a:schemeClr val="accent6"/>
                </a:solidFill>
                <a:prstDash val="lgDash"/>
                <a:round/>
              </a:ln>
            </c:spPr>
            <c:trendlineType val="linear"/>
            <c:dispRSqr val="0"/>
            <c:dispEq val="0"/>
          </c:trendline>
          <c:cat>
            <c:strRef>
              <c:f>合水桥、连中桥、黄潭寺、大席水总磷浓度变化!$B$9:$H$9</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合水桥、连中桥、黄潭寺、大席水总磷浓度变化!$B$10:$H$10</c:f>
              <c:numCache>
                <c:formatCode>0.00_ </c:formatCode>
                <c:ptCount val="7"/>
                <c:pt idx="0">
                  <c:v>0.425454545454546</c:v>
                </c:pt>
                <c:pt idx="1">
                  <c:v>0.441666666666667</c:v>
                </c:pt>
                <c:pt idx="2">
                  <c:v>0.442727272727273</c:v>
                </c:pt>
                <c:pt idx="3">
                  <c:v>0.443333333333333</c:v>
                </c:pt>
                <c:pt idx="4">
                  <c:v>0.444166666666667</c:v>
                </c:pt>
                <c:pt idx="5">
                  <c:v>0.46</c:v>
                </c:pt>
                <c:pt idx="6">
                  <c:v>0.74</c:v>
                </c:pt>
              </c:numCache>
            </c:numRef>
          </c:val>
          <c:smooth val="1"/>
        </c:ser>
        <c:ser>
          <c:idx val="1"/>
          <c:order val="1"/>
          <c:tx>
            <c:strRef>
              <c:f>合水桥、连中桥、黄潭寺、大席水总磷浓度变化!$A$11</c:f>
              <c:strCache>
                <c:ptCount val="1"/>
                <c:pt idx="0">
                  <c:v>连中桥</c:v>
                </c:pt>
              </c:strCache>
            </c:strRef>
          </c:tx>
          <c:spPr>
            <a:ln w="25400" cap="rnd" cmpd="sng" algn="ctr">
              <a:solidFill>
                <a:srgbClr val="006600"/>
              </a:solidFill>
              <a:prstDash val="solid"/>
              <a:round/>
            </a:ln>
          </c:spPr>
          <c:marker>
            <c:symbol val="square"/>
            <c:size val="6"/>
            <c:spPr>
              <a:solidFill>
                <a:schemeClr val="bg1"/>
              </a:solidFill>
              <a:ln w="9525" cap="flat" cmpd="sng" algn="ctr">
                <a:solidFill>
                  <a:srgbClr val="006600"/>
                </a:solidFill>
                <a:prstDash val="solid"/>
                <a:round/>
              </a:ln>
            </c:spPr>
          </c:marker>
          <c:dLbls>
            <c:delete val="1"/>
          </c:dLbls>
          <c:trendline>
            <c:spPr>
              <a:ln w="12700" cap="rnd" cmpd="sng" algn="ctr">
                <a:solidFill>
                  <a:srgbClr val="006600"/>
                </a:solidFill>
                <a:prstDash val="lgDash"/>
                <a:round/>
                <a:tailEnd type="none"/>
              </a:ln>
            </c:spPr>
            <c:trendlineType val="linear"/>
            <c:dispRSqr val="0"/>
            <c:dispEq val="0"/>
          </c:trendline>
          <c:cat>
            <c:strRef>
              <c:f>合水桥、连中桥、黄潭寺、大席水总磷浓度变化!$B$9:$H$9</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合水桥、连中桥、黄潭寺、大席水总磷浓度变化!$B$11:$H$11</c:f>
              <c:numCache>
                <c:formatCode>0.00_ </c:formatCode>
                <c:ptCount val="7"/>
                <c:pt idx="0">
                  <c:v>0.311666666666667</c:v>
                </c:pt>
                <c:pt idx="1">
                  <c:v>0.391666666666667</c:v>
                </c:pt>
                <c:pt idx="2">
                  <c:v>0.4</c:v>
                </c:pt>
                <c:pt idx="3">
                  <c:v>0.52</c:v>
                </c:pt>
                <c:pt idx="4">
                  <c:v>0.506666666666667</c:v>
                </c:pt>
                <c:pt idx="5">
                  <c:v>0.86</c:v>
                </c:pt>
                <c:pt idx="6">
                  <c:v>0.486666666666667</c:v>
                </c:pt>
              </c:numCache>
            </c:numRef>
          </c:val>
          <c:smooth val="1"/>
        </c:ser>
        <c:ser>
          <c:idx val="2"/>
          <c:order val="2"/>
          <c:tx>
            <c:strRef>
              <c:f>合水桥、连中桥、黄潭寺、大席水总磷浓度变化!$A$12</c:f>
              <c:strCache>
                <c:ptCount val="1"/>
                <c:pt idx="0">
                  <c:v>黄潭寺</c:v>
                </c:pt>
              </c:strCache>
            </c:strRef>
          </c:tx>
          <c:spPr>
            <a:ln w="25400" cap="rnd" cmpd="sng" algn="ctr">
              <a:solidFill>
                <a:schemeClr val="tx1"/>
              </a:solidFill>
              <a:prstDash val="solid"/>
              <a:round/>
            </a:ln>
          </c:spPr>
          <c:marker>
            <c:symbol val="circle"/>
            <c:size val="5"/>
            <c:spPr>
              <a:solidFill>
                <a:schemeClr val="bg1"/>
              </a:solidFill>
              <a:ln w="9525" cap="flat" cmpd="sng" algn="ctr">
                <a:solidFill>
                  <a:schemeClr val="tx1"/>
                </a:solidFill>
                <a:prstDash val="solid"/>
                <a:round/>
              </a:ln>
            </c:spPr>
          </c:marker>
          <c:dLbls>
            <c:delete val="1"/>
          </c:dLbls>
          <c:trendline>
            <c:spPr>
              <a:ln w="12700" cap="rnd" cmpd="sng" algn="ctr">
                <a:solidFill>
                  <a:schemeClr val="tx1"/>
                </a:solidFill>
                <a:prstDash val="lgDash"/>
                <a:round/>
              </a:ln>
            </c:spPr>
            <c:trendlineType val="linear"/>
            <c:dispRSqr val="0"/>
            <c:dispEq val="0"/>
          </c:trendline>
          <c:cat>
            <c:strRef>
              <c:f>合水桥、连中桥、黄潭寺、大席水总磷浓度变化!$B$9:$H$9</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合水桥、连中桥、黄潭寺、大席水总磷浓度变化!$B$12:$H$12</c:f>
              <c:numCache>
                <c:formatCode>0.00_ </c:formatCode>
                <c:ptCount val="7"/>
                <c:pt idx="0">
                  <c:v>0.396666666666667</c:v>
                </c:pt>
                <c:pt idx="1">
                  <c:v>0.416666666666667</c:v>
                </c:pt>
                <c:pt idx="2">
                  <c:v>0.423333333333333</c:v>
                </c:pt>
                <c:pt idx="3">
                  <c:v>0.748333333333333</c:v>
                </c:pt>
                <c:pt idx="4">
                  <c:v>0.735</c:v>
                </c:pt>
                <c:pt idx="5">
                  <c:v>0.795</c:v>
                </c:pt>
                <c:pt idx="6">
                  <c:v>0.851666666666667</c:v>
                </c:pt>
              </c:numCache>
            </c:numRef>
          </c:val>
          <c:smooth val="1"/>
        </c:ser>
        <c:ser>
          <c:idx val="3"/>
          <c:order val="3"/>
          <c:tx>
            <c:strRef>
              <c:f>合水桥、连中桥、黄潭寺、大席水总磷浓度变化!$A$13</c:f>
              <c:strCache>
                <c:ptCount val="1"/>
                <c:pt idx="0">
                  <c:v>大席水</c:v>
                </c:pt>
              </c:strCache>
            </c:strRef>
          </c:tx>
          <c:spPr>
            <a:ln w="25400" cap="rnd" cmpd="sng" algn="ctr">
              <a:solidFill>
                <a:srgbClr val="1201ED"/>
              </a:solidFill>
              <a:prstDash val="solid"/>
              <a:round/>
            </a:ln>
          </c:spPr>
          <c:marker>
            <c:symbol val="triangle"/>
            <c:size val="7"/>
            <c:spPr>
              <a:solidFill>
                <a:schemeClr val="bg1"/>
              </a:solidFill>
              <a:ln w="9525" cap="flat" cmpd="sng" algn="ctr">
                <a:solidFill>
                  <a:srgbClr val="1201ED"/>
                </a:solidFill>
                <a:prstDash val="solid"/>
                <a:round/>
              </a:ln>
            </c:spPr>
          </c:marker>
          <c:dLbls>
            <c:delete val="1"/>
          </c:dLbls>
          <c:trendline>
            <c:spPr>
              <a:ln w="12700" cap="rnd" cmpd="sng" algn="ctr">
                <a:solidFill>
                  <a:srgbClr val="1201ED"/>
                </a:solidFill>
                <a:prstDash val="lgDash"/>
                <a:round/>
              </a:ln>
            </c:spPr>
            <c:trendlineType val="linear"/>
            <c:dispRSqr val="0"/>
            <c:dispEq val="0"/>
          </c:trendline>
          <c:cat>
            <c:strRef>
              <c:f>合水桥、连中桥、黄潭寺、大席水总磷浓度变化!$B$9:$H$9</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合水桥、连中桥、黄潭寺、大席水总磷浓度变化!$B$13:$H$13</c:f>
              <c:numCache>
                <c:formatCode>0.00_ </c:formatCode>
                <c:ptCount val="7"/>
                <c:pt idx="0">
                  <c:v>0.328333333333333</c:v>
                </c:pt>
                <c:pt idx="1">
                  <c:v>0.366666666666667</c:v>
                </c:pt>
                <c:pt idx="2">
                  <c:v>0.406666666666667</c:v>
                </c:pt>
                <c:pt idx="3">
                  <c:v>0.573333333333333</c:v>
                </c:pt>
                <c:pt idx="4">
                  <c:v>0.615</c:v>
                </c:pt>
                <c:pt idx="5" c:formatCode="General">
                  <c:v>0.688333333333333</c:v>
                </c:pt>
                <c:pt idx="6" c:formatCode="General">
                  <c:v>0.683333333333333</c:v>
                </c:pt>
              </c:numCache>
            </c:numRef>
          </c:val>
          <c:smooth val="1"/>
        </c:ser>
        <c:ser>
          <c:idx val="4"/>
          <c:order val="4"/>
          <c:tx>
            <c:strRef>
              <c:f>合水桥、连中桥、黄潭寺、大席水总磷浓度变化!$A$14</c:f>
              <c:strCache>
                <c:ptCount val="1"/>
                <c:pt idx="0">
                  <c:v>新丰江水库总氮控制浓度</c:v>
                </c:pt>
              </c:strCache>
            </c:strRef>
          </c:tx>
          <c:spPr>
            <a:ln w="25400" cap="rnd" cmpd="sng" algn="ctr">
              <a:solidFill>
                <a:srgbClr val="FF0000"/>
              </a:solidFill>
              <a:prstDash val="solid"/>
              <a:round/>
            </a:ln>
          </c:spPr>
          <c:marker>
            <c:symbol val="none"/>
          </c:marker>
          <c:dLbls>
            <c:delete val="1"/>
          </c:dLbls>
          <c:cat>
            <c:strRef>
              <c:f>合水桥、连中桥、黄潭寺、大席水总磷浓度变化!$B$9:$H$9</c:f>
              <c:strCache>
                <c:ptCount val="7"/>
                <c:pt idx="0">
                  <c:v>2016年</c:v>
                </c:pt>
                <c:pt idx="1">
                  <c:v>2017年</c:v>
                </c:pt>
                <c:pt idx="2">
                  <c:v>2018年</c:v>
                </c:pt>
                <c:pt idx="3">
                  <c:v>2019年</c:v>
                </c:pt>
                <c:pt idx="4">
                  <c:v>2020年</c:v>
                </c:pt>
                <c:pt idx="5">
                  <c:v>2021年</c:v>
                </c:pt>
                <c:pt idx="6">
                  <c:v>2022年</c:v>
                </c:pt>
              </c:strCache>
            </c:strRef>
          </c:cat>
          <c:val>
            <c:numRef>
              <c:f>合水桥、连中桥、黄潭寺、大席水总磷浓度变化!$B$14:$H$14</c:f>
              <c:numCache>
                <c:formatCode>0.00_ </c:formatCode>
                <c:ptCount val="7"/>
                <c:pt idx="0">
                  <c:v>0.3</c:v>
                </c:pt>
                <c:pt idx="1">
                  <c:v>0.3</c:v>
                </c:pt>
                <c:pt idx="2">
                  <c:v>0.3</c:v>
                </c:pt>
                <c:pt idx="3">
                  <c:v>0.3</c:v>
                </c:pt>
                <c:pt idx="4">
                  <c:v>0.3</c:v>
                </c:pt>
                <c:pt idx="5">
                  <c:v>0.3</c:v>
                </c:pt>
                <c:pt idx="6">
                  <c:v>0.3</c:v>
                </c:pt>
              </c:numCache>
            </c:numRef>
          </c:val>
          <c:smooth val="0"/>
        </c:ser>
        <c:dLbls>
          <c:showLegendKey val="0"/>
          <c:showVal val="0"/>
          <c:showCatName val="0"/>
          <c:showSerName val="0"/>
          <c:showPercent val="0"/>
          <c:showBubbleSize val="0"/>
        </c:dLbls>
        <c:marker val="1"/>
        <c:smooth val="1"/>
        <c:axId val="899104128"/>
        <c:axId val="899122304"/>
      </c:lineChart>
      <c:catAx>
        <c:axId val="899104128"/>
        <c:scaling>
          <c:orientation val="minMax"/>
        </c:scaling>
        <c:delete val="0"/>
        <c:axPos val="b"/>
        <c:minorGridlines>
          <c:spPr>
            <a:ln w="9525" cap="flat" cmpd="sng" algn="ctr">
              <a:solidFill>
                <a:schemeClr val="bg1">
                  <a:lumMod val="85000"/>
                </a:schemeClr>
              </a:solidFill>
              <a:prstDash val="solid"/>
              <a:round/>
            </a:ln>
          </c:spPr>
        </c:minorGridlines>
        <c:majorTickMark val="none"/>
        <c:minorTickMark val="out"/>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9122304"/>
        <c:crosses val="autoZero"/>
        <c:auto val="1"/>
        <c:lblAlgn val="ctr"/>
        <c:lblOffset val="100"/>
        <c:noMultiLvlLbl val="0"/>
      </c:catAx>
      <c:valAx>
        <c:axId val="899122304"/>
        <c:scaling>
          <c:orientation val="minMax"/>
          <c:max val="0.9"/>
          <c:min val="0.2"/>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cs typeface="Times New Roman" panose="02020603050405020304" charset="0"/>
                  </a:rPr>
                  <a:t>单位：</a:t>
                </a:r>
                <a:r>
                  <a:rPr lang="en-US" altLang="zh-CN" b="0">
                    <a:latin typeface="Times New Roman" panose="02020603050405020304" charset="0"/>
                    <a:cs typeface="Times New Roman" panose="02020603050405020304" charset="0"/>
                  </a:rPr>
                  <a:t>mg/L</a:t>
                </a:r>
                <a:endParaRPr lang="zh-CN" altLang="en-US" b="0">
                  <a:latin typeface="Times New Roman" panose="02020603050405020304" charset="0"/>
                  <a:cs typeface="Times New Roman" panose="02020603050405020304" charset="0"/>
                </a:endParaRPr>
              </a:p>
            </c:rich>
          </c:tx>
          <c:layout>
            <c:manualLayout>
              <c:xMode val="edge"/>
              <c:yMode val="edge"/>
              <c:x val="0.00370848754315805"/>
              <c:y val="0.304495861094286"/>
            </c:manualLayout>
          </c:layout>
          <c:overlay val="0"/>
        </c:title>
        <c:numFmt formatCode="0.00_ " sourceLinked="1"/>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99104128"/>
        <c:crosses val="autoZero"/>
        <c:crossBetween val="between"/>
        <c:majorUnit val="0.1"/>
      </c:valAx>
      <c:spPr>
        <a:solidFill>
          <a:schemeClr val="bg1">
            <a:lumMod val="95000"/>
            <a:alpha val="55000"/>
          </a:schemeClr>
        </a:solidFill>
        <a:ln>
          <a:solidFill>
            <a:schemeClr val="bg1">
              <a:lumMod val="85000"/>
            </a:schemeClr>
          </a:solidFill>
        </a:ln>
      </c:spPr>
    </c:plotArea>
    <c:legend>
      <c:legendPos val="b"/>
      <c:layout>
        <c:manualLayout>
          <c:xMode val="edge"/>
          <c:yMode val="edge"/>
          <c:x val="0"/>
          <c:y val="0.840993620674398"/>
          <c:w val="0.998077453906986"/>
          <c:h val="0.159006487029215"/>
        </c:manualLayout>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200794520938"/>
          <c:y val="0.0237492819789681"/>
          <c:w val="0.881534934715439"/>
          <c:h val="0.726674723512813"/>
        </c:manualLayout>
      </c:layout>
      <c:lineChart>
        <c:grouping val="standard"/>
        <c:varyColors val="0"/>
        <c:ser>
          <c:idx val="0"/>
          <c:order val="0"/>
          <c:tx>
            <c:strRef>
              <c:f>饮用水源地氮分析!$B$3</c:f>
              <c:strCache>
                <c:ptCount val="1"/>
                <c:pt idx="0">
                  <c:v>鹤湖水水库氨氮</c:v>
                </c:pt>
              </c:strCache>
            </c:strRef>
          </c:tx>
          <c:spPr>
            <a:ln w="25400" cap="rnd" cmpd="sng" algn="ctr">
              <a:solidFill>
                <a:srgbClr val="FFC000"/>
              </a:solidFill>
              <a:prstDash val="solid"/>
              <a:round/>
            </a:ln>
          </c:spPr>
          <c:marker>
            <c:symbol val="diamond"/>
            <c:size val="6"/>
            <c:spPr>
              <a:solidFill>
                <a:schemeClr val="bg1"/>
              </a:solidFill>
              <a:ln w="9525" cap="flat" cmpd="sng" algn="ctr">
                <a:solidFill>
                  <a:srgbClr val="FFC000"/>
                </a:solidFill>
                <a:prstDash val="solid"/>
                <a:round/>
              </a:ln>
            </c:spPr>
          </c:marker>
          <c:dLbls>
            <c:dLbl>
              <c:idx val="1"/>
              <c:layout>
                <c:manualLayout>
                  <c:x val="-0.0336487907465825"/>
                  <c:y val="0.01995011946508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10304942166141"/>
                  <c:y val="0.0332501991084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9274447949527"/>
                  <c:y val="0.03657521901932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6182965299685"/>
                  <c:y val="0.0332501991084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15457413249211"/>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26182965299685"/>
                  <c:y val="-0.019950119465085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chemeClr val="accent6"/>
                </a:solidFill>
                <a:prstDash val="lgDash"/>
                <a:round/>
              </a:ln>
            </c:spPr>
            <c:trendlineType val="linear"/>
            <c:dispRSqr val="0"/>
            <c:dispEq val="0"/>
          </c:trendline>
          <c:cat>
            <c:strRef>
              <c:f>饮用水源地氮分析!$C$2:$I$2</c:f>
              <c:strCache>
                <c:ptCount val="7"/>
                <c:pt idx="0">
                  <c:v>2016年</c:v>
                </c:pt>
                <c:pt idx="1">
                  <c:v>2017年</c:v>
                </c:pt>
                <c:pt idx="2">
                  <c:v>2018年</c:v>
                </c:pt>
                <c:pt idx="3">
                  <c:v>2019年</c:v>
                </c:pt>
                <c:pt idx="4">
                  <c:v>2020年</c:v>
                </c:pt>
                <c:pt idx="5">
                  <c:v>2021年</c:v>
                </c:pt>
                <c:pt idx="6">
                  <c:v>2022年</c:v>
                </c:pt>
              </c:strCache>
            </c:strRef>
          </c:cat>
          <c:val>
            <c:numRef>
              <c:f>饮用水源地氮分析!$C$3:$I$3</c:f>
              <c:numCache>
                <c:formatCode>0.000</c:formatCode>
                <c:ptCount val="7"/>
                <c:pt idx="0">
                  <c:v>0.056375</c:v>
                </c:pt>
                <c:pt idx="1">
                  <c:v>0.081</c:v>
                </c:pt>
                <c:pt idx="2">
                  <c:v>0.0924166666666667</c:v>
                </c:pt>
                <c:pt idx="3">
                  <c:v>0.09925</c:v>
                </c:pt>
                <c:pt idx="4" c:formatCode="0.000_ ">
                  <c:v>0.0908888888888889</c:v>
                </c:pt>
                <c:pt idx="5" c:formatCode="0.000_ ">
                  <c:v>0.129333333333333</c:v>
                </c:pt>
                <c:pt idx="6" c:formatCode="0.000_ ">
                  <c:v>0.0755</c:v>
                </c:pt>
              </c:numCache>
            </c:numRef>
          </c:val>
          <c:smooth val="1"/>
        </c:ser>
        <c:ser>
          <c:idx val="1"/>
          <c:order val="1"/>
          <c:tx>
            <c:strRef>
              <c:f>饮用水源地氮分析!$B$4</c:f>
              <c:strCache>
                <c:ptCount val="1"/>
                <c:pt idx="0">
                  <c:v>鹤湖水水库总氮</c:v>
                </c:pt>
              </c:strCache>
            </c:strRef>
          </c:tx>
          <c:spPr>
            <a:ln w="25400" cap="rnd" cmpd="sng" algn="ctr">
              <a:solidFill>
                <a:srgbClr val="006600"/>
              </a:solidFill>
              <a:prstDash val="solid"/>
              <a:round/>
            </a:ln>
          </c:spPr>
          <c:marker>
            <c:symbol val="square"/>
            <c:size val="6"/>
            <c:spPr>
              <a:solidFill>
                <a:schemeClr val="bg1"/>
              </a:solidFill>
              <a:ln w="9525" cap="flat" cmpd="sng" algn="ctr">
                <a:solidFill>
                  <a:srgbClr val="006600"/>
                </a:solidFill>
                <a:prstDash val="solid"/>
                <a:round/>
              </a:ln>
            </c:spPr>
          </c:marker>
          <c:dLbls>
            <c:dLbl>
              <c:idx val="3"/>
              <c:layout>
                <c:manualLayout>
                  <c:x val="-0.010515247108307"/>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2060988433229"/>
                  <c:y val="0.01995011946508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841219768664564"/>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52365930599369"/>
                  <c:y val="-0.0332501991084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rgbClr val="006600"/>
                </a:solidFill>
                <a:prstDash val="lgDash"/>
                <a:round/>
                <a:tailEnd type="none"/>
              </a:ln>
            </c:spPr>
            <c:trendlineType val="linear"/>
            <c:dispRSqr val="0"/>
            <c:dispEq val="0"/>
          </c:trendline>
          <c:cat>
            <c:strRef>
              <c:f>饮用水源地氮分析!$C$2:$I$2</c:f>
              <c:strCache>
                <c:ptCount val="7"/>
                <c:pt idx="0">
                  <c:v>2016年</c:v>
                </c:pt>
                <c:pt idx="1">
                  <c:v>2017年</c:v>
                </c:pt>
                <c:pt idx="2">
                  <c:v>2018年</c:v>
                </c:pt>
                <c:pt idx="3">
                  <c:v>2019年</c:v>
                </c:pt>
                <c:pt idx="4">
                  <c:v>2020年</c:v>
                </c:pt>
                <c:pt idx="5">
                  <c:v>2021年</c:v>
                </c:pt>
                <c:pt idx="6">
                  <c:v>2022年</c:v>
                </c:pt>
              </c:strCache>
            </c:strRef>
          </c:cat>
          <c:val>
            <c:numRef>
              <c:f>饮用水源地氮分析!$C$4:$I$4</c:f>
              <c:numCache>
                <c:formatCode>0.00_ </c:formatCode>
                <c:ptCount val="7"/>
                <c:pt idx="0">
                  <c:v>0.188333333333333</c:v>
                </c:pt>
                <c:pt idx="1">
                  <c:v>0.2525</c:v>
                </c:pt>
                <c:pt idx="2">
                  <c:v>0.314166666666667</c:v>
                </c:pt>
                <c:pt idx="3">
                  <c:v>0.355</c:v>
                </c:pt>
                <c:pt idx="4">
                  <c:v>0.307222222222222</c:v>
                </c:pt>
                <c:pt idx="5">
                  <c:v>0.356666666666667</c:v>
                </c:pt>
                <c:pt idx="6">
                  <c:v>0.293333333333333</c:v>
                </c:pt>
              </c:numCache>
            </c:numRef>
          </c:val>
          <c:smooth val="1"/>
        </c:ser>
        <c:ser>
          <c:idx val="2"/>
          <c:order val="2"/>
          <c:tx>
            <c:strRef>
              <c:f>饮用水源地氮分析!$B$5</c:f>
              <c:strCache>
                <c:ptCount val="1"/>
                <c:pt idx="0">
                  <c:v>密溪河氨氮</c:v>
                </c:pt>
              </c:strCache>
            </c:strRef>
          </c:tx>
          <c:spPr>
            <a:ln w="25400" cap="rnd" cmpd="sng" algn="ctr">
              <a:solidFill>
                <a:schemeClr val="tx1"/>
              </a:solidFill>
              <a:prstDash val="solid"/>
              <a:round/>
            </a:ln>
          </c:spPr>
          <c:marker>
            <c:symbol val="circle"/>
            <c:size val="5"/>
            <c:spPr>
              <a:solidFill>
                <a:schemeClr val="bg1"/>
              </a:solidFill>
              <a:ln w="9525" cap="flat" cmpd="sng" algn="ctr">
                <a:solidFill>
                  <a:schemeClr val="tx1"/>
                </a:solidFill>
                <a:prstDash val="solid"/>
                <a:round/>
              </a:ln>
            </c:spPr>
          </c:marker>
          <c:dLbls>
            <c:dLbl>
              <c:idx val="0"/>
              <c:layout>
                <c:manualLayout>
                  <c:x val="-0.0315457413249211"/>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94426919032597"/>
                  <c:y val="-0.01995011946508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3396424815983"/>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31335436382755"/>
                  <c:y val="-0.02992517919762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94426919032598"/>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47213459516299"/>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630914826498423"/>
                  <c:y val="0.01995011946508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chemeClr val="tx1"/>
                </a:solidFill>
                <a:prstDash val="lgDash"/>
                <a:round/>
              </a:ln>
            </c:spPr>
            <c:trendlineType val="linear"/>
            <c:dispRSqr val="0"/>
            <c:dispEq val="0"/>
          </c:trendline>
          <c:cat>
            <c:strRef>
              <c:f>饮用水源地氮分析!$C$2:$I$2</c:f>
              <c:strCache>
                <c:ptCount val="7"/>
                <c:pt idx="0">
                  <c:v>2016年</c:v>
                </c:pt>
                <c:pt idx="1">
                  <c:v>2017年</c:v>
                </c:pt>
                <c:pt idx="2">
                  <c:v>2018年</c:v>
                </c:pt>
                <c:pt idx="3">
                  <c:v>2019年</c:v>
                </c:pt>
                <c:pt idx="4">
                  <c:v>2020年</c:v>
                </c:pt>
                <c:pt idx="5">
                  <c:v>2021年</c:v>
                </c:pt>
                <c:pt idx="6">
                  <c:v>2022年</c:v>
                </c:pt>
              </c:strCache>
            </c:strRef>
          </c:cat>
          <c:val>
            <c:numRef>
              <c:f>饮用水源地氮分析!$C$5:$I$5</c:f>
              <c:numCache>
                <c:formatCode>0.000</c:formatCode>
                <c:ptCount val="7"/>
                <c:pt idx="0">
                  <c:v>0.119272727272727</c:v>
                </c:pt>
                <c:pt idx="1">
                  <c:v>0.0909090909090909</c:v>
                </c:pt>
                <c:pt idx="2">
                  <c:v>0.1465</c:v>
                </c:pt>
                <c:pt idx="3">
                  <c:v>0.165083333333333</c:v>
                </c:pt>
                <c:pt idx="4" c:formatCode="0.000_ ">
                  <c:v>0.134164141414141</c:v>
                </c:pt>
                <c:pt idx="5" c:formatCode="0.000_ ">
                  <c:v>0.187333333333333</c:v>
                </c:pt>
                <c:pt idx="6" c:formatCode="0.000_ ">
                  <c:v>0.0759166666666667</c:v>
                </c:pt>
              </c:numCache>
            </c:numRef>
          </c:val>
          <c:smooth val="1"/>
        </c:ser>
        <c:ser>
          <c:idx val="3"/>
          <c:order val="3"/>
          <c:tx>
            <c:strRef>
              <c:f>饮用水源地氮分析!$B$6</c:f>
              <c:strCache>
                <c:ptCount val="1"/>
                <c:pt idx="0">
                  <c:v>密溪河总氮</c:v>
                </c:pt>
              </c:strCache>
            </c:strRef>
          </c:tx>
          <c:spPr>
            <a:ln w="25400" cap="rnd" cmpd="sng" algn="ctr">
              <a:solidFill>
                <a:srgbClr val="1201ED"/>
              </a:solidFill>
              <a:prstDash val="solid"/>
              <a:round/>
            </a:ln>
          </c:spPr>
          <c:marker>
            <c:symbol val="triangle"/>
            <c:size val="7"/>
            <c:spPr>
              <a:solidFill>
                <a:schemeClr val="bg1"/>
              </a:solidFill>
              <a:ln w="9525" cap="flat" cmpd="sng" algn="ctr">
                <a:solidFill>
                  <a:srgbClr val="1201ED"/>
                </a:solidFill>
                <a:prstDash val="solid"/>
                <a:round/>
              </a:ln>
            </c:spPr>
          </c:marker>
          <c:dLbls>
            <c:dLbl>
              <c:idx val="0"/>
              <c:layout>
                <c:manualLayout>
                  <c:x val="-0.0336487907465825"/>
                  <c:y val="-0.04655027875186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94426919032597"/>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2365930599369"/>
                  <c:y val="-0.0299251791976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26182965299685"/>
                  <c:y val="-0.01330007964339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841219768664564"/>
                  <c:y val="-0.01995011946508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2700" cap="rnd" cmpd="sng" algn="ctr">
                <a:solidFill>
                  <a:srgbClr val="1201ED"/>
                </a:solidFill>
                <a:prstDash val="lgDash"/>
                <a:round/>
              </a:ln>
            </c:spPr>
            <c:trendlineType val="linear"/>
            <c:dispRSqr val="0"/>
            <c:dispEq val="0"/>
          </c:trendline>
          <c:cat>
            <c:strRef>
              <c:f>饮用水源地氮分析!$C$2:$I$2</c:f>
              <c:strCache>
                <c:ptCount val="7"/>
                <c:pt idx="0">
                  <c:v>2016年</c:v>
                </c:pt>
                <c:pt idx="1">
                  <c:v>2017年</c:v>
                </c:pt>
                <c:pt idx="2">
                  <c:v>2018年</c:v>
                </c:pt>
                <c:pt idx="3">
                  <c:v>2019年</c:v>
                </c:pt>
                <c:pt idx="4">
                  <c:v>2020年</c:v>
                </c:pt>
                <c:pt idx="5">
                  <c:v>2021年</c:v>
                </c:pt>
                <c:pt idx="6">
                  <c:v>2022年</c:v>
                </c:pt>
              </c:strCache>
            </c:strRef>
          </c:cat>
          <c:val>
            <c:numRef>
              <c:f>饮用水源地氮分析!$C$6:$I$6</c:f>
              <c:numCache>
                <c:formatCode>0.00_ </c:formatCode>
                <c:ptCount val="7"/>
                <c:pt idx="0">
                  <c:v>0.333333333333333</c:v>
                </c:pt>
                <c:pt idx="1">
                  <c:v>0.344166666666667</c:v>
                </c:pt>
                <c:pt idx="2">
                  <c:v>0.3975</c:v>
                </c:pt>
                <c:pt idx="3">
                  <c:v>0.535833333333333</c:v>
                </c:pt>
                <c:pt idx="4">
                  <c:v>0.425833333333333</c:v>
                </c:pt>
                <c:pt idx="5">
                  <c:v>0.569166666666667</c:v>
                </c:pt>
                <c:pt idx="6">
                  <c:v>0.414166666666667</c:v>
                </c:pt>
              </c:numCache>
            </c:numRef>
          </c:val>
          <c:smooth val="1"/>
        </c:ser>
        <c:dLbls>
          <c:showLegendKey val="0"/>
          <c:showVal val="0"/>
          <c:showCatName val="0"/>
          <c:showSerName val="0"/>
          <c:showPercent val="0"/>
          <c:showBubbleSize val="0"/>
        </c:dLbls>
        <c:marker val="1"/>
        <c:smooth val="1"/>
        <c:axId val="914850944"/>
        <c:axId val="914852480"/>
      </c:lineChart>
      <c:catAx>
        <c:axId val="914850944"/>
        <c:scaling>
          <c:orientation val="minMax"/>
        </c:scaling>
        <c:delete val="0"/>
        <c:axPos val="b"/>
        <c:minorGridlines>
          <c:spPr>
            <a:ln w="9525" cap="flat" cmpd="sng" algn="ctr">
              <a:solidFill>
                <a:schemeClr val="bg1">
                  <a:lumMod val="85000"/>
                </a:schemeClr>
              </a:solidFill>
              <a:prstDash val="solid"/>
              <a:round/>
            </a:ln>
          </c:spPr>
        </c:minorGridlines>
        <c:majorTickMark val="none"/>
        <c:minorTickMark val="out"/>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914852480"/>
        <c:crosses val="autoZero"/>
        <c:auto val="1"/>
        <c:lblAlgn val="ctr"/>
        <c:lblOffset val="100"/>
        <c:noMultiLvlLbl val="0"/>
      </c:catAx>
      <c:valAx>
        <c:axId val="914852480"/>
        <c:scaling>
          <c:orientation val="minMax"/>
          <c:max val="0.6"/>
          <c:min val="0.05"/>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cs typeface="Times New Roman" panose="02020603050405020304" charset="0"/>
                  </a:rPr>
                  <a:t>单位：</a:t>
                </a:r>
                <a:r>
                  <a:rPr lang="en-US" altLang="zh-CN" b="0">
                    <a:latin typeface="Times New Roman" panose="02020603050405020304" charset="0"/>
                    <a:cs typeface="Times New Roman" panose="02020603050405020304" charset="0"/>
                  </a:rPr>
                  <a:t>mg/L</a:t>
                </a:r>
                <a:endParaRPr lang="zh-CN" altLang="en-US" b="0">
                  <a:latin typeface="Times New Roman" panose="02020603050405020304" charset="0"/>
                  <a:cs typeface="Times New Roman" panose="02020603050405020304" charset="0"/>
                </a:endParaRPr>
              </a:p>
            </c:rich>
          </c:tx>
          <c:layout>
            <c:manualLayout>
              <c:xMode val="edge"/>
              <c:yMode val="edge"/>
              <c:x val="0.00129743275761416"/>
              <c:y val="0.304495838020247"/>
            </c:manualLayout>
          </c:layout>
          <c:overlay val="0"/>
        </c:title>
        <c:numFmt formatCode="#,##0.00_);[Red]\(#,##0.0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914850944"/>
        <c:crosses val="autoZero"/>
        <c:crossBetween val="between"/>
        <c:majorUnit val="0.05"/>
      </c:valAx>
      <c:spPr>
        <a:solidFill>
          <a:schemeClr val="bg1">
            <a:lumMod val="95000"/>
            <a:alpha val="55000"/>
          </a:schemeClr>
        </a:solidFill>
        <a:ln>
          <a:solidFill>
            <a:schemeClr val="bg1">
              <a:lumMod val="85000"/>
            </a:schemeClr>
          </a:solidFill>
        </a:ln>
      </c:spPr>
    </c:plotArea>
    <c:legend>
      <c:legendPos val="b"/>
      <c:layout>
        <c:manualLayout>
          <c:xMode val="edge"/>
          <c:yMode val="edge"/>
          <c:x val="0"/>
          <c:y val="0.840993620674398"/>
          <c:w val="0.981487099078282"/>
          <c:h val="0.15873842216004"/>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438694892087"/>
          <c:y val="0.0220048867588622"/>
          <c:w val="0.799912186356132"/>
          <c:h val="0.76864715984576"/>
        </c:manualLayout>
      </c:layout>
      <c:areaChart>
        <c:grouping val="standard"/>
        <c:varyColors val="0"/>
        <c:ser>
          <c:idx val="2"/>
          <c:order val="2"/>
          <c:tx>
            <c:strRef>
              <c:f>入河排污口分析!$D$1</c:f>
              <c:strCache>
                <c:ptCount val="1"/>
                <c:pt idx="0">
                  <c:v>占比</c:v>
                </c:pt>
              </c:strCache>
            </c:strRef>
          </c:tx>
          <c:spPr>
            <a:solidFill>
              <a:srgbClr val="006600">
                <a:alpha val="24000"/>
              </a:srgbClr>
            </a:solidFill>
            <a:ln w="9525" cap="flat" cmpd="sng" algn="ctr">
              <a:noFill/>
              <a:prstDash val="solid"/>
              <a:round/>
            </a:ln>
          </c:spPr>
          <c:dLbls>
            <c:delete val="1"/>
          </c:dLbls>
          <c:cat>
            <c:strRef>
              <c:f>入河排污口分析!$A$2:$A$10</c:f>
              <c:strCache>
                <c:ptCount val="9"/>
                <c:pt idx="0">
                  <c:v>贵东河</c:v>
                </c:pt>
                <c:pt idx="1">
                  <c:v>陂头河</c:v>
                </c:pt>
                <c:pt idx="2">
                  <c:v>连平河</c:v>
                </c:pt>
                <c:pt idx="3">
                  <c:v>大席河</c:v>
                </c:pt>
                <c:pt idx="4">
                  <c:v>忠信河</c:v>
                </c:pt>
                <c:pt idx="5">
                  <c:v>大湖河</c:v>
                </c:pt>
                <c:pt idx="6">
                  <c:v>五禾水</c:v>
                </c:pt>
                <c:pt idx="7">
                  <c:v>新丰江</c:v>
                </c:pt>
                <c:pt idx="8">
                  <c:v>赤竹径水库</c:v>
                </c:pt>
              </c:strCache>
            </c:strRef>
          </c:cat>
          <c:val>
            <c:numRef>
              <c:f>入河排污口分析!$D$2:$D$10</c:f>
              <c:numCache>
                <c:formatCode>0.00_ </c:formatCode>
                <c:ptCount val="9"/>
                <c:pt idx="0">
                  <c:v>3.248730964467</c:v>
                </c:pt>
                <c:pt idx="1">
                  <c:v>1.7258883248731</c:v>
                </c:pt>
                <c:pt idx="2">
                  <c:v>29.0355329949239</c:v>
                </c:pt>
                <c:pt idx="3">
                  <c:v>18.8832487309645</c:v>
                </c:pt>
                <c:pt idx="4">
                  <c:v>36.0406091370558</c:v>
                </c:pt>
                <c:pt idx="5">
                  <c:v>9.64467005076142</c:v>
                </c:pt>
                <c:pt idx="6">
                  <c:v>0.203045685279188</c:v>
                </c:pt>
                <c:pt idx="7">
                  <c:v>0.609137055837563</c:v>
                </c:pt>
                <c:pt idx="8">
                  <c:v>0.609137055837563</c:v>
                </c:pt>
              </c:numCache>
            </c:numRef>
          </c:val>
        </c:ser>
        <c:dLbls>
          <c:showLegendKey val="0"/>
          <c:showVal val="0"/>
          <c:showCatName val="0"/>
          <c:showSerName val="0"/>
          <c:showPercent val="0"/>
          <c:showBubbleSize val="0"/>
        </c:dLbls>
        <c:axId val="922333568"/>
        <c:axId val="922310912"/>
      </c:areaChart>
      <c:barChart>
        <c:barDir val="col"/>
        <c:grouping val="clustered"/>
        <c:varyColors val="0"/>
        <c:ser>
          <c:idx val="0"/>
          <c:order val="0"/>
          <c:tx>
            <c:strRef>
              <c:f>入河排污口分析!$B$1</c:f>
              <c:strCache>
                <c:ptCount val="1"/>
                <c:pt idx="0">
                  <c:v>数量</c:v>
                </c:pt>
              </c:strCache>
            </c:strRef>
          </c:tx>
          <c:invertIfNegative val="0"/>
          <c:dLbls>
            <c:dLbl>
              <c:idx val="0"/>
              <c:layout>
                <c:manualLayout>
                  <c:x val="0"/>
                  <c:y val="0.01646090534979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入河排污口分析!$A$2:$A$10</c:f>
              <c:strCache>
                <c:ptCount val="9"/>
                <c:pt idx="0">
                  <c:v>贵东河</c:v>
                </c:pt>
                <c:pt idx="1">
                  <c:v>陂头河</c:v>
                </c:pt>
                <c:pt idx="2">
                  <c:v>连平河</c:v>
                </c:pt>
                <c:pt idx="3">
                  <c:v>大席河</c:v>
                </c:pt>
                <c:pt idx="4">
                  <c:v>忠信河</c:v>
                </c:pt>
                <c:pt idx="5">
                  <c:v>大湖河</c:v>
                </c:pt>
                <c:pt idx="6">
                  <c:v>五禾水</c:v>
                </c:pt>
                <c:pt idx="7">
                  <c:v>新丰江</c:v>
                </c:pt>
                <c:pt idx="8">
                  <c:v>赤竹径水库</c:v>
                </c:pt>
              </c:strCache>
            </c:strRef>
          </c:cat>
          <c:val>
            <c:numRef>
              <c:f>入河排污口分析!$B$2:$B$10</c:f>
              <c:numCache>
                <c:formatCode>General</c:formatCode>
                <c:ptCount val="9"/>
                <c:pt idx="0">
                  <c:v>32</c:v>
                </c:pt>
                <c:pt idx="1">
                  <c:v>17</c:v>
                </c:pt>
                <c:pt idx="2">
                  <c:v>286</c:v>
                </c:pt>
                <c:pt idx="3">
                  <c:v>186</c:v>
                </c:pt>
                <c:pt idx="4">
                  <c:v>355</c:v>
                </c:pt>
                <c:pt idx="5">
                  <c:v>95</c:v>
                </c:pt>
                <c:pt idx="6">
                  <c:v>2</c:v>
                </c:pt>
                <c:pt idx="7">
                  <c:v>6</c:v>
                </c:pt>
                <c:pt idx="8">
                  <c:v>6</c:v>
                </c:pt>
              </c:numCache>
            </c:numRef>
          </c:val>
        </c:ser>
        <c:dLbls>
          <c:showLegendKey val="0"/>
          <c:showVal val="0"/>
          <c:showCatName val="0"/>
          <c:showSerName val="0"/>
          <c:showPercent val="0"/>
          <c:showBubbleSize val="0"/>
        </c:dLbls>
        <c:gapWidth val="150"/>
        <c:axId val="917359232"/>
        <c:axId val="922308992"/>
      </c:barChart>
      <c:lineChart>
        <c:grouping val="standard"/>
        <c:varyColors val="0"/>
        <c:ser>
          <c:idx val="1"/>
          <c:order val="1"/>
          <c:tx>
            <c:strRef>
              <c:f>入河排污口分析!$C$1</c:f>
              <c:strCache>
                <c:ptCount val="1"/>
                <c:pt idx="0">
                  <c:v>占比</c:v>
                </c:pt>
              </c:strCache>
            </c:strRef>
          </c:tx>
          <c:spPr>
            <a:ln w="25400" cap="rnd" cmpd="sng" algn="ctr">
              <a:solidFill>
                <a:srgbClr val="006600"/>
              </a:solidFill>
              <a:prstDash val="solid"/>
              <a:round/>
            </a:ln>
          </c:spPr>
          <c:marker>
            <c:symbol val="circle"/>
            <c:size val="6"/>
            <c:spPr>
              <a:solidFill>
                <a:schemeClr val="bg1"/>
              </a:solidFill>
              <a:ln w="9525" cap="flat" cmpd="sng" algn="ctr">
                <a:solidFill>
                  <a:srgbClr val="006600"/>
                </a:solidFill>
                <a:prstDash val="solid"/>
                <a:round/>
              </a:ln>
            </c:spPr>
          </c:marker>
          <c:dLbls>
            <c:dLbl>
              <c:idx val="0"/>
              <c:layout>
                <c:manualLayout>
                  <c:x val="-0.0330012879924579"/>
                  <c:y val="-0.05000777680567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8818189463248"/>
                  <c:y val="-0.03745374420789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50877192982456"/>
                  <c:y val="-0.02531645569620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40444291006626"/>
                  <c:y val="-0.03766209779333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66204986149584"/>
                  <c:y val="-0.022503516174402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5854108956602"/>
                  <c:y val="-0.02812939521800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77008310249307"/>
                  <c:y val="-0.022503516174402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入河排污口分析!$A$2:$A$10</c:f>
              <c:strCache>
                <c:ptCount val="9"/>
                <c:pt idx="0">
                  <c:v>贵东河</c:v>
                </c:pt>
                <c:pt idx="1">
                  <c:v>陂头河</c:v>
                </c:pt>
                <c:pt idx="2">
                  <c:v>连平河</c:v>
                </c:pt>
                <c:pt idx="3">
                  <c:v>大席河</c:v>
                </c:pt>
                <c:pt idx="4">
                  <c:v>忠信河</c:v>
                </c:pt>
                <c:pt idx="5">
                  <c:v>大湖河</c:v>
                </c:pt>
                <c:pt idx="6">
                  <c:v>五禾水</c:v>
                </c:pt>
                <c:pt idx="7">
                  <c:v>新丰江</c:v>
                </c:pt>
                <c:pt idx="8">
                  <c:v>赤竹径水库</c:v>
                </c:pt>
              </c:strCache>
            </c:strRef>
          </c:cat>
          <c:val>
            <c:numRef>
              <c:f>入河排污口分析!$C$2:$C$10</c:f>
              <c:numCache>
                <c:formatCode>0.00_ </c:formatCode>
                <c:ptCount val="9"/>
                <c:pt idx="0">
                  <c:v>3.248730964467</c:v>
                </c:pt>
                <c:pt idx="1">
                  <c:v>1.7258883248731</c:v>
                </c:pt>
                <c:pt idx="2">
                  <c:v>29.0355329949239</c:v>
                </c:pt>
                <c:pt idx="3">
                  <c:v>18.8832487309645</c:v>
                </c:pt>
                <c:pt idx="4">
                  <c:v>36.0406091370558</c:v>
                </c:pt>
                <c:pt idx="5">
                  <c:v>9.64467005076142</c:v>
                </c:pt>
                <c:pt idx="6">
                  <c:v>0.203045685279188</c:v>
                </c:pt>
                <c:pt idx="7">
                  <c:v>0.609137055837563</c:v>
                </c:pt>
                <c:pt idx="8">
                  <c:v>0.609137055837563</c:v>
                </c:pt>
              </c:numCache>
            </c:numRef>
          </c:val>
          <c:smooth val="0"/>
        </c:ser>
        <c:dLbls>
          <c:showLegendKey val="0"/>
          <c:showVal val="0"/>
          <c:showCatName val="0"/>
          <c:showSerName val="0"/>
          <c:showPercent val="0"/>
          <c:showBubbleSize val="0"/>
        </c:dLbls>
        <c:marker val="1"/>
        <c:smooth val="0"/>
        <c:axId val="922333568"/>
        <c:axId val="922310912"/>
      </c:lineChart>
      <c:catAx>
        <c:axId val="917359232"/>
        <c:scaling>
          <c:orientation val="minMax"/>
        </c:scaling>
        <c:delete val="0"/>
        <c:axPos val="b"/>
        <c:majorGridlines>
          <c:spPr>
            <a:ln w="9525" cap="flat" cmpd="sng" algn="ctr">
              <a:solidFill>
                <a:schemeClr val="bg1">
                  <a:lumMod val="85000"/>
                </a:schemeClr>
              </a:solidFill>
              <a:prstDash val="solid"/>
              <a:round/>
            </a:ln>
          </c:spPr>
        </c:majorGridlines>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crossAx val="922308992"/>
        <c:crosses val="autoZero"/>
        <c:auto val="1"/>
        <c:lblAlgn val="ctr"/>
        <c:lblOffset val="100"/>
        <c:noMultiLvlLbl val="0"/>
      </c:catAx>
      <c:valAx>
        <c:axId val="922308992"/>
        <c:scaling>
          <c:orientation val="minMax"/>
          <c:max val="1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入河排污口数量（个）</a:t>
                </a:r>
                <a:endParaRPr lang="zh-CN" b="0">
                  <a:latin typeface="等线" panose="02010600030101010101" charset="-122"/>
                  <a:ea typeface="等线" panose="02010600030101010101" charset="-122"/>
                </a:endParaRPr>
              </a:p>
            </c:rich>
          </c:tx>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917359232"/>
        <c:crosses val="autoZero"/>
        <c:crossBetween val="between"/>
        <c:majorUnit val="100"/>
      </c:valAx>
      <c:catAx>
        <c:axId val="92233356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22310912"/>
        <c:crosses val="autoZero"/>
        <c:auto val="1"/>
        <c:lblAlgn val="ctr"/>
        <c:lblOffset val="100"/>
        <c:noMultiLvlLbl val="0"/>
      </c:catAx>
      <c:valAx>
        <c:axId val="922310912"/>
        <c:scaling>
          <c:orientation val="minMax"/>
          <c:max val="40"/>
          <c:min val="-5"/>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cs typeface="Times New Roman" panose="02020603050405020304" charset="0"/>
                  </a:rPr>
                  <a:t>排污口数量占比</a:t>
                </a:r>
                <a:r>
                  <a:rPr lang="zh-CN" altLang="en-US" b="0">
                    <a:latin typeface="Times New Roman" panose="02020603050405020304" charset="0"/>
                    <a:ea typeface="等线" panose="02010600030101010101" charset="-122"/>
                    <a:cs typeface="Times New Roman" panose="02020603050405020304" charset="0"/>
                  </a:rPr>
                  <a:t>（</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922333568"/>
        <c:crosses val="max"/>
        <c:crossBetween val="between"/>
        <c:majorUnit val="5"/>
      </c:valAx>
    </c:plotArea>
    <c:legend>
      <c:legendPos val="b"/>
      <c:legendEntry>
        <c:idx val="0"/>
        <c:delete val="1"/>
      </c:legendEntry>
      <c:layout>
        <c:manualLayout>
          <c:xMode val="edge"/>
          <c:yMode val="edge"/>
          <c:x val="0.324138926141821"/>
          <c:y val="0.928061604947172"/>
          <c:w val="0.343411896447177"/>
          <c:h val="0.056688981427053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100">
                <a:latin typeface="楷体" panose="02010609060101010101" pitchFamily="49" charset="-122"/>
                <a:ea typeface="楷体" panose="02010609060101010101" pitchFamily="49" charset="-122"/>
              </a:rPr>
              <a:t>忠信河</a:t>
            </a:r>
            <a:endParaRPr lang="zh-CN" altLang="en-US" sz="1100">
              <a:latin typeface="楷体" panose="02010609060101010101" pitchFamily="49" charset="-122"/>
              <a:ea typeface="楷体" panose="02010609060101010101" pitchFamily="49" charset="-122"/>
            </a:endParaRPr>
          </a:p>
        </c:rich>
      </c:tx>
      <c:layout>
        <c:manualLayout>
          <c:xMode val="edge"/>
          <c:yMode val="edge"/>
          <c:x val="0.434839199316953"/>
          <c:y val="0.00462962962962963"/>
        </c:manualLayout>
      </c:layout>
      <c:overlay val="0"/>
    </c:title>
    <c:autoTitleDeleted val="0"/>
    <c:plotArea>
      <c:layout>
        <c:manualLayout>
          <c:layoutTarget val="inner"/>
          <c:xMode val="edge"/>
          <c:yMode val="edge"/>
          <c:x val="0.176706773039509"/>
          <c:y val="0.174007728200642"/>
          <c:w val="0.760522508943808"/>
          <c:h val="0.800133056284631"/>
        </c:manualLayout>
      </c:layout>
      <c:pieChart>
        <c:varyColors val="1"/>
        <c:ser>
          <c:idx val="0"/>
          <c:order val="0"/>
          <c:spPr>
            <a:ln w="15875">
              <a:solidFill>
                <a:sysClr val="window" lastClr="FFFFFF"/>
              </a:solidFill>
            </a:ln>
          </c:spPr>
          <c:explosion val="0"/>
          <c:dPt>
            <c:idx val="0"/>
            <c:bubble3D val="0"/>
            <c:spPr>
              <a:solidFill>
                <a:srgbClr val="008000"/>
              </a:solidFill>
              <a:ln w="15875">
                <a:solidFill>
                  <a:sysClr val="window" lastClr="FFFFFF"/>
                </a:solidFill>
              </a:ln>
            </c:spPr>
          </c:dPt>
          <c:dPt>
            <c:idx val="1"/>
            <c:bubble3D val="0"/>
            <c:spPr>
              <a:solidFill>
                <a:schemeClr val="accent2"/>
              </a:solidFill>
              <a:ln w="15875">
                <a:solidFill>
                  <a:sysClr val="window" lastClr="FFFFFF"/>
                </a:solidFill>
              </a:ln>
            </c:spPr>
          </c:dPt>
          <c:dPt>
            <c:idx val="2"/>
            <c:bubble3D val="0"/>
            <c:spPr>
              <a:solidFill>
                <a:srgbClr val="1201ED"/>
              </a:solidFill>
              <a:ln w="15875">
                <a:solidFill>
                  <a:sysClr val="window" lastClr="FFFFFF"/>
                </a:solidFill>
              </a:ln>
            </c:spPr>
          </c:dPt>
          <c:dPt>
            <c:idx val="3"/>
            <c:bubble3D val="0"/>
            <c:spPr>
              <a:solidFill>
                <a:srgbClr val="7030A0"/>
              </a:solidFill>
              <a:ln w="15875">
                <a:solidFill>
                  <a:sysClr val="window" lastClr="FFFFFF"/>
                </a:solidFill>
              </a:ln>
            </c:spPr>
          </c:dPt>
          <c:dPt>
            <c:idx val="4"/>
            <c:bubble3D val="0"/>
            <c:spPr>
              <a:solidFill>
                <a:srgbClr val="FF9900"/>
              </a:solidFill>
              <a:ln w="15875">
                <a:solidFill>
                  <a:sysClr val="window" lastClr="FFFFFF"/>
                </a:solidFill>
              </a:ln>
            </c:spPr>
          </c:dPt>
          <c:dPt>
            <c:idx val="5"/>
            <c:bubble3D val="0"/>
            <c:spPr>
              <a:solidFill>
                <a:schemeClr val="bg2">
                  <a:lumMod val="50000"/>
                </a:schemeClr>
              </a:solidFill>
              <a:ln w="15875">
                <a:solidFill>
                  <a:sysClr val="window" lastClr="FFFFFF"/>
                </a:solidFill>
              </a:ln>
            </c:spPr>
          </c:dPt>
          <c:dLbls>
            <c:dLbl>
              <c:idx val="0"/>
              <c:layout>
                <c:manualLayout>
                  <c:x val="-0.22109886264217"/>
                  <c:y val="-0.23171551472732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325043744531934"/>
                  <c:y val="0.085344488188976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46080384530247"/>
                  <c:y val="-0.04234142607174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313155928501638"/>
                  <c:y val="-0.18589311752697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32761154855643"/>
                  <c:y val="0.16645851560221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216384882582746"/>
                  <c:y val="0.045182633420822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Times New Roman" panose="02020603050405020304" charset="0"/>
                    <a:ea typeface="楷体" panose="02010609060101010101" pitchFamily="49" charset="-122"/>
                    <a:cs typeface="Times New Roman" panose="02020603050405020304" charset="0"/>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入河排污口分析!$M$1:$M$6</c:f>
              <c:strCache>
                <c:ptCount val="6"/>
                <c:pt idx="0">
                  <c:v>忠信河</c:v>
                </c:pt>
                <c:pt idx="1">
                  <c:v>茶新水</c:v>
                </c:pt>
                <c:pt idx="2">
                  <c:v>茅岭水</c:v>
                </c:pt>
                <c:pt idx="3">
                  <c:v>赤竹径河</c:v>
                </c:pt>
                <c:pt idx="4">
                  <c:v>高陂水</c:v>
                </c:pt>
                <c:pt idx="5">
                  <c:v>南坑溪</c:v>
                </c:pt>
              </c:strCache>
            </c:strRef>
          </c:cat>
          <c:val>
            <c:numRef>
              <c:f>入河排污口分析!$P$1:$P$6</c:f>
              <c:numCache>
                <c:formatCode>General</c:formatCode>
                <c:ptCount val="6"/>
                <c:pt idx="0">
                  <c:v>0.797183098591549</c:v>
                </c:pt>
                <c:pt idx="1">
                  <c:v>0.00563380281690141</c:v>
                </c:pt>
                <c:pt idx="2">
                  <c:v>0.0028169014084507</c:v>
                </c:pt>
                <c:pt idx="3">
                  <c:v>0.0028169014084507</c:v>
                </c:pt>
                <c:pt idx="4">
                  <c:v>0.183098591549296</c:v>
                </c:pt>
                <c:pt idx="5">
                  <c:v>0.00845070422535211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100">
                <a:latin typeface="楷体" panose="02010609060101010101" pitchFamily="49" charset="-122"/>
                <a:ea typeface="楷体" panose="02010609060101010101" pitchFamily="49" charset="-122"/>
              </a:rPr>
              <a:t>连平河</a:t>
            </a:r>
            <a:endParaRPr lang="zh-CN" altLang="en-US" sz="1100">
              <a:latin typeface="楷体" panose="02010609060101010101" pitchFamily="49" charset="-122"/>
              <a:ea typeface="楷体" panose="02010609060101010101" pitchFamily="49" charset="-122"/>
            </a:endParaRPr>
          </a:p>
        </c:rich>
      </c:tx>
      <c:layout>
        <c:manualLayout>
          <c:xMode val="edge"/>
          <c:yMode val="edge"/>
          <c:x val="0.405642086709964"/>
          <c:y val="0"/>
        </c:manualLayout>
      </c:layout>
      <c:overlay val="0"/>
    </c:title>
    <c:autoTitleDeleted val="0"/>
    <c:plotArea>
      <c:layout>
        <c:manualLayout>
          <c:layoutTarget val="inner"/>
          <c:xMode val="edge"/>
          <c:yMode val="edge"/>
          <c:x val="0.109649596720118"/>
          <c:y val="0.166542182227222"/>
          <c:w val="0.77032017339296"/>
          <c:h val="0.818821813939924"/>
        </c:manualLayout>
      </c:layout>
      <c:pieChart>
        <c:varyColors val="1"/>
        <c:ser>
          <c:idx val="0"/>
          <c:order val="0"/>
          <c:spPr>
            <a:ln>
              <a:solidFill>
                <a:schemeClr val="bg1"/>
              </a:solidFill>
            </a:ln>
          </c:spPr>
          <c:explosion val="0"/>
          <c:dPt>
            <c:idx val="0"/>
            <c:bubble3D val="0"/>
            <c:spPr>
              <a:solidFill>
                <a:srgbClr val="008000"/>
              </a:solidFill>
              <a:ln>
                <a:solidFill>
                  <a:schemeClr val="bg1"/>
                </a:solidFill>
              </a:ln>
            </c:spPr>
          </c:dPt>
          <c:dPt>
            <c:idx val="1"/>
            <c:bubble3D val="0"/>
            <c:spPr>
              <a:solidFill>
                <a:schemeClr val="accent2"/>
              </a:solidFill>
              <a:ln>
                <a:solidFill>
                  <a:schemeClr val="bg1"/>
                </a:solidFill>
              </a:ln>
            </c:spPr>
          </c:dPt>
          <c:dPt>
            <c:idx val="2"/>
            <c:bubble3D val="0"/>
            <c:spPr>
              <a:solidFill>
                <a:srgbClr val="1201ED"/>
              </a:solidFill>
              <a:ln>
                <a:solidFill>
                  <a:schemeClr val="bg1"/>
                </a:solidFill>
              </a:ln>
            </c:spPr>
          </c:dPt>
          <c:dPt>
            <c:idx val="3"/>
            <c:bubble3D val="0"/>
            <c:spPr>
              <a:solidFill>
                <a:srgbClr val="7030A0"/>
              </a:solidFill>
              <a:ln>
                <a:solidFill>
                  <a:schemeClr val="bg1"/>
                </a:solidFill>
              </a:ln>
            </c:spPr>
          </c:dPt>
          <c:dPt>
            <c:idx val="4"/>
            <c:bubble3D val="0"/>
            <c:spPr>
              <a:solidFill>
                <a:srgbClr val="FF9900"/>
              </a:solidFill>
              <a:ln>
                <a:solidFill>
                  <a:schemeClr val="bg1"/>
                </a:solidFill>
              </a:ln>
            </c:spPr>
          </c:dPt>
          <c:dPt>
            <c:idx val="5"/>
            <c:bubble3D val="0"/>
            <c:spPr>
              <a:solidFill>
                <a:schemeClr val="bg2">
                  <a:lumMod val="50000"/>
                </a:schemeClr>
              </a:solidFill>
              <a:ln>
                <a:solidFill>
                  <a:schemeClr val="bg1"/>
                </a:solidFill>
              </a:ln>
            </c:spPr>
          </c:dPt>
          <c:dPt>
            <c:idx val="6"/>
            <c:bubble3D val="0"/>
            <c:spPr>
              <a:ln>
                <a:solidFill>
                  <a:schemeClr val="bg1"/>
                </a:solidFill>
              </a:ln>
            </c:spPr>
          </c:dPt>
          <c:dLbls>
            <c:dLbl>
              <c:idx val="0"/>
              <c:layout>
                <c:manualLayout>
                  <c:x val="0.0124777286050922"/>
                  <c:y val="-0.19004884806065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
                  <c:y val="0.064814450277048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84226670461373"/>
                  <c:y val="0.17525116652085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391271529015077"/>
                  <c:y val="-0.02524146981627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43549205739526"/>
                  <c:y val="0.041458151064450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108771207520629"/>
                  <c:y val="0.16478310002916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Times New Roman" panose="02020603050405020304" charset="0"/>
                    <a:ea typeface="楷体" panose="02010609060101010101" pitchFamily="49" charset="-122"/>
                    <a:cs typeface="Times New Roman" panose="02020603050405020304" charset="0"/>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入河排污口分析!$M$7:$M$13</c:f>
              <c:strCache>
                <c:ptCount val="7"/>
                <c:pt idx="0">
                  <c:v>连平河</c:v>
                </c:pt>
                <c:pt idx="1">
                  <c:v>岑告水</c:v>
                </c:pt>
                <c:pt idx="2">
                  <c:v>密溪河</c:v>
                </c:pt>
                <c:pt idx="3">
                  <c:v>密溪河支流</c:v>
                </c:pt>
                <c:pt idx="4">
                  <c:v>岐山水</c:v>
                </c:pt>
                <c:pt idx="5">
                  <c:v>松平河</c:v>
                </c:pt>
                <c:pt idx="6">
                  <c:v>崧头河</c:v>
                </c:pt>
              </c:strCache>
            </c:strRef>
          </c:cat>
          <c:val>
            <c:numRef>
              <c:f>入河排污口分析!$P$7:$P$13</c:f>
              <c:numCache>
                <c:formatCode>General</c:formatCode>
                <c:ptCount val="7"/>
                <c:pt idx="0">
                  <c:v>0.402097902097902</c:v>
                </c:pt>
                <c:pt idx="1">
                  <c:v>0.0034965034965035</c:v>
                </c:pt>
                <c:pt idx="2">
                  <c:v>0.363636363636364</c:v>
                </c:pt>
                <c:pt idx="3">
                  <c:v>0.0104895104895105</c:v>
                </c:pt>
                <c:pt idx="4">
                  <c:v>0.0104895104895105</c:v>
                </c:pt>
                <c:pt idx="5">
                  <c:v>0.00699300699300699</c:v>
                </c:pt>
                <c:pt idx="6">
                  <c:v>0.202797202797203</c:v>
                </c:pt>
              </c:numCache>
            </c:numRef>
          </c:val>
        </c:ser>
        <c:dLbls>
          <c:showLegendKey val="0"/>
          <c:showVal val="0"/>
          <c:showCatName val="0"/>
          <c:showSerName val="0"/>
          <c:showPercent val="0"/>
          <c:showBubbleSize val="0"/>
          <c:showLeaderLines val="1"/>
        </c:dLbls>
        <c:firstSliceAng val="110"/>
      </c:pieChart>
    </c:plotArea>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100">
                <a:latin typeface="楷体" panose="02010609060101010101" pitchFamily="49" charset="-122"/>
                <a:ea typeface="楷体" panose="02010609060101010101" pitchFamily="49" charset="-122"/>
              </a:rPr>
              <a:t>大席河</a:t>
            </a:r>
            <a:endParaRPr lang="zh-CN" altLang="en-US" sz="1100">
              <a:latin typeface="楷体" panose="02010609060101010101" pitchFamily="49" charset="-122"/>
              <a:ea typeface="楷体" panose="02010609060101010101" pitchFamily="49" charset="-122"/>
            </a:endParaRPr>
          </a:p>
        </c:rich>
      </c:tx>
      <c:layout>
        <c:manualLayout>
          <c:xMode val="edge"/>
          <c:yMode val="edge"/>
          <c:x val="0.405642086709964"/>
          <c:y val="0"/>
        </c:manualLayout>
      </c:layout>
      <c:overlay val="0"/>
    </c:title>
    <c:autoTitleDeleted val="0"/>
    <c:plotArea>
      <c:layout>
        <c:manualLayout>
          <c:layoutTarget val="inner"/>
          <c:xMode val="edge"/>
          <c:yMode val="edge"/>
          <c:x val="0.123178726746748"/>
          <c:y val="0.09930701370662"/>
          <c:w val="0.772365658240088"/>
          <c:h val="0.815274861475649"/>
        </c:manualLayout>
      </c:layout>
      <c:pieChart>
        <c:varyColors val="1"/>
        <c:ser>
          <c:idx val="0"/>
          <c:order val="0"/>
          <c:spPr>
            <a:ln>
              <a:solidFill>
                <a:schemeClr val="bg1"/>
              </a:solidFill>
            </a:ln>
          </c:spPr>
          <c:explosion val="0"/>
          <c:dPt>
            <c:idx val="0"/>
            <c:bubble3D val="0"/>
            <c:spPr>
              <a:solidFill>
                <a:srgbClr val="008000"/>
              </a:solidFill>
              <a:ln>
                <a:solidFill>
                  <a:schemeClr val="bg1"/>
                </a:solidFill>
              </a:ln>
            </c:spPr>
          </c:dPt>
          <c:dPt>
            <c:idx val="1"/>
            <c:bubble3D val="0"/>
            <c:spPr>
              <a:solidFill>
                <a:schemeClr val="accent2"/>
              </a:solidFill>
              <a:ln>
                <a:solidFill>
                  <a:schemeClr val="bg1"/>
                </a:solidFill>
              </a:ln>
            </c:spPr>
          </c:dPt>
          <c:dPt>
            <c:idx val="2"/>
            <c:bubble3D val="0"/>
            <c:spPr>
              <a:solidFill>
                <a:srgbClr val="1201ED"/>
              </a:solidFill>
              <a:ln>
                <a:solidFill>
                  <a:schemeClr val="bg1"/>
                </a:solidFill>
              </a:ln>
            </c:spPr>
          </c:dPt>
          <c:dLbls>
            <c:dLbl>
              <c:idx val="0"/>
              <c:layout>
                <c:manualLayout>
                  <c:x val="0.0611391459279269"/>
                  <c:y val="-0.24560440361621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227721899726038"/>
                  <c:y val="-0.03965551181102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54449872598042"/>
                  <c:y val="0.23080672207640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Times New Roman" panose="02020603050405020304" charset="0"/>
                    <a:ea typeface="楷体" panose="02010609060101010101" pitchFamily="49" charset="-122"/>
                    <a:cs typeface="Times New Roman" panose="02020603050405020304" charset="0"/>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入河排污口分析!$M$14:$M$16</c:f>
              <c:strCache>
                <c:ptCount val="3"/>
                <c:pt idx="0">
                  <c:v>大席河</c:v>
                </c:pt>
                <c:pt idx="1">
                  <c:v>留洞河</c:v>
                </c:pt>
                <c:pt idx="2">
                  <c:v>小水河</c:v>
                </c:pt>
              </c:strCache>
            </c:strRef>
          </c:cat>
          <c:val>
            <c:numRef>
              <c:f>入河排污口分析!$P$14:$P$16</c:f>
              <c:numCache>
                <c:formatCode>General</c:formatCode>
                <c:ptCount val="3"/>
                <c:pt idx="0">
                  <c:v>0.698924731182796</c:v>
                </c:pt>
                <c:pt idx="1">
                  <c:v>0.010752688172043</c:v>
                </c:pt>
                <c:pt idx="2">
                  <c:v>0.290322580645161</c:v>
                </c:pt>
              </c:numCache>
            </c:numRef>
          </c:val>
        </c:ser>
        <c:dLbls>
          <c:showLegendKey val="0"/>
          <c:showVal val="0"/>
          <c:showCatName val="0"/>
          <c:showSerName val="0"/>
          <c:showPercent val="0"/>
          <c:showBubbleSize val="0"/>
          <c:showLeaderLines val="1"/>
        </c:dLbls>
        <c:firstSliceAng val="60"/>
      </c:pieChart>
    </c:plotArea>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100">
                <a:latin typeface="楷体" panose="02010609060101010101" pitchFamily="49" charset="-122"/>
                <a:ea typeface="楷体" panose="02010609060101010101" pitchFamily="49" charset="-122"/>
              </a:rPr>
              <a:t>大湖河</a:t>
            </a:r>
            <a:endParaRPr lang="zh-CN" altLang="en-US" sz="1100">
              <a:latin typeface="楷体" panose="02010609060101010101" pitchFamily="49" charset="-122"/>
              <a:ea typeface="楷体" panose="02010609060101010101" pitchFamily="49" charset="-122"/>
            </a:endParaRPr>
          </a:p>
        </c:rich>
      </c:tx>
      <c:layout>
        <c:manualLayout>
          <c:xMode val="edge"/>
          <c:yMode val="edge"/>
          <c:x val="0.415374446807288"/>
          <c:y val="0"/>
        </c:manualLayout>
      </c:layout>
      <c:overlay val="0"/>
    </c:title>
    <c:autoTitleDeleted val="0"/>
    <c:plotArea>
      <c:layout>
        <c:manualLayout>
          <c:layoutTarget val="inner"/>
          <c:xMode val="edge"/>
          <c:yMode val="edge"/>
          <c:x val="0.134723894807267"/>
          <c:y val="0.0946773840769904"/>
          <c:w val="0.797818606007582"/>
          <c:h val="0.847682268883056"/>
        </c:manualLayout>
      </c:layout>
      <c:pieChart>
        <c:varyColors val="1"/>
        <c:ser>
          <c:idx val="0"/>
          <c:order val="0"/>
          <c:spPr>
            <a:ln>
              <a:solidFill>
                <a:schemeClr val="bg1"/>
              </a:solidFill>
            </a:ln>
          </c:spPr>
          <c:explosion val="0"/>
          <c:dPt>
            <c:idx val="0"/>
            <c:bubble3D val="0"/>
            <c:spPr>
              <a:solidFill>
                <a:srgbClr val="008000"/>
              </a:solidFill>
              <a:ln>
                <a:solidFill>
                  <a:schemeClr val="bg1"/>
                </a:solidFill>
              </a:ln>
            </c:spPr>
          </c:dPt>
          <c:dPt>
            <c:idx val="1"/>
            <c:bubble3D val="0"/>
            <c:spPr>
              <a:solidFill>
                <a:schemeClr val="accent2"/>
              </a:solidFill>
              <a:ln>
                <a:solidFill>
                  <a:schemeClr val="bg1"/>
                </a:solidFill>
              </a:ln>
            </c:spPr>
          </c:dPt>
          <c:dPt>
            <c:idx val="2"/>
            <c:bubble3D val="0"/>
            <c:spPr>
              <a:solidFill>
                <a:srgbClr val="1201ED"/>
              </a:solidFill>
              <a:ln>
                <a:solidFill>
                  <a:schemeClr val="bg1"/>
                </a:solidFill>
              </a:ln>
            </c:spPr>
          </c:dPt>
          <c:dLbls>
            <c:dLbl>
              <c:idx val="0"/>
              <c:layout>
                <c:manualLayout>
                  <c:x val="-0.0994444125141292"/>
                  <c:y val="-0.23634514435695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7772668927333"/>
                  <c:y val="-0.016507728200641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91250455006993"/>
                  <c:y val="0.19839931466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Times New Roman" panose="02020603050405020304" charset="0"/>
                    <a:ea typeface="楷体" panose="02010609060101010101" pitchFamily="49" charset="-122"/>
                    <a:cs typeface="Times New Roman" panose="02020603050405020304" charset="0"/>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入河排污口分析!$M$17:$M$19</c:f>
              <c:strCache>
                <c:ptCount val="3"/>
                <c:pt idx="0">
                  <c:v>大湖水</c:v>
                </c:pt>
                <c:pt idx="1">
                  <c:v>河洞水</c:v>
                </c:pt>
                <c:pt idx="2">
                  <c:v>小溪尾水</c:v>
                </c:pt>
              </c:strCache>
            </c:strRef>
          </c:cat>
          <c:val>
            <c:numRef>
              <c:f>入河排污口分析!$P$17:$P$19</c:f>
              <c:numCache>
                <c:formatCode>General</c:formatCode>
                <c:ptCount val="3"/>
                <c:pt idx="0">
                  <c:v>0.726315789473684</c:v>
                </c:pt>
                <c:pt idx="1">
                  <c:v>0.0315789473684211</c:v>
                </c:pt>
                <c:pt idx="2">
                  <c:v>0.242105263157895</c:v>
                </c:pt>
              </c:numCache>
            </c:numRef>
          </c:val>
        </c:ser>
        <c:dLbls>
          <c:showLegendKey val="0"/>
          <c:showVal val="0"/>
          <c:showCatName val="0"/>
          <c:showSerName val="0"/>
          <c:showPercent val="0"/>
          <c:showBubbleSize val="0"/>
          <c:showLeaderLines val="1"/>
        </c:dLbls>
        <c:firstSliceAng val="40"/>
      </c:pieChart>
    </c:plotArea>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722222222222"/>
          <c:y val="0.0393518518518519"/>
          <c:w val="0.561111111111111"/>
          <c:h val="0.935185185185185"/>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0"/>
              <c:layout>
                <c:manualLayout>
                  <c:x val="0.0373143044619423"/>
                  <c:y val="-0.13732830271216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447430008748906"/>
                  <c:y val="-0.048862277631962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98597987751531"/>
                  <c:y val="0.0032276173811606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384507874015748"/>
                  <c:y val="0.018881962671332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328932633420822"/>
                  <c:y val="0.032254666083406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0910629921259842"/>
                  <c:y val="0.027232429279673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148473315835521"/>
                  <c:y val="0.0074117818606007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347136920384952"/>
                  <c:y val="0.0024351122776319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Times New Roman" panose="02020603050405020304" charset="0"/>
                    <a:ea typeface="楷体" panose="02010609060101010101" pitchFamily="49" charset="-122"/>
                    <a:cs typeface="Times New Roman" panose="02020603050405020304" charset="0"/>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三调湿地面积!$A$1:$A$13</c:f>
              <c:strCache>
                <c:ptCount val="13"/>
                <c:pt idx="0">
                  <c:v>高莞镇</c:v>
                </c:pt>
                <c:pt idx="1">
                  <c:v>陂头镇</c:v>
                </c:pt>
                <c:pt idx="2">
                  <c:v>大湖镇</c:v>
                </c:pt>
                <c:pt idx="3">
                  <c:v>田源镇</c:v>
                </c:pt>
                <c:pt idx="4">
                  <c:v>隆街镇</c:v>
                </c:pt>
                <c:pt idx="5">
                  <c:v>三角镇</c:v>
                </c:pt>
                <c:pt idx="6">
                  <c:v>绣缎镇</c:v>
                </c:pt>
                <c:pt idx="7">
                  <c:v>溪山镇</c:v>
                </c:pt>
                <c:pt idx="8">
                  <c:v>上坪镇</c:v>
                </c:pt>
                <c:pt idx="9">
                  <c:v>忠信镇</c:v>
                </c:pt>
                <c:pt idx="10">
                  <c:v>内莞镇</c:v>
                </c:pt>
                <c:pt idx="11">
                  <c:v>元善镇</c:v>
                </c:pt>
                <c:pt idx="12">
                  <c:v>油溪镇</c:v>
                </c:pt>
              </c:strCache>
            </c:strRef>
          </c:cat>
          <c:val>
            <c:numRef>
              <c:f>三调湿地面积!$C$1:$C$13</c:f>
              <c:numCache>
                <c:formatCode>General</c:formatCode>
                <c:ptCount val="13"/>
                <c:pt idx="0">
                  <c:v>0</c:v>
                </c:pt>
                <c:pt idx="1">
                  <c:v>0.00757575757575757</c:v>
                </c:pt>
                <c:pt idx="2">
                  <c:v>0.0159489633173844</c:v>
                </c:pt>
                <c:pt idx="3">
                  <c:v>0.0221956406166932</c:v>
                </c:pt>
                <c:pt idx="4">
                  <c:v>0.0320308346624136</c:v>
                </c:pt>
                <c:pt idx="5">
                  <c:v>0.0497076023391813</c:v>
                </c:pt>
                <c:pt idx="6">
                  <c:v>0.0534290271132376</c:v>
                </c:pt>
                <c:pt idx="7">
                  <c:v>0.0700425305688464</c:v>
                </c:pt>
                <c:pt idx="8">
                  <c:v>0.106592238171186</c:v>
                </c:pt>
                <c:pt idx="9">
                  <c:v>0.115762892078682</c:v>
                </c:pt>
                <c:pt idx="10">
                  <c:v>0.140882509303562</c:v>
                </c:pt>
                <c:pt idx="11">
                  <c:v>0.192849548112706</c:v>
                </c:pt>
                <c:pt idx="12">
                  <c:v>0.192982456140351</c:v>
                </c:pt>
              </c:numCache>
            </c:numRef>
          </c:val>
        </c:ser>
        <c:dLbls>
          <c:showLegendKey val="0"/>
          <c:showVal val="0"/>
          <c:showCatName val="0"/>
          <c:showSerName val="0"/>
          <c:showPercent val="0"/>
          <c:showBubbleSize val="0"/>
          <c:showLeaderLines val="1"/>
        </c:dLbls>
        <c:firstSliceAng val="50"/>
      </c:pieChart>
    </c:plotArea>
    <c:plotVisOnly val="1"/>
    <c:dispBlanksAs val="gap"/>
    <c:showDLblsOverMax val="0"/>
  </c:chart>
  <c:spPr>
    <a:ln w="9525" cap="flat" cmpd="sng" algn="ctr">
      <a:solidFill>
        <a:sysClr val="window" lastClr="FFFFFF">
          <a:lumMod val="85000"/>
        </a:sysClr>
      </a:solid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288353196357"/>
          <c:y val="0.0201970655307431"/>
          <c:w val="0.812129266277566"/>
          <c:h val="0.744573075906495"/>
        </c:manualLayout>
      </c:layout>
      <c:barChart>
        <c:barDir val="col"/>
        <c:grouping val="clustered"/>
        <c:varyColors val="0"/>
        <c:ser>
          <c:idx val="0"/>
          <c:order val="0"/>
          <c:tx>
            <c:strRef>
              <c:f>小水电!$E$21</c:f>
              <c:strCache>
                <c:ptCount val="1"/>
                <c:pt idx="0">
                  <c:v>整改类电站数量（宗）</c:v>
                </c:pt>
              </c:strCache>
            </c:strRef>
          </c:tx>
          <c:invertIfNegative val="0"/>
          <c:dLbls>
            <c:dLbl>
              <c:idx val="0"/>
              <c:layout>
                <c:manualLayout>
                  <c:x val="0"/>
                  <c:y val="0.010840108401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4672206832872"/>
                  <c:y val="0.05691056910569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77123602864221e-17"/>
                  <c:y val="0.0162601626016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小水电!$D$22:$D$34</c:f>
              <c:strCache>
                <c:ptCount val="13"/>
                <c:pt idx="0">
                  <c:v>油溪镇</c:v>
                </c:pt>
                <c:pt idx="1">
                  <c:v>隆街镇</c:v>
                </c:pt>
                <c:pt idx="2">
                  <c:v>内莞镇</c:v>
                </c:pt>
                <c:pt idx="3">
                  <c:v>田源镇</c:v>
                </c:pt>
                <c:pt idx="4">
                  <c:v>元善镇</c:v>
                </c:pt>
                <c:pt idx="5">
                  <c:v>陂头镇</c:v>
                </c:pt>
                <c:pt idx="6">
                  <c:v>溪山镇</c:v>
                </c:pt>
                <c:pt idx="7">
                  <c:v>上坪镇</c:v>
                </c:pt>
                <c:pt idx="8">
                  <c:v>三角镇</c:v>
                </c:pt>
                <c:pt idx="9">
                  <c:v>忠信镇</c:v>
                </c:pt>
                <c:pt idx="10">
                  <c:v>大湖镇</c:v>
                </c:pt>
                <c:pt idx="11">
                  <c:v>绣缎镇</c:v>
                </c:pt>
                <c:pt idx="12">
                  <c:v>高莞镇</c:v>
                </c:pt>
              </c:strCache>
            </c:strRef>
          </c:cat>
          <c:val>
            <c:numRef>
              <c:f>小水电!$E$22:$E$34</c:f>
              <c:numCache>
                <c:formatCode>General</c:formatCode>
                <c:ptCount val="13"/>
                <c:pt idx="0">
                  <c:v>43</c:v>
                </c:pt>
                <c:pt idx="1">
                  <c:v>34</c:v>
                </c:pt>
                <c:pt idx="2">
                  <c:v>37</c:v>
                </c:pt>
                <c:pt idx="3">
                  <c:v>10</c:v>
                </c:pt>
                <c:pt idx="4">
                  <c:v>20</c:v>
                </c:pt>
                <c:pt idx="5">
                  <c:v>28</c:v>
                </c:pt>
                <c:pt idx="6">
                  <c:v>15</c:v>
                </c:pt>
                <c:pt idx="7">
                  <c:v>21</c:v>
                </c:pt>
                <c:pt idx="8">
                  <c:v>1</c:v>
                </c:pt>
                <c:pt idx="9">
                  <c:v>4</c:v>
                </c:pt>
                <c:pt idx="10">
                  <c:v>4</c:v>
                </c:pt>
                <c:pt idx="11">
                  <c:v>1</c:v>
                </c:pt>
                <c:pt idx="12">
                  <c:v>4</c:v>
                </c:pt>
              </c:numCache>
            </c:numRef>
          </c:val>
        </c:ser>
        <c:ser>
          <c:idx val="1"/>
          <c:order val="1"/>
          <c:tx>
            <c:strRef>
              <c:f>小水电!$F$21</c:f>
              <c:strCache>
                <c:ptCount val="1"/>
                <c:pt idx="0">
                  <c:v>未建生态流量泄放设施（宗）</c:v>
                </c:pt>
              </c:strCache>
            </c:strRef>
          </c:tx>
          <c:invertIfNegative val="0"/>
          <c:dLbls>
            <c:dLbl>
              <c:idx val="1"/>
              <c:layout>
                <c:manualLayout>
                  <c:x val="0"/>
                  <c:y val="0.0162601626016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8561801432111e-17"/>
                  <c:y val="0.06233062330623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35501355013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77123602864221e-17"/>
                  <c:y val="0.0135501355013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小水电!$D$22:$D$34</c:f>
              <c:strCache>
                <c:ptCount val="13"/>
                <c:pt idx="0">
                  <c:v>油溪镇</c:v>
                </c:pt>
                <c:pt idx="1">
                  <c:v>隆街镇</c:v>
                </c:pt>
                <c:pt idx="2">
                  <c:v>内莞镇</c:v>
                </c:pt>
                <c:pt idx="3">
                  <c:v>田源镇</c:v>
                </c:pt>
                <c:pt idx="4">
                  <c:v>元善镇</c:v>
                </c:pt>
                <c:pt idx="5">
                  <c:v>陂头镇</c:v>
                </c:pt>
                <c:pt idx="6">
                  <c:v>溪山镇</c:v>
                </c:pt>
                <c:pt idx="7">
                  <c:v>上坪镇</c:v>
                </c:pt>
                <c:pt idx="8">
                  <c:v>三角镇</c:v>
                </c:pt>
                <c:pt idx="9">
                  <c:v>忠信镇</c:v>
                </c:pt>
                <c:pt idx="10">
                  <c:v>大湖镇</c:v>
                </c:pt>
                <c:pt idx="11">
                  <c:v>绣缎镇</c:v>
                </c:pt>
                <c:pt idx="12">
                  <c:v>高莞镇</c:v>
                </c:pt>
              </c:strCache>
            </c:strRef>
          </c:cat>
          <c:val>
            <c:numRef>
              <c:f>小水电!$F$22:$F$34</c:f>
              <c:numCache>
                <c:formatCode>General</c:formatCode>
                <c:ptCount val="13"/>
                <c:pt idx="0">
                  <c:v>18</c:v>
                </c:pt>
                <c:pt idx="1">
                  <c:v>11</c:v>
                </c:pt>
                <c:pt idx="2">
                  <c:v>6</c:v>
                </c:pt>
                <c:pt idx="3">
                  <c:v>3</c:v>
                </c:pt>
                <c:pt idx="4">
                  <c:v>6</c:v>
                </c:pt>
                <c:pt idx="5">
                  <c:v>8</c:v>
                </c:pt>
                <c:pt idx="6">
                  <c:v>7</c:v>
                </c:pt>
                <c:pt idx="7">
                  <c:v>4</c:v>
                </c:pt>
                <c:pt idx="8">
                  <c:v>1</c:v>
                </c:pt>
                <c:pt idx="9">
                  <c:v>1</c:v>
                </c:pt>
                <c:pt idx="10">
                  <c:v>1</c:v>
                </c:pt>
                <c:pt idx="11">
                  <c:v>1</c:v>
                </c:pt>
                <c:pt idx="12">
                  <c:v>1</c:v>
                </c:pt>
              </c:numCache>
            </c:numRef>
          </c:val>
        </c:ser>
        <c:ser>
          <c:idx val="2"/>
          <c:order val="2"/>
          <c:tx>
            <c:strRef>
              <c:f>小水电!$G$21</c:f>
              <c:strCache>
                <c:ptCount val="1"/>
                <c:pt idx="0">
                  <c:v>未装设生态流量监测监控设施（宗）</c:v>
                </c:pt>
              </c:strCache>
            </c:strRef>
          </c:tx>
          <c:invertIfNegative val="0"/>
          <c:dLbls>
            <c:dLbl>
              <c:idx val="0"/>
              <c:layout>
                <c:manualLayout>
                  <c:x val="0"/>
                  <c:y val="0.008130081300813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77123602864221e-17"/>
                  <c:y val="0.0162601626016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小水电!$D$22:$D$34</c:f>
              <c:strCache>
                <c:ptCount val="13"/>
                <c:pt idx="0">
                  <c:v>油溪镇</c:v>
                </c:pt>
                <c:pt idx="1">
                  <c:v>隆街镇</c:v>
                </c:pt>
                <c:pt idx="2">
                  <c:v>内莞镇</c:v>
                </c:pt>
                <c:pt idx="3">
                  <c:v>田源镇</c:v>
                </c:pt>
                <c:pt idx="4">
                  <c:v>元善镇</c:v>
                </c:pt>
                <c:pt idx="5">
                  <c:v>陂头镇</c:v>
                </c:pt>
                <c:pt idx="6">
                  <c:v>溪山镇</c:v>
                </c:pt>
                <c:pt idx="7">
                  <c:v>上坪镇</c:v>
                </c:pt>
                <c:pt idx="8">
                  <c:v>三角镇</c:v>
                </c:pt>
                <c:pt idx="9">
                  <c:v>忠信镇</c:v>
                </c:pt>
                <c:pt idx="10">
                  <c:v>大湖镇</c:v>
                </c:pt>
                <c:pt idx="11">
                  <c:v>绣缎镇</c:v>
                </c:pt>
                <c:pt idx="12">
                  <c:v>高莞镇</c:v>
                </c:pt>
              </c:strCache>
            </c:strRef>
          </c:cat>
          <c:val>
            <c:numRef>
              <c:f>小水电!$G$22:$G$34</c:f>
              <c:numCache>
                <c:formatCode>General</c:formatCode>
                <c:ptCount val="13"/>
                <c:pt idx="0">
                  <c:v>43</c:v>
                </c:pt>
                <c:pt idx="1">
                  <c:v>34</c:v>
                </c:pt>
                <c:pt idx="2">
                  <c:v>37</c:v>
                </c:pt>
                <c:pt idx="3">
                  <c:v>8</c:v>
                </c:pt>
                <c:pt idx="4">
                  <c:v>20</c:v>
                </c:pt>
                <c:pt idx="5">
                  <c:v>27</c:v>
                </c:pt>
                <c:pt idx="6">
                  <c:v>15</c:v>
                </c:pt>
                <c:pt idx="7">
                  <c:v>21</c:v>
                </c:pt>
                <c:pt idx="8">
                  <c:v>1</c:v>
                </c:pt>
                <c:pt idx="9">
                  <c:v>4</c:v>
                </c:pt>
                <c:pt idx="10">
                  <c:v>4</c:v>
                </c:pt>
                <c:pt idx="11">
                  <c:v>1</c:v>
                </c:pt>
                <c:pt idx="12">
                  <c:v>4</c:v>
                </c:pt>
              </c:numCache>
            </c:numRef>
          </c:val>
        </c:ser>
        <c:dLbls>
          <c:showLegendKey val="0"/>
          <c:showVal val="0"/>
          <c:showCatName val="0"/>
          <c:showSerName val="0"/>
          <c:showPercent val="0"/>
          <c:showBubbleSize val="0"/>
        </c:dLbls>
        <c:gapWidth val="150"/>
        <c:axId val="934612992"/>
        <c:axId val="934614528"/>
      </c:barChart>
      <c:lineChart>
        <c:grouping val="standard"/>
        <c:varyColors val="0"/>
        <c:ser>
          <c:idx val="3"/>
          <c:order val="3"/>
          <c:tx>
            <c:strRef>
              <c:f>小水电!$H$21</c:f>
              <c:strCache>
                <c:ptCount val="1"/>
                <c:pt idx="0">
                  <c:v>未建生态流量泄放设施占比（%）</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1"/>
              <c:layout>
                <c:manualLayout>
                  <c:x val="-0.0184672206832872"/>
                  <c:y val="-0.0243902439024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7008310249308"/>
                  <c:y val="-0.0216802168021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32409972299169"/>
                  <c:y val="-0.0189701897018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32409972299169"/>
                  <c:y val="-0.0216802168021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29270544783009"/>
                  <c:y val="-0.0243902439024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40073868882733"/>
                  <c:y val="-0.0189701897018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36934441366575"/>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332409972299169"/>
                  <c:y val="-0.0298102981029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609418282548476"/>
                  <c:y val="-0.0189701897018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332409972299169"/>
                  <c:y val="-0.027100271002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313942751615882"/>
                  <c:y val="0.0298102981029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小水电!$D$22:$D$34</c:f>
              <c:strCache>
                <c:ptCount val="13"/>
                <c:pt idx="0">
                  <c:v>油溪镇</c:v>
                </c:pt>
                <c:pt idx="1">
                  <c:v>隆街镇</c:v>
                </c:pt>
                <c:pt idx="2">
                  <c:v>内莞镇</c:v>
                </c:pt>
                <c:pt idx="3">
                  <c:v>田源镇</c:v>
                </c:pt>
                <c:pt idx="4">
                  <c:v>元善镇</c:v>
                </c:pt>
                <c:pt idx="5">
                  <c:v>陂头镇</c:v>
                </c:pt>
                <c:pt idx="6">
                  <c:v>溪山镇</c:v>
                </c:pt>
                <c:pt idx="7">
                  <c:v>上坪镇</c:v>
                </c:pt>
                <c:pt idx="8">
                  <c:v>三角镇</c:v>
                </c:pt>
                <c:pt idx="9">
                  <c:v>忠信镇</c:v>
                </c:pt>
                <c:pt idx="10">
                  <c:v>大湖镇</c:v>
                </c:pt>
                <c:pt idx="11">
                  <c:v>绣缎镇</c:v>
                </c:pt>
                <c:pt idx="12">
                  <c:v>高莞镇</c:v>
                </c:pt>
              </c:strCache>
            </c:strRef>
          </c:cat>
          <c:val>
            <c:numRef>
              <c:f>小水电!$H$22:$H$34</c:f>
              <c:numCache>
                <c:formatCode>0.00_ </c:formatCode>
                <c:ptCount val="13"/>
                <c:pt idx="0">
                  <c:v>41.8604651162791</c:v>
                </c:pt>
                <c:pt idx="1">
                  <c:v>32.3529411764706</c:v>
                </c:pt>
                <c:pt idx="2">
                  <c:v>16.2162162162162</c:v>
                </c:pt>
                <c:pt idx="3">
                  <c:v>30</c:v>
                </c:pt>
                <c:pt idx="4">
                  <c:v>30</c:v>
                </c:pt>
                <c:pt idx="5">
                  <c:v>28.5714285714286</c:v>
                </c:pt>
                <c:pt idx="6">
                  <c:v>46.6666666666667</c:v>
                </c:pt>
                <c:pt idx="7">
                  <c:v>19.047619047619</c:v>
                </c:pt>
                <c:pt idx="8">
                  <c:v>100</c:v>
                </c:pt>
                <c:pt idx="9">
                  <c:v>25</c:v>
                </c:pt>
                <c:pt idx="10">
                  <c:v>25</c:v>
                </c:pt>
                <c:pt idx="11">
                  <c:v>100</c:v>
                </c:pt>
                <c:pt idx="12">
                  <c:v>25</c:v>
                </c:pt>
              </c:numCache>
            </c:numRef>
          </c:val>
          <c:smooth val="1"/>
        </c:ser>
        <c:ser>
          <c:idx val="4"/>
          <c:order val="4"/>
          <c:tx>
            <c:strRef>
              <c:f>小水电!$I$21</c:f>
              <c:strCache>
                <c:ptCount val="1"/>
                <c:pt idx="0">
                  <c:v>未装设生态流量监测监控设施占比（%）</c:v>
                </c:pt>
              </c:strCache>
            </c:strRef>
          </c:tx>
          <c:spPr>
            <a:ln w="25400" cap="rnd" cmpd="sng" algn="ctr">
              <a:solidFill>
                <a:srgbClr val="008000"/>
              </a:solidFill>
              <a:prstDash val="solid"/>
              <a:round/>
            </a:ln>
          </c:spPr>
          <c:marker>
            <c:symbol val="triangle"/>
            <c:size val="6"/>
            <c:spPr>
              <a:solidFill>
                <a:sysClr val="window" lastClr="FFFFFF"/>
              </a:solidFill>
              <a:ln w="9525" cap="flat" cmpd="sng" algn="ctr">
                <a:solidFill>
                  <a:srgbClr val="008000"/>
                </a:solidFill>
                <a:prstDash val="solid"/>
                <a:round/>
              </a:ln>
            </c:spPr>
          </c:marker>
          <c:dLbls>
            <c:dLbl>
              <c:idx val="0"/>
              <c:layout>
                <c:manualLayout>
                  <c:x val="-0.0332409972299169"/>
                  <c:y val="0.027100271002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95475530932595"/>
                  <c:y val="0.027100271002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21606648199446"/>
                  <c:y val="-0.0243902439024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13942751615882"/>
                  <c:y val="-0.0243902439024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40073868882732"/>
                  <c:y val="0.0298102981029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50877192982456"/>
                  <c:y val="-0.0243902439024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3240997229917"/>
                  <c:y val="0.0325203252032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166204986149584"/>
                  <c:y val="0.0325203252032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184672206832872"/>
                  <c:y val="-0.0216802168021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277008310249307"/>
                  <c:y val="0.0243902439024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166204986149584"/>
                  <c:y val="0.0325203252032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332409972299169"/>
                  <c:y val="-0.027100271002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小水电!$D$22:$D$34</c:f>
              <c:strCache>
                <c:ptCount val="13"/>
                <c:pt idx="0">
                  <c:v>油溪镇</c:v>
                </c:pt>
                <c:pt idx="1">
                  <c:v>隆街镇</c:v>
                </c:pt>
                <c:pt idx="2">
                  <c:v>内莞镇</c:v>
                </c:pt>
                <c:pt idx="3">
                  <c:v>田源镇</c:v>
                </c:pt>
                <c:pt idx="4">
                  <c:v>元善镇</c:v>
                </c:pt>
                <c:pt idx="5">
                  <c:v>陂头镇</c:v>
                </c:pt>
                <c:pt idx="6">
                  <c:v>溪山镇</c:v>
                </c:pt>
                <c:pt idx="7">
                  <c:v>上坪镇</c:v>
                </c:pt>
                <c:pt idx="8">
                  <c:v>三角镇</c:v>
                </c:pt>
                <c:pt idx="9">
                  <c:v>忠信镇</c:v>
                </c:pt>
                <c:pt idx="10">
                  <c:v>大湖镇</c:v>
                </c:pt>
                <c:pt idx="11">
                  <c:v>绣缎镇</c:v>
                </c:pt>
                <c:pt idx="12">
                  <c:v>高莞镇</c:v>
                </c:pt>
              </c:strCache>
            </c:strRef>
          </c:cat>
          <c:val>
            <c:numRef>
              <c:f>小水电!$I$22:$I$34</c:f>
              <c:numCache>
                <c:formatCode>0.00_ </c:formatCode>
                <c:ptCount val="13"/>
                <c:pt idx="0">
                  <c:v>100</c:v>
                </c:pt>
                <c:pt idx="1">
                  <c:v>100</c:v>
                </c:pt>
                <c:pt idx="2">
                  <c:v>100</c:v>
                </c:pt>
                <c:pt idx="3">
                  <c:v>80</c:v>
                </c:pt>
                <c:pt idx="4">
                  <c:v>100</c:v>
                </c:pt>
                <c:pt idx="5">
                  <c:v>96.4285714285714</c:v>
                </c:pt>
                <c:pt idx="6">
                  <c:v>100</c:v>
                </c:pt>
                <c:pt idx="7">
                  <c:v>100</c:v>
                </c:pt>
                <c:pt idx="8">
                  <c:v>100</c:v>
                </c:pt>
                <c:pt idx="9">
                  <c:v>100</c:v>
                </c:pt>
                <c:pt idx="10">
                  <c:v>100</c:v>
                </c:pt>
                <c:pt idx="11">
                  <c:v>100</c:v>
                </c:pt>
                <c:pt idx="12">
                  <c:v>100</c:v>
                </c:pt>
              </c:numCache>
            </c:numRef>
          </c:val>
          <c:smooth val="1"/>
        </c:ser>
        <c:dLbls>
          <c:showLegendKey val="0"/>
          <c:showVal val="0"/>
          <c:showCatName val="0"/>
          <c:showSerName val="0"/>
          <c:showPercent val="0"/>
          <c:showBubbleSize val="0"/>
        </c:dLbls>
        <c:marker val="1"/>
        <c:smooth val="1"/>
        <c:axId val="934647296"/>
        <c:axId val="934616448"/>
      </c:lineChart>
      <c:catAx>
        <c:axId val="934612992"/>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934614528"/>
        <c:crosses val="autoZero"/>
        <c:auto val="1"/>
        <c:lblAlgn val="ctr"/>
        <c:lblOffset val="100"/>
        <c:noMultiLvlLbl val="0"/>
      </c:catAx>
      <c:valAx>
        <c:axId val="934614528"/>
        <c:scaling>
          <c:orientation val="minMax"/>
          <c:max val="45"/>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电站数量</a:t>
                </a:r>
                <a:endParaRPr lang="zh-CN" b="0">
                  <a:latin typeface="等线" panose="02010600030101010101" charset="-122"/>
                  <a:ea typeface="等线" panose="02010600030101010101" charset="-122"/>
                </a:endParaRPr>
              </a:p>
            </c:rich>
          </c:tx>
          <c:layout>
            <c:manualLayout>
              <c:xMode val="edge"/>
              <c:yMode val="edge"/>
              <c:x val="0.00676801826364502"/>
              <c:y val="0.349643731242455"/>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934612992"/>
        <c:crosses val="autoZero"/>
        <c:crossBetween val="between"/>
        <c:majorUnit val="3"/>
      </c:valAx>
      <c:catAx>
        <c:axId val="934647296"/>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34616448"/>
        <c:crosses val="autoZero"/>
        <c:auto val="1"/>
        <c:lblAlgn val="ctr"/>
        <c:lblOffset val="100"/>
        <c:noMultiLvlLbl val="0"/>
      </c:catAx>
      <c:valAx>
        <c:axId val="934616448"/>
        <c:scaling>
          <c:orientation val="minMax"/>
          <c:max val="110"/>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电站占比</a:t>
                </a:r>
                <a:endParaRPr lang="zh-CN" altLang="en-US" b="0">
                  <a:latin typeface="等线" panose="02010600030101010101" charset="-122"/>
                  <a:ea typeface="等线" panose="02010600030101010101" charset="-122"/>
                </a:endParaRPr>
              </a:p>
            </c:rich>
          </c:tx>
          <c:layout>
            <c:manualLayout>
              <c:xMode val="edge"/>
              <c:yMode val="edge"/>
              <c:x val="0.965320449902211"/>
              <c:y val="0.341204912677055"/>
            </c:manualLayout>
          </c:layout>
          <c:overlay val="0"/>
        </c:title>
        <c:numFmt formatCode="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34647296"/>
        <c:crosses val="max"/>
        <c:crossBetween val="between"/>
        <c:majorUnit val="10"/>
      </c:valAx>
      <c:spPr>
        <a:solidFill>
          <a:sysClr val="window" lastClr="FFFFFF">
            <a:lumMod val="95000"/>
          </a:sysClr>
        </a:solidFill>
      </c:spPr>
    </c:plotArea>
    <c:legend>
      <c:legendPos val="b"/>
      <c:layout>
        <c:manualLayout>
          <c:xMode val="edge"/>
          <c:yMode val="edge"/>
          <c:x val="0"/>
          <c:y val="0.850861838991438"/>
          <c:w val="1"/>
          <c:h val="0.14913816100856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183717548498"/>
          <c:y val="0.0224151319927984"/>
          <c:w val="0.748285514943543"/>
          <c:h val="0.821174440733906"/>
        </c:manualLayout>
      </c:layout>
      <c:barChart>
        <c:barDir val="col"/>
        <c:grouping val="clustered"/>
        <c:varyColors val="0"/>
        <c:ser>
          <c:idx val="0"/>
          <c:order val="0"/>
          <c:tx>
            <c:strRef>
              <c:f>林业资源!$A$17</c:f>
              <c:strCache>
                <c:ptCount val="1"/>
                <c:pt idx="0">
                  <c:v>森林总面积（公顷）</c:v>
                </c:pt>
              </c:strCache>
            </c:strRef>
          </c:tx>
          <c:spPr>
            <a:solidFill>
              <a:srgbClr val="006600"/>
            </a:solidFill>
          </c:spPr>
          <c:invertIfNegative val="0"/>
          <c:dLbls>
            <c:dLbl>
              <c:idx val="0"/>
              <c:layout>
                <c:manualLayout>
                  <c:x val="0"/>
                  <c:y val="0.010840108401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84672206832872"/>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4672206832872"/>
                  <c:y val="0.0006518488986345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林业资源!$B$16:$F$16</c:f>
              <c:strCache>
                <c:ptCount val="5"/>
                <c:pt idx="0">
                  <c:v>2018年</c:v>
                </c:pt>
                <c:pt idx="1">
                  <c:v>2019年</c:v>
                </c:pt>
                <c:pt idx="2">
                  <c:v>2020年</c:v>
                </c:pt>
                <c:pt idx="3">
                  <c:v>2021年</c:v>
                </c:pt>
                <c:pt idx="4">
                  <c:v>2022年</c:v>
                </c:pt>
              </c:strCache>
            </c:strRef>
          </c:cat>
          <c:val>
            <c:numRef>
              <c:f>林业资源!$B$17:$F$17</c:f>
              <c:numCache>
                <c:formatCode>0.00_);[Red]\(0.00\)</c:formatCode>
                <c:ptCount val="5"/>
                <c:pt idx="0">
                  <c:v>169404.91</c:v>
                </c:pt>
                <c:pt idx="1">
                  <c:v>169753.44</c:v>
                </c:pt>
                <c:pt idx="2">
                  <c:v>169999.9096</c:v>
                </c:pt>
                <c:pt idx="3">
                  <c:v>170224.5727</c:v>
                </c:pt>
                <c:pt idx="4">
                  <c:v>170263.4122</c:v>
                </c:pt>
              </c:numCache>
            </c:numRef>
          </c:val>
        </c:ser>
        <c:dLbls>
          <c:showLegendKey val="0"/>
          <c:showVal val="0"/>
          <c:showCatName val="0"/>
          <c:showSerName val="0"/>
          <c:showPercent val="0"/>
          <c:showBubbleSize val="0"/>
        </c:dLbls>
        <c:gapWidth val="150"/>
        <c:axId val="506306560"/>
        <c:axId val="506308096"/>
      </c:barChart>
      <c:lineChart>
        <c:grouping val="standard"/>
        <c:varyColors val="0"/>
        <c:ser>
          <c:idx val="1"/>
          <c:order val="1"/>
          <c:tx>
            <c:strRef>
              <c:f>林业资源!$A$18</c:f>
              <c:strCache>
                <c:ptCount val="1"/>
                <c:pt idx="0">
                  <c:v>森林覆盖率（%）</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0"/>
              <c:layout>
                <c:manualLayout>
                  <c:x val="-0.0295475530932595"/>
                  <c:y val="0.033755274261603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95475530932595"/>
                  <c:y val="0.03313775651461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7008310249307"/>
                  <c:y val="0.0370140757721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7008310249307"/>
                  <c:y val="0.030942334739803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77008310249307"/>
                  <c:y val="0.0365682137834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林业资源!$B$16:$F$16</c:f>
              <c:strCache>
                <c:ptCount val="5"/>
                <c:pt idx="0">
                  <c:v>2018年</c:v>
                </c:pt>
                <c:pt idx="1">
                  <c:v>2019年</c:v>
                </c:pt>
                <c:pt idx="2">
                  <c:v>2020年</c:v>
                </c:pt>
                <c:pt idx="3">
                  <c:v>2021年</c:v>
                </c:pt>
                <c:pt idx="4">
                  <c:v>2022年</c:v>
                </c:pt>
              </c:strCache>
            </c:strRef>
          </c:cat>
          <c:val>
            <c:numRef>
              <c:f>林业资源!$B$18:$F$18</c:f>
              <c:numCache>
                <c:formatCode>0.00_);[Red]\(0.00\)</c:formatCode>
                <c:ptCount val="5"/>
                <c:pt idx="0">
                  <c:v>74.46</c:v>
                </c:pt>
                <c:pt idx="1">
                  <c:v>74.58</c:v>
                </c:pt>
                <c:pt idx="2">
                  <c:v>74.72</c:v>
                </c:pt>
                <c:pt idx="3">
                  <c:v>74.82</c:v>
                </c:pt>
                <c:pt idx="4">
                  <c:v>74.83</c:v>
                </c:pt>
              </c:numCache>
            </c:numRef>
          </c:val>
          <c:smooth val="0"/>
        </c:ser>
        <c:dLbls>
          <c:showLegendKey val="0"/>
          <c:showVal val="0"/>
          <c:showCatName val="0"/>
          <c:showSerName val="0"/>
          <c:showPercent val="0"/>
          <c:showBubbleSize val="0"/>
        </c:dLbls>
        <c:marker val="1"/>
        <c:smooth val="0"/>
        <c:axId val="506320384"/>
        <c:axId val="506310016"/>
      </c:lineChart>
      <c:catAx>
        <c:axId val="506306560"/>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506308096"/>
        <c:crosses val="autoZero"/>
        <c:auto val="1"/>
        <c:lblAlgn val="ctr"/>
        <c:lblOffset val="100"/>
        <c:noMultiLvlLbl val="0"/>
      </c:catAx>
      <c:valAx>
        <c:axId val="506308096"/>
        <c:scaling>
          <c:orientation val="minMax"/>
          <c:max val="19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森林总面积（公顷）</a:t>
                </a:r>
                <a:endParaRPr lang="zh-CN" b="0">
                  <a:latin typeface="等线" panose="02010600030101010101" charset="-122"/>
                  <a:ea typeface="等线" panose="02010600030101010101" charset="-122"/>
                </a:endParaRPr>
              </a:p>
            </c:rich>
          </c:tx>
          <c:layout>
            <c:manualLayout>
              <c:xMode val="edge"/>
              <c:yMode val="edge"/>
              <c:x val="0.00676801826364502"/>
              <c:y val="0.349643731242455"/>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506306560"/>
        <c:crosses val="autoZero"/>
        <c:crossBetween val="between"/>
        <c:majorUnit val="20000"/>
      </c:valAx>
      <c:catAx>
        <c:axId val="506320384"/>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06310016"/>
        <c:crosses val="autoZero"/>
        <c:auto val="1"/>
        <c:lblAlgn val="ctr"/>
        <c:lblOffset val="100"/>
        <c:noMultiLvlLbl val="0"/>
      </c:catAx>
      <c:valAx>
        <c:axId val="506310016"/>
        <c:scaling>
          <c:orientation val="minMax"/>
          <c:max val="80"/>
          <c:min val="7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森林覆盖率（</a:t>
                </a:r>
                <a:r>
                  <a:rPr lang="en-US" altLang="zh-CN" b="0">
                    <a:latin typeface="等线" panose="02010600030101010101" charset="-122"/>
                    <a:ea typeface="等线" panose="02010600030101010101" charset="-122"/>
                  </a:rPr>
                  <a:t>%</a:t>
                </a:r>
                <a:r>
                  <a:rPr lang="zh-CN" altLang="en-US" b="0">
                    <a:latin typeface="等线" panose="02010600030101010101" charset="-122"/>
                    <a:ea typeface="等线" panose="02010600030101010101" charset="-122"/>
                  </a:rPr>
                  <a:t>）</a:t>
                </a:r>
                <a:endParaRPr lang="zh-CN" altLang="en-US" b="0">
                  <a:latin typeface="等线" panose="02010600030101010101" charset="-122"/>
                  <a:ea typeface="等线" panose="02010600030101010101" charset="-122"/>
                </a:endParaRPr>
              </a:p>
            </c:rich>
          </c:tx>
          <c:layout>
            <c:manualLayout>
              <c:xMode val="edge"/>
              <c:yMode val="edge"/>
              <c:x val="0.96149773522077"/>
              <c:y val="0.342611382437955"/>
            </c:manualLayout>
          </c:layout>
          <c:overlay val="0"/>
        </c:title>
        <c:numFmt formatCode="#,##0_);[Red]\(#,##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06320384"/>
        <c:crosses val="max"/>
        <c:crossBetween val="between"/>
        <c:minorUnit val="2"/>
      </c:valAx>
      <c:spPr>
        <a:solidFill>
          <a:sysClr val="window" lastClr="FFFFFF">
            <a:lumMod val="95000"/>
          </a:sysClr>
        </a:solidFill>
      </c:spPr>
    </c:plotArea>
    <c:legend>
      <c:legendPos val="b"/>
      <c:layout>
        <c:manualLayout>
          <c:xMode val="edge"/>
          <c:yMode val="edge"/>
          <c:x val="0.0105560222693682"/>
          <c:y val="0.932101177226264"/>
          <c:w val="0.977266186504425"/>
          <c:h val="0.04771919332868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481829046625"/>
          <c:y val="0.0186632591978634"/>
          <c:w val="0.782998120842508"/>
          <c:h val="0.658603674540682"/>
        </c:manualLayout>
      </c:layout>
      <c:barChart>
        <c:barDir val="col"/>
        <c:grouping val="clustered"/>
        <c:varyColors val="0"/>
        <c:ser>
          <c:idx val="0"/>
          <c:order val="0"/>
          <c:tx>
            <c:strRef>
              <c:f>三调数据!$C$19</c:f>
              <c:strCache>
                <c:ptCount val="1"/>
                <c:pt idx="0">
                  <c:v>面积（公顷）</c:v>
                </c:pt>
              </c:strCache>
            </c:strRef>
          </c:tx>
          <c:spPr>
            <a:solidFill>
              <a:srgbClr val="336600"/>
            </a:solidFill>
          </c:spPr>
          <c:invertIfNegative val="0"/>
          <c:dLbls>
            <c:dLbl>
              <c:idx val="0"/>
              <c:layout>
                <c:manualLayout>
                  <c:x val="-0.0107671601615074"/>
                  <c:y val="-0.0008557811852465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28927013262415"/>
                  <c:y val="0.01157128796400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1401850340713e-5"/>
                  <c:y val="0.005514804070543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4666110809152"/>
                  <c:y val="0.01039815198538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3257125754017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6804819852063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8466565851454"/>
                  <c:y val="0.01056875703037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5952380952380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371431426123e-7"/>
                  <c:y val="-0.002759723216416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01488095238095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554017131460324"/>
                  <c:y val="0.006060606060606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0.009090909090909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三调数据!$D$18:$P$18</c:f>
              <c:strCache>
                <c:ptCount val="13"/>
                <c:pt idx="0">
                  <c:v>湿地</c:v>
                </c:pt>
                <c:pt idx="1">
                  <c:v>耕地</c:v>
                </c:pt>
                <c:pt idx="2">
                  <c:v>种植园用地</c:v>
                </c:pt>
                <c:pt idx="3">
                  <c:v>林地</c:v>
                </c:pt>
                <c:pt idx="4">
                  <c:v>草地</c:v>
                </c:pt>
                <c:pt idx="5">
                  <c:v>商业服务业用地</c:v>
                </c:pt>
                <c:pt idx="6">
                  <c:v>工矿用地</c:v>
                </c:pt>
                <c:pt idx="7">
                  <c:v>住宅用地</c:v>
                </c:pt>
                <c:pt idx="8">
                  <c:v>公共管理与公共服务用地</c:v>
                </c:pt>
                <c:pt idx="9">
                  <c:v>特殊用地</c:v>
                </c:pt>
                <c:pt idx="10">
                  <c:v>交通运输用地</c:v>
                </c:pt>
                <c:pt idx="11">
                  <c:v>水域及水利设施用地</c:v>
                </c:pt>
                <c:pt idx="12">
                  <c:v>其他土地</c:v>
                </c:pt>
              </c:strCache>
            </c:strRef>
          </c:cat>
          <c:val>
            <c:numRef>
              <c:f>三调数据!$D$19:$P$19</c:f>
              <c:numCache>
                <c:formatCode>General</c:formatCode>
                <c:ptCount val="13"/>
                <c:pt idx="0">
                  <c:v>75.24</c:v>
                </c:pt>
                <c:pt idx="1">
                  <c:v>14402.22</c:v>
                </c:pt>
                <c:pt idx="2">
                  <c:v>7047.06</c:v>
                </c:pt>
                <c:pt idx="3">
                  <c:v>189930.18</c:v>
                </c:pt>
                <c:pt idx="4">
                  <c:v>1525.67</c:v>
                </c:pt>
                <c:pt idx="5">
                  <c:v>199.75</c:v>
                </c:pt>
                <c:pt idx="6">
                  <c:v>1076.74</c:v>
                </c:pt>
                <c:pt idx="7">
                  <c:v>3560.73</c:v>
                </c:pt>
                <c:pt idx="8">
                  <c:v>407.58</c:v>
                </c:pt>
                <c:pt idx="9">
                  <c:v>460.04</c:v>
                </c:pt>
                <c:pt idx="10">
                  <c:v>3292.52</c:v>
                </c:pt>
                <c:pt idx="11">
                  <c:v>4705.13</c:v>
                </c:pt>
                <c:pt idx="12">
                  <c:v>818.6</c:v>
                </c:pt>
              </c:numCache>
            </c:numRef>
          </c:val>
        </c:ser>
        <c:dLbls>
          <c:showLegendKey val="0"/>
          <c:showVal val="0"/>
          <c:showCatName val="0"/>
          <c:showSerName val="0"/>
          <c:showPercent val="0"/>
          <c:showBubbleSize val="0"/>
        </c:dLbls>
        <c:gapWidth val="150"/>
        <c:axId val="49939968"/>
        <c:axId val="49941504"/>
      </c:barChart>
      <c:lineChart>
        <c:grouping val="standard"/>
        <c:varyColors val="0"/>
        <c:ser>
          <c:idx val="1"/>
          <c:order val="1"/>
          <c:tx>
            <c:strRef>
              <c:f>三调数据!$C$20</c:f>
              <c:strCache>
                <c:ptCount val="1"/>
                <c:pt idx="0">
                  <c:v>占比（%）</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0"/>
              <c:layout>
                <c:manualLayout>
                  <c:x val="-0.0398962298586849"/>
                  <c:y val="-0.03530460939573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09664354869549"/>
                  <c:y val="-0.02923967088383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8193843319254"/>
                  <c:y val="0.005430258717660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20733169943161"/>
                  <c:y val="0.002847769028871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075055187638"/>
                  <c:y val="-0.023372000374953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3112582781457"/>
                  <c:y val="-0.02950084364454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53200883002208"/>
                  <c:y val="-0.0267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86975717439293"/>
                  <c:y val="-0.0267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397350993377483"/>
                  <c:y val="-0.0267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375275938189846"/>
                  <c:y val="-0.0267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364452208374615"/>
                  <c:y val="-0.0267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353200883002208"/>
                  <c:y val="-0.0267857142857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353200883002208"/>
                  <c:y val="-0.03273809523809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三调数据!$D$18:$P$18</c:f>
              <c:strCache>
                <c:ptCount val="13"/>
                <c:pt idx="0">
                  <c:v>湿地</c:v>
                </c:pt>
                <c:pt idx="1">
                  <c:v>耕地</c:v>
                </c:pt>
                <c:pt idx="2">
                  <c:v>种植园用地</c:v>
                </c:pt>
                <c:pt idx="3">
                  <c:v>林地</c:v>
                </c:pt>
                <c:pt idx="4">
                  <c:v>草地</c:v>
                </c:pt>
                <c:pt idx="5">
                  <c:v>商业服务业用地</c:v>
                </c:pt>
                <c:pt idx="6">
                  <c:v>工矿用地</c:v>
                </c:pt>
                <c:pt idx="7">
                  <c:v>住宅用地</c:v>
                </c:pt>
                <c:pt idx="8">
                  <c:v>公共管理与公共服务用地</c:v>
                </c:pt>
                <c:pt idx="9">
                  <c:v>特殊用地</c:v>
                </c:pt>
                <c:pt idx="10">
                  <c:v>交通运输用地</c:v>
                </c:pt>
                <c:pt idx="11">
                  <c:v>水域及水利设施用地</c:v>
                </c:pt>
                <c:pt idx="12">
                  <c:v>其他土地</c:v>
                </c:pt>
              </c:strCache>
            </c:strRef>
          </c:cat>
          <c:val>
            <c:numRef>
              <c:f>三调数据!$D$20:$P$20</c:f>
              <c:numCache>
                <c:formatCode>0.00_ </c:formatCode>
                <c:ptCount val="13"/>
                <c:pt idx="0">
                  <c:v>0.0330723152282188</c:v>
                </c:pt>
                <c:pt idx="1">
                  <c:v>6.33060552666343</c:v>
                </c:pt>
                <c:pt idx="2">
                  <c:v>3.09758891217665</c:v>
                </c:pt>
                <c:pt idx="3">
                  <c:v>83.4852576330719</c:v>
                </c:pt>
                <c:pt idx="4">
                  <c:v>0.670619872065876</c:v>
                </c:pt>
                <c:pt idx="5">
                  <c:v>0.0878016343279731</c:v>
                </c:pt>
                <c:pt idx="6">
                  <c:v>0.473289270319408</c:v>
                </c:pt>
                <c:pt idx="7">
                  <c:v>1.5651459995026</c:v>
                </c:pt>
                <c:pt idx="8">
                  <c:v>0.179154894214745</c:v>
                </c:pt>
                <c:pt idx="9">
                  <c:v>0.202214086889816</c:v>
                </c:pt>
                <c:pt idx="10">
                  <c:v>1.44725225060094</c:v>
                </c:pt>
                <c:pt idx="11">
                  <c:v>2.06817573830076</c:v>
                </c:pt>
                <c:pt idx="12">
                  <c:v>0.359821866637691</c:v>
                </c:pt>
              </c:numCache>
            </c:numRef>
          </c:val>
          <c:smooth val="1"/>
        </c:ser>
        <c:dLbls>
          <c:showLegendKey val="0"/>
          <c:showVal val="0"/>
          <c:showCatName val="0"/>
          <c:showSerName val="0"/>
          <c:showPercent val="0"/>
          <c:showBubbleSize val="0"/>
        </c:dLbls>
        <c:marker val="1"/>
        <c:smooth val="1"/>
        <c:axId val="263306240"/>
        <c:axId val="263304320"/>
      </c:lineChart>
      <c:catAx>
        <c:axId val="49939968"/>
        <c:scaling>
          <c:orientation val="minMax"/>
        </c:scaling>
        <c:delete val="0"/>
        <c:axPos val="b"/>
        <c:majorTickMark val="none"/>
        <c:minorTickMark val="cross"/>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9941504"/>
        <c:crosses val="autoZero"/>
        <c:auto val="1"/>
        <c:lblAlgn val="ctr"/>
        <c:lblOffset val="100"/>
        <c:noMultiLvlLbl val="0"/>
      </c:catAx>
      <c:valAx>
        <c:axId val="49941504"/>
        <c:scaling>
          <c:orientation val="minMax"/>
          <c:max val="20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面积（公顷）</a:t>
                </a:r>
                <a:endParaRPr lang="zh-CN" b="0">
                  <a:latin typeface="Times New Roman" panose="02020603050405020304" charset="0"/>
                  <a:ea typeface="等线" panose="02010600030101010101" charset="-122"/>
                  <a:cs typeface="Times New Roman" panose="02020603050405020304" charset="0"/>
                </a:endParaRPr>
              </a:p>
            </c:rich>
          </c:tx>
          <c:layout>
            <c:manualLayout>
              <c:xMode val="edge"/>
              <c:yMode val="edge"/>
              <c:x val="0.00311901715067461"/>
              <c:y val="0.216480792173706"/>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9939968"/>
        <c:crosses val="autoZero"/>
        <c:crossBetween val="between"/>
        <c:majorUnit val="20000"/>
      </c:valAx>
      <c:catAx>
        <c:axId val="263306240"/>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3304320"/>
        <c:crosses val="autoZero"/>
        <c:auto val="1"/>
        <c:lblAlgn val="ctr"/>
        <c:lblOffset val="100"/>
        <c:noMultiLvlLbl val="0"/>
      </c:catAx>
      <c:valAx>
        <c:axId val="263304320"/>
        <c:scaling>
          <c:orientation val="minMax"/>
          <c:max val="100"/>
          <c:min val="-1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占比（</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manualLayout>
              <c:xMode val="edge"/>
              <c:yMode val="edge"/>
              <c:x val="0.966859501273907"/>
              <c:y val="0.227046766881413"/>
            </c:manualLayout>
          </c:layout>
          <c:overlay val="0"/>
        </c:title>
        <c:numFmt formatCode="0.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263306240"/>
        <c:crosses val="max"/>
        <c:crossBetween val="between"/>
        <c:majorUnit val="10"/>
      </c:valAx>
      <c:spPr>
        <a:solidFill>
          <a:sysClr val="window" lastClr="FFFFFF">
            <a:lumMod val="95000"/>
          </a:sysClr>
        </a:solidFill>
      </c:spPr>
    </c:plotArea>
    <c:legend>
      <c:legendPos val="b"/>
      <c:layout>
        <c:manualLayout>
          <c:xMode val="edge"/>
          <c:yMode val="edge"/>
          <c:x val="0.2560706401766"/>
          <c:y val="0.946648622047244"/>
          <c:w val="0.414119170534147"/>
          <c:h val="0.050488610798650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394278466388"/>
          <c:y val="0.0186632591978634"/>
          <c:w val="0.758051128776367"/>
          <c:h val="0.845024404844131"/>
        </c:manualLayout>
      </c:layout>
      <c:barChart>
        <c:barDir val="col"/>
        <c:grouping val="clustered"/>
        <c:varyColors val="0"/>
        <c:ser>
          <c:idx val="0"/>
          <c:order val="0"/>
          <c:tx>
            <c:strRef>
              <c:f>林业资源!$A$19</c:f>
              <c:strCache>
                <c:ptCount val="1"/>
                <c:pt idx="0">
                  <c:v>森林蓄积量</c:v>
                </c:pt>
              </c:strCache>
            </c:strRef>
          </c:tx>
          <c:spPr>
            <a:solidFill>
              <a:srgbClr val="003300"/>
            </a:solidFill>
          </c:spPr>
          <c:invertIfNegative val="0"/>
          <c:dLbls>
            <c:dLbl>
              <c:idx val="0"/>
              <c:layout>
                <c:manualLayout>
                  <c:x val="-0.0156842356427935"/>
                  <c:y val="0.01084004002262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2732128579621"/>
                  <c:y val="0.01136265425385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14823214392952"/>
                  <c:y val="0.008438780678730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86187611716"/>
                  <c:y val="0.003575644204695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49888859586332"/>
                  <c:y val="0.008438682733719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林业资源!$B$16:$F$16</c:f>
              <c:strCache>
                <c:ptCount val="5"/>
                <c:pt idx="0">
                  <c:v>2018年</c:v>
                </c:pt>
                <c:pt idx="1">
                  <c:v>2019年</c:v>
                </c:pt>
                <c:pt idx="2">
                  <c:v>2020年</c:v>
                </c:pt>
                <c:pt idx="3">
                  <c:v>2021年</c:v>
                </c:pt>
                <c:pt idx="4">
                  <c:v>2022年</c:v>
                </c:pt>
              </c:strCache>
            </c:strRef>
          </c:cat>
          <c:val>
            <c:numRef>
              <c:f>林业资源!$B$19:$F$19</c:f>
              <c:numCache>
                <c:formatCode>General</c:formatCode>
                <c:ptCount val="5"/>
                <c:pt idx="0">
                  <c:v>9374678</c:v>
                </c:pt>
                <c:pt idx="1">
                  <c:v>9710888</c:v>
                </c:pt>
                <c:pt idx="2">
                  <c:v>10098212</c:v>
                </c:pt>
                <c:pt idx="3">
                  <c:v>10569554</c:v>
                </c:pt>
                <c:pt idx="4">
                  <c:v>10989863</c:v>
                </c:pt>
              </c:numCache>
            </c:numRef>
          </c:val>
        </c:ser>
        <c:ser>
          <c:idx val="1"/>
          <c:order val="1"/>
          <c:tx>
            <c:strRef>
              <c:f>林业资源!$A$21</c:f>
              <c:strCache>
                <c:ptCount val="1"/>
                <c:pt idx="0">
                  <c:v>乔木林蓄积量</c:v>
                </c:pt>
              </c:strCache>
            </c:strRef>
          </c:tx>
          <c:spPr>
            <a:solidFill>
              <a:srgbClr val="CC3300"/>
            </a:solidFill>
            <a:ln w="9525" cap="flat" cmpd="sng" algn="ctr">
              <a:solidFill>
                <a:sysClr val="window" lastClr="FFFFFF"/>
              </a:solidFill>
              <a:prstDash val="solid"/>
              <a:round/>
            </a:ln>
          </c:spPr>
          <c:invertIfNegative val="0"/>
          <c:dLbls>
            <c:dLbl>
              <c:idx val="0"/>
              <c:layout>
                <c:manualLayout>
                  <c:x val="0.0119875796144594"/>
                  <c:y val="0.00877192982456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70578946810653"/>
                  <c:y val="0.01169590643274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43040733636425"/>
                  <c:y val="0.00877192982456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3835800807537"/>
                  <c:y val="0.005847953216374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561686855092"/>
                  <c:y val="0.005847953216374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林业资源!$B$16:$F$16</c:f>
              <c:strCache>
                <c:ptCount val="5"/>
                <c:pt idx="0">
                  <c:v>2018年</c:v>
                </c:pt>
                <c:pt idx="1">
                  <c:v>2019年</c:v>
                </c:pt>
                <c:pt idx="2">
                  <c:v>2020年</c:v>
                </c:pt>
                <c:pt idx="3">
                  <c:v>2021年</c:v>
                </c:pt>
                <c:pt idx="4">
                  <c:v>2022年</c:v>
                </c:pt>
              </c:strCache>
            </c:strRef>
          </c:cat>
          <c:val>
            <c:numRef>
              <c:f>林业资源!$B$21:$F$21</c:f>
              <c:numCache>
                <c:formatCode>General</c:formatCode>
                <c:ptCount val="5"/>
                <c:pt idx="0">
                  <c:v>9315596</c:v>
                </c:pt>
                <c:pt idx="1">
                  <c:v>9651729</c:v>
                </c:pt>
                <c:pt idx="2">
                  <c:v>10039823</c:v>
                </c:pt>
                <c:pt idx="3">
                  <c:v>10512943</c:v>
                </c:pt>
                <c:pt idx="4">
                  <c:v>10933252</c:v>
                </c:pt>
              </c:numCache>
            </c:numRef>
          </c:val>
        </c:ser>
        <c:dLbls>
          <c:showLegendKey val="0"/>
          <c:showVal val="0"/>
          <c:showCatName val="0"/>
          <c:showSerName val="0"/>
          <c:showPercent val="0"/>
          <c:showBubbleSize val="0"/>
        </c:dLbls>
        <c:gapWidth val="150"/>
        <c:axId val="506283136"/>
        <c:axId val="506284672"/>
      </c:barChart>
      <c:lineChart>
        <c:grouping val="standard"/>
        <c:varyColors val="0"/>
        <c:ser>
          <c:idx val="2"/>
          <c:order val="2"/>
          <c:tx>
            <c:strRef>
              <c:f>林业资源!$A$22</c:f>
              <c:strCache>
                <c:ptCount val="1"/>
                <c:pt idx="0">
                  <c:v>乔木林地生产力</c:v>
                </c:pt>
              </c:strCache>
            </c:strRef>
          </c:tx>
          <c:spPr>
            <a:ln w="28575" cap="rnd" cmpd="sng" algn="ctr">
              <a:solidFill>
                <a:srgbClr val="FF9900"/>
              </a:solidFill>
              <a:prstDash val="solid"/>
              <a:round/>
            </a:ln>
          </c:spPr>
          <c:marker>
            <c:symbol val="circle"/>
            <c:size val="6"/>
            <c:spPr>
              <a:solidFill>
                <a:sysClr val="window" lastClr="FFFFFF"/>
              </a:solidFill>
              <a:ln w="9525" cap="flat" cmpd="sng" algn="ctr">
                <a:solidFill>
                  <a:srgbClr val="FF9900"/>
                </a:solidFill>
                <a:prstDash val="solid"/>
                <a:round/>
              </a:ln>
            </c:spPr>
          </c:marker>
          <c:dLbls>
            <c:dLbl>
              <c:idx val="0"/>
              <c:layout>
                <c:manualLayout>
                  <c:x val="-0.0305069537909376"/>
                  <c:y val="0.02923976608187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51233737101839"/>
                  <c:y val="0.03508771929824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33288470165994"/>
                  <c:y val="0.03508771929824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87124270973531"/>
                  <c:y val="0.02923976608187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97397936294302"/>
                  <c:y val="0.03508771929824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6">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林业资源!$B$16:$F$16</c:f>
              <c:strCache>
                <c:ptCount val="5"/>
                <c:pt idx="0">
                  <c:v>2018年</c:v>
                </c:pt>
                <c:pt idx="1">
                  <c:v>2019年</c:v>
                </c:pt>
                <c:pt idx="2">
                  <c:v>2020年</c:v>
                </c:pt>
                <c:pt idx="3">
                  <c:v>2021年</c:v>
                </c:pt>
                <c:pt idx="4">
                  <c:v>2022年</c:v>
                </c:pt>
              </c:strCache>
            </c:strRef>
          </c:cat>
          <c:val>
            <c:numRef>
              <c:f>林业资源!$B$22:$F$22</c:f>
              <c:numCache>
                <c:formatCode>0.00_ </c:formatCode>
                <c:ptCount val="5"/>
                <c:pt idx="0">
                  <c:v>59.6217566383443</c:v>
                </c:pt>
                <c:pt idx="1">
                  <c:v>61.573989426482</c:v>
                </c:pt>
                <c:pt idx="2">
                  <c:v>63.9390527197636</c:v>
                </c:pt>
                <c:pt idx="3">
                  <c:v>66.8102025526963</c:v>
                </c:pt>
                <c:pt idx="4">
                  <c:v>69.4596847909058</c:v>
                </c:pt>
              </c:numCache>
            </c:numRef>
          </c:val>
          <c:smooth val="1"/>
        </c:ser>
        <c:dLbls>
          <c:showLegendKey val="0"/>
          <c:showVal val="0"/>
          <c:showCatName val="0"/>
          <c:showSerName val="0"/>
          <c:showPercent val="0"/>
          <c:showBubbleSize val="0"/>
        </c:dLbls>
        <c:marker val="1"/>
        <c:smooth val="1"/>
        <c:axId val="773151360"/>
        <c:axId val="773149440"/>
      </c:lineChart>
      <c:catAx>
        <c:axId val="506283136"/>
        <c:scaling>
          <c:orientation val="minMax"/>
        </c:scaling>
        <c:delete val="0"/>
        <c:axPos val="b"/>
        <c:numFmt formatCode="General" sourceLinked="1"/>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506284672"/>
        <c:crosses val="autoZero"/>
        <c:auto val="1"/>
        <c:lblAlgn val="ctr"/>
        <c:lblOffset val="100"/>
        <c:noMultiLvlLbl val="0"/>
      </c:catAx>
      <c:valAx>
        <c:axId val="506284672"/>
        <c:scaling>
          <c:orientation val="minMax"/>
          <c:max val="1200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森林蓄积量（立方米）</a:t>
                </a:r>
                <a:endParaRPr lang="zh-CN" b="0">
                  <a:latin typeface="Times New Roman" panose="02020603050405020304" charset="0"/>
                  <a:ea typeface="等线" panose="02010600030101010101" charset="-122"/>
                  <a:cs typeface="Times New Roman" panose="02020603050405020304" charset="0"/>
                </a:endParaRPr>
              </a:p>
            </c:rich>
          </c:tx>
          <c:layout>
            <c:manualLayout>
              <c:xMode val="edge"/>
              <c:yMode val="edge"/>
              <c:x val="0.00676805035978847"/>
              <c:y val="0.302860201685316"/>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506283136"/>
        <c:crosses val="autoZero"/>
        <c:crossBetween val="between"/>
        <c:majorUnit val="1000000"/>
      </c:valAx>
      <c:catAx>
        <c:axId val="77315136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3149440"/>
        <c:crosses val="autoZero"/>
        <c:auto val="1"/>
        <c:lblAlgn val="ctr"/>
        <c:lblOffset val="100"/>
        <c:noMultiLvlLbl val="0"/>
      </c:catAx>
      <c:valAx>
        <c:axId val="773149440"/>
        <c:scaling>
          <c:orientation val="minMax"/>
          <c:max val="100"/>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乔木林地生产力（立方米</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公顷）</a:t>
                </a:r>
                <a:endParaRPr lang="zh-CN" altLang="en-US" b="0">
                  <a:latin typeface="Times New Roman" panose="02020603050405020304" charset="0"/>
                  <a:ea typeface="等线" panose="02010600030101010101" charset="-122"/>
                  <a:cs typeface="Times New Roman" panose="02020603050405020304" charset="0"/>
                </a:endParaRPr>
              </a:p>
            </c:rich>
          </c:tx>
          <c:layout/>
          <c:overlay val="0"/>
        </c:title>
        <c:numFmt formatCode="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3151360"/>
        <c:crosses val="max"/>
        <c:crossBetween val="between"/>
      </c:valAx>
      <c:spPr>
        <a:solidFill>
          <a:sysClr val="window" lastClr="FFFFFF">
            <a:lumMod val="95000"/>
          </a:sysClr>
        </a:solidFill>
      </c:spPr>
    </c:plotArea>
    <c:legend>
      <c:legendPos val="b"/>
      <c:layout>
        <c:manualLayout>
          <c:xMode val="edge"/>
          <c:yMode val="edge"/>
          <c:x val="0.23308476392604"/>
          <c:y val="0.946834007627499"/>
          <c:w val="0.542664872139973"/>
          <c:h val="0.050290616246498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590126000605"/>
          <c:y val="0.0186632591978634"/>
          <c:w val="0.77526201748146"/>
          <c:h val="0.683107543153197"/>
        </c:manualLayout>
      </c:layout>
      <c:barChart>
        <c:barDir val="col"/>
        <c:grouping val="clustered"/>
        <c:varyColors val="0"/>
        <c:ser>
          <c:idx val="0"/>
          <c:order val="0"/>
          <c:tx>
            <c:strRef>
              <c:f>林业资源!$C$42</c:f>
              <c:strCache>
                <c:ptCount val="1"/>
                <c:pt idx="0">
                  <c:v>森林蓄积（m³）</c:v>
                </c:pt>
              </c:strCache>
            </c:strRef>
          </c:tx>
          <c:spPr>
            <a:solidFill>
              <a:srgbClr val="336600"/>
            </a:solidFill>
          </c:spPr>
          <c:invertIfNegative val="0"/>
          <c:dLbls>
            <c:dLbl>
              <c:idx val="0"/>
              <c:layout>
                <c:manualLayout>
                  <c:x val="0"/>
                  <c:y val="0.010840108401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84672206832872"/>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4672206832872"/>
                  <c:y val="0.0006518488986345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5727726011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84672206832872"/>
                  <c:y val="0.001640189713127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55401662049861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林业资源!$A$43:$A$55</c:f>
              <c:strCache>
                <c:ptCount val="13"/>
                <c:pt idx="0">
                  <c:v>杉木</c:v>
                </c:pt>
                <c:pt idx="1">
                  <c:v>马尾松（广东松）</c:v>
                </c:pt>
                <c:pt idx="2">
                  <c:v>湿地松（国外松）</c:v>
                </c:pt>
                <c:pt idx="3">
                  <c:v>桉树</c:v>
                </c:pt>
                <c:pt idx="4">
                  <c:v>速生相思</c:v>
                </c:pt>
                <c:pt idx="5">
                  <c:v>其它软阔</c:v>
                </c:pt>
                <c:pt idx="6">
                  <c:v>黎蒴</c:v>
                </c:pt>
                <c:pt idx="7">
                  <c:v>其它硬阔</c:v>
                </c:pt>
                <c:pt idx="8">
                  <c:v>针叶混交林</c:v>
                </c:pt>
                <c:pt idx="9">
                  <c:v>针阔混交林</c:v>
                </c:pt>
                <c:pt idx="10">
                  <c:v>阔叶混交林</c:v>
                </c:pt>
                <c:pt idx="11">
                  <c:v>其它林产化工树</c:v>
                </c:pt>
                <c:pt idx="12">
                  <c:v>其它经济树种</c:v>
                </c:pt>
              </c:strCache>
            </c:strRef>
          </c:cat>
          <c:val>
            <c:numRef>
              <c:f>林业资源!$C$43:$C$55</c:f>
              <c:numCache>
                <c:formatCode>General</c:formatCode>
                <c:ptCount val="13"/>
                <c:pt idx="0">
                  <c:v>792845</c:v>
                </c:pt>
                <c:pt idx="1">
                  <c:v>1151604</c:v>
                </c:pt>
                <c:pt idx="2">
                  <c:v>216661</c:v>
                </c:pt>
                <c:pt idx="3">
                  <c:v>421203</c:v>
                </c:pt>
                <c:pt idx="4">
                  <c:v>574</c:v>
                </c:pt>
                <c:pt idx="5">
                  <c:v>4765078</c:v>
                </c:pt>
                <c:pt idx="6">
                  <c:v>586</c:v>
                </c:pt>
                <c:pt idx="7">
                  <c:v>21278</c:v>
                </c:pt>
                <c:pt idx="8">
                  <c:v>925251</c:v>
                </c:pt>
                <c:pt idx="9">
                  <c:v>2414394</c:v>
                </c:pt>
                <c:pt idx="10">
                  <c:v>276373</c:v>
                </c:pt>
                <c:pt idx="11">
                  <c:v>2267</c:v>
                </c:pt>
                <c:pt idx="12">
                  <c:v>1749</c:v>
                </c:pt>
              </c:numCache>
            </c:numRef>
          </c:val>
        </c:ser>
        <c:dLbls>
          <c:showLegendKey val="0"/>
          <c:showVal val="0"/>
          <c:showCatName val="0"/>
          <c:showSerName val="0"/>
          <c:showPercent val="0"/>
          <c:showBubbleSize val="0"/>
        </c:dLbls>
        <c:gapWidth val="150"/>
        <c:axId val="459854976"/>
        <c:axId val="459856512"/>
      </c:barChart>
      <c:lineChart>
        <c:grouping val="standard"/>
        <c:varyColors val="0"/>
        <c:ser>
          <c:idx val="1"/>
          <c:order val="1"/>
          <c:tx>
            <c:strRef>
              <c:f>林业资源!$D$42</c:f>
              <c:strCache>
                <c:ptCount val="1"/>
                <c:pt idx="0">
                  <c:v>占比（%）</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0"/>
              <c:layout>
                <c:manualLayout>
                  <c:x val="-0.0203139427516159"/>
                  <c:y val="0.03216374269005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13942751615882"/>
                  <c:y val="0.03216374269005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84672206832872"/>
                  <c:y val="0.01754385964912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169590643274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554016620498615"/>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林业资源!$A$43:$A$55</c:f>
              <c:strCache>
                <c:ptCount val="13"/>
                <c:pt idx="0">
                  <c:v>杉木</c:v>
                </c:pt>
                <c:pt idx="1">
                  <c:v>马尾松（广东松）</c:v>
                </c:pt>
                <c:pt idx="2">
                  <c:v>湿地松（国外松）</c:v>
                </c:pt>
                <c:pt idx="3">
                  <c:v>桉树</c:v>
                </c:pt>
                <c:pt idx="4">
                  <c:v>速生相思</c:v>
                </c:pt>
                <c:pt idx="5">
                  <c:v>其它软阔</c:v>
                </c:pt>
                <c:pt idx="6">
                  <c:v>黎蒴</c:v>
                </c:pt>
                <c:pt idx="7">
                  <c:v>其它硬阔</c:v>
                </c:pt>
                <c:pt idx="8">
                  <c:v>针叶混交林</c:v>
                </c:pt>
                <c:pt idx="9">
                  <c:v>针阔混交林</c:v>
                </c:pt>
                <c:pt idx="10">
                  <c:v>阔叶混交林</c:v>
                </c:pt>
                <c:pt idx="11">
                  <c:v>其它林产化工树</c:v>
                </c:pt>
                <c:pt idx="12">
                  <c:v>其它经济树种</c:v>
                </c:pt>
              </c:strCache>
            </c:strRef>
          </c:cat>
          <c:val>
            <c:numRef>
              <c:f>林业资源!$D$43:$D$55</c:f>
              <c:numCache>
                <c:formatCode>0.00_ </c:formatCode>
                <c:ptCount val="13"/>
                <c:pt idx="0">
                  <c:v>7.21433015134038</c:v>
                </c:pt>
                <c:pt idx="1">
                  <c:v>10.4787839484441</c:v>
                </c:pt>
                <c:pt idx="2">
                  <c:v>1.97146224661763</c:v>
                </c:pt>
                <c:pt idx="3">
                  <c:v>3.83265014313645</c:v>
                </c:pt>
                <c:pt idx="4">
                  <c:v>0.00522299504552514</c:v>
                </c:pt>
                <c:pt idx="5">
                  <c:v>43.3588480584335</c:v>
                </c:pt>
                <c:pt idx="6">
                  <c:v>0.00533218657957793</c:v>
                </c:pt>
                <c:pt idx="7">
                  <c:v>0.193614788464606</c:v>
                </c:pt>
                <c:pt idx="8">
                  <c:v>8.41913133948986</c:v>
                </c:pt>
                <c:pt idx="9">
                  <c:v>21.9692820556544</c:v>
                </c:pt>
                <c:pt idx="10">
                  <c:v>2.51479932006432</c:v>
                </c:pt>
                <c:pt idx="11">
                  <c:v>0.020628100641473</c:v>
                </c:pt>
                <c:pt idx="12">
                  <c:v>0.0159146660881942</c:v>
                </c:pt>
              </c:numCache>
            </c:numRef>
          </c:val>
          <c:smooth val="1"/>
        </c:ser>
        <c:dLbls>
          <c:showLegendKey val="0"/>
          <c:showVal val="0"/>
          <c:showCatName val="0"/>
          <c:showSerName val="0"/>
          <c:showPercent val="0"/>
          <c:showBubbleSize val="0"/>
        </c:dLbls>
        <c:marker val="1"/>
        <c:smooth val="1"/>
        <c:axId val="773167744"/>
        <c:axId val="773165824"/>
      </c:lineChart>
      <c:catAx>
        <c:axId val="459854976"/>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crossAx val="459856512"/>
        <c:crosses val="autoZero"/>
        <c:auto val="1"/>
        <c:lblAlgn val="ctr"/>
        <c:lblOffset val="100"/>
        <c:noMultiLvlLbl val="0"/>
      </c:catAx>
      <c:valAx>
        <c:axId val="459856512"/>
        <c:scaling>
          <c:orientation val="minMax"/>
          <c:max val="500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森林总面积（</a:t>
                </a:r>
                <a:r>
                  <a:rPr lang="en-US" altLang="zh-CN" b="0">
                    <a:latin typeface="Times New Roman" panose="02020603050405020304" charset="0"/>
                    <a:ea typeface="等线" panose="02010600030101010101" charset="-122"/>
                    <a:cs typeface="Times New Roman" panose="02020603050405020304" charset="0"/>
                  </a:rPr>
                  <a:t>m</a:t>
                </a:r>
                <a:r>
                  <a:rPr lang="en-US" altLang="zh-CN" b="0">
                    <a:latin typeface="Times New Roman" panose="02020603050405020304" charset="0"/>
                    <a:ea typeface="Arial Unicode MS" panose="020B0604020202020204" charset="-122"/>
                    <a:cs typeface="Times New Roman" panose="02020603050405020304" charset="0"/>
                  </a:rPr>
                  <a:t>³</a:t>
                </a:r>
                <a:r>
                  <a:rPr lang="zh-CN" altLang="en-US" b="0">
                    <a:latin typeface="Times New Roman" panose="02020603050405020304" charset="0"/>
                    <a:ea typeface="等线" panose="02010600030101010101" charset="-122"/>
                    <a:cs typeface="Times New Roman" panose="02020603050405020304" charset="0"/>
                  </a:rPr>
                  <a:t>）</a:t>
                </a:r>
                <a:endParaRPr lang="zh-CN" b="0">
                  <a:latin typeface="Times New Roman" panose="02020603050405020304" charset="0"/>
                  <a:ea typeface="等线" panose="02010600030101010101" charset="-122"/>
                  <a:cs typeface="Times New Roman" panose="02020603050405020304" charset="0"/>
                </a:endParaRPr>
              </a:p>
            </c:rich>
          </c:tx>
          <c:layout>
            <c:manualLayout>
              <c:xMode val="edge"/>
              <c:yMode val="edge"/>
              <c:x val="0.00053752626716053"/>
              <c:y val="0.246491738675932"/>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59854976"/>
        <c:crosses val="autoZero"/>
        <c:crossBetween val="between"/>
        <c:majorUnit val="500000"/>
      </c:valAx>
      <c:catAx>
        <c:axId val="773167744"/>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3165824"/>
        <c:crosses val="autoZero"/>
        <c:auto val="1"/>
        <c:lblAlgn val="ctr"/>
        <c:lblOffset val="100"/>
        <c:noMultiLvlLbl val="0"/>
      </c:catAx>
      <c:valAx>
        <c:axId val="773165824"/>
        <c:scaling>
          <c:orientation val="minMax"/>
          <c:max val="50"/>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占比（</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overlay val="0"/>
        </c:title>
        <c:numFmt formatCode="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3167744"/>
        <c:crosses val="max"/>
        <c:crossBetween val="between"/>
      </c:valAx>
      <c:spPr>
        <a:solidFill>
          <a:sysClr val="window" lastClr="FFFFFF">
            <a:lumMod val="95000"/>
          </a:sysClr>
        </a:solidFill>
      </c:spPr>
    </c:plotArea>
    <c:legend>
      <c:legendPos val="b"/>
      <c:layout>
        <c:manualLayout>
          <c:xMode val="edge"/>
          <c:yMode val="edge"/>
          <c:x val="0.310249307479224"/>
          <c:y val="0.927046220917301"/>
          <c:w val="0.37032681164162"/>
          <c:h val="0.072201788335780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813096230698"/>
          <c:y val="0.0186632591978634"/>
          <c:w val="0.761869639712757"/>
          <c:h val="0.807929754235266"/>
        </c:manualLayout>
      </c:layout>
      <c:barChart>
        <c:barDir val="col"/>
        <c:grouping val="clustered"/>
        <c:varyColors val="0"/>
        <c:ser>
          <c:idx val="0"/>
          <c:order val="0"/>
          <c:tx>
            <c:strRef>
              <c:f>林业资源!$C$87</c:f>
              <c:strCache>
                <c:ptCount val="1"/>
                <c:pt idx="0">
                  <c:v>蓄积量（m³）</c:v>
                </c:pt>
              </c:strCache>
            </c:strRef>
          </c:tx>
          <c:spPr>
            <a:solidFill>
              <a:srgbClr val="336600"/>
            </a:solidFill>
          </c:spPr>
          <c:invertIfNegative val="0"/>
          <c:dLbls>
            <c:dLbl>
              <c:idx val="0"/>
              <c:layout>
                <c:manualLayout>
                  <c:x val="0"/>
                  <c:y val="0.010840108401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84672206832872"/>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4672206832872"/>
                  <c:y val="0.0006518488986345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8438818565400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046783625730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林业资源!$B$88:$B$93</c:f>
              <c:strCache>
                <c:ptCount val="6"/>
                <c:pt idx="0">
                  <c:v>幼龄林</c:v>
                </c:pt>
                <c:pt idx="1">
                  <c:v>中龄林</c:v>
                </c:pt>
                <c:pt idx="2">
                  <c:v>近熟林</c:v>
                </c:pt>
                <c:pt idx="3">
                  <c:v>成熟林</c:v>
                </c:pt>
                <c:pt idx="4">
                  <c:v>过熟林</c:v>
                </c:pt>
                <c:pt idx="5">
                  <c:v>经济林</c:v>
                </c:pt>
              </c:strCache>
            </c:strRef>
          </c:cat>
          <c:val>
            <c:numRef>
              <c:f>林业资源!$C$88:$C$93</c:f>
              <c:numCache>
                <c:formatCode>0_ </c:formatCode>
                <c:ptCount val="6"/>
                <c:pt idx="0">
                  <c:v>1026440</c:v>
                </c:pt>
                <c:pt idx="1">
                  <c:v>3026457</c:v>
                </c:pt>
                <c:pt idx="2">
                  <c:v>2854521</c:v>
                </c:pt>
                <c:pt idx="3">
                  <c:v>3223400</c:v>
                </c:pt>
                <c:pt idx="4">
                  <c:v>798418</c:v>
                </c:pt>
                <c:pt idx="5">
                  <c:v>4016</c:v>
                </c:pt>
              </c:numCache>
            </c:numRef>
          </c:val>
        </c:ser>
        <c:dLbls>
          <c:showLegendKey val="0"/>
          <c:showVal val="0"/>
          <c:showCatName val="0"/>
          <c:showSerName val="0"/>
          <c:showPercent val="0"/>
          <c:showBubbleSize val="0"/>
        </c:dLbls>
        <c:gapWidth val="150"/>
        <c:axId val="775271552"/>
        <c:axId val="775273088"/>
      </c:barChart>
      <c:lineChart>
        <c:grouping val="standard"/>
        <c:varyColors val="0"/>
        <c:ser>
          <c:idx val="1"/>
          <c:order val="1"/>
          <c:tx>
            <c:strRef>
              <c:f>林业资源!$D$87</c:f>
              <c:strCache>
                <c:ptCount val="1"/>
                <c:pt idx="0">
                  <c:v>占比（%）</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0"/>
              <c:layout>
                <c:manualLayout>
                  <c:x val="-0.0310810610315702"/>
                  <c:y val="0.03801169590643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13942751615882"/>
                  <c:y val="0.03216374269005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84672206832872"/>
                  <c:y val="0.01754385964912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169590643274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4619883040935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林业资源!$B$88:$B$93</c:f>
              <c:strCache>
                <c:ptCount val="6"/>
                <c:pt idx="0">
                  <c:v>幼龄林</c:v>
                </c:pt>
                <c:pt idx="1">
                  <c:v>中龄林</c:v>
                </c:pt>
                <c:pt idx="2">
                  <c:v>近熟林</c:v>
                </c:pt>
                <c:pt idx="3">
                  <c:v>成熟林</c:v>
                </c:pt>
                <c:pt idx="4">
                  <c:v>过熟林</c:v>
                </c:pt>
                <c:pt idx="5">
                  <c:v>经济林</c:v>
                </c:pt>
              </c:strCache>
            </c:strRef>
          </c:cat>
          <c:val>
            <c:numRef>
              <c:f>林业资源!$D$88:$D$93</c:f>
              <c:numCache>
                <c:formatCode>0.00_ </c:formatCode>
                <c:ptCount val="6"/>
                <c:pt idx="0">
                  <c:v>9.38824057105791</c:v>
                </c:pt>
                <c:pt idx="1">
                  <c:v>27.6812150675755</c:v>
                </c:pt>
                <c:pt idx="2">
                  <c:v>26.1086180031339</c:v>
                </c:pt>
                <c:pt idx="3">
                  <c:v>29.4825363944781</c:v>
                </c:pt>
                <c:pt idx="4">
                  <c:v>7.30265798318744</c:v>
                </c:pt>
                <c:pt idx="5">
                  <c:v>0.0367319805671725</c:v>
                </c:pt>
              </c:numCache>
            </c:numRef>
          </c:val>
          <c:smooth val="1"/>
        </c:ser>
        <c:dLbls>
          <c:showLegendKey val="0"/>
          <c:showVal val="0"/>
          <c:showCatName val="0"/>
          <c:showSerName val="0"/>
          <c:showPercent val="0"/>
          <c:showBubbleSize val="0"/>
        </c:dLbls>
        <c:marker val="1"/>
        <c:smooth val="1"/>
        <c:axId val="775948928"/>
        <c:axId val="775947008"/>
      </c:lineChart>
      <c:catAx>
        <c:axId val="775271552"/>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5273088"/>
        <c:crosses val="autoZero"/>
        <c:auto val="1"/>
        <c:lblAlgn val="ctr"/>
        <c:lblOffset val="100"/>
        <c:noMultiLvlLbl val="0"/>
      </c:catAx>
      <c:valAx>
        <c:axId val="775273088"/>
        <c:scaling>
          <c:orientation val="minMax"/>
          <c:max val="350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森林蓄积量（</a:t>
                </a:r>
                <a:r>
                  <a:rPr lang="en-US" altLang="zh-CN" b="0">
                    <a:latin typeface="Times New Roman" panose="02020603050405020304" charset="0"/>
                    <a:ea typeface="等线" panose="02010600030101010101" charset="-122"/>
                    <a:cs typeface="Times New Roman" panose="02020603050405020304" charset="0"/>
                  </a:rPr>
                  <a:t>m</a:t>
                </a:r>
                <a:r>
                  <a:rPr lang="en-US" altLang="zh-CN" b="0">
                    <a:latin typeface="Times New Roman" panose="02020603050405020304" charset="0"/>
                    <a:ea typeface="Arial Unicode MS" panose="020B0604020202020204" charset="-122"/>
                    <a:cs typeface="Times New Roman" panose="02020603050405020304" charset="0"/>
                  </a:rPr>
                  <a:t>³</a:t>
                </a:r>
                <a:r>
                  <a:rPr lang="zh-CN" altLang="en-US" b="0">
                    <a:latin typeface="Times New Roman" panose="02020603050405020304" charset="0"/>
                    <a:ea typeface="等线" panose="02010600030101010101" charset="-122"/>
                    <a:cs typeface="Times New Roman" panose="02020603050405020304" charset="0"/>
                  </a:rPr>
                  <a:t>）</a:t>
                </a:r>
                <a:endParaRPr lang="zh-CN" b="0">
                  <a:latin typeface="Times New Roman" panose="02020603050405020304" charset="0"/>
                  <a:ea typeface="等线" panose="02010600030101010101" charset="-122"/>
                  <a:cs typeface="Times New Roman" panose="02020603050405020304" charset="0"/>
                </a:endParaRPr>
              </a:p>
            </c:rich>
          </c:tx>
          <c:layout>
            <c:manualLayout>
              <c:xMode val="edge"/>
              <c:yMode val="edge"/>
              <c:x val="0.00676801826364502"/>
              <c:y val="0.349643731242455"/>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5271552"/>
        <c:crosses val="autoZero"/>
        <c:crossBetween val="between"/>
        <c:majorUnit val="500000"/>
      </c:valAx>
      <c:catAx>
        <c:axId val="77594892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5947008"/>
        <c:crosses val="autoZero"/>
        <c:auto val="1"/>
        <c:lblAlgn val="ctr"/>
        <c:lblOffset val="100"/>
        <c:noMultiLvlLbl val="0"/>
      </c:catAx>
      <c:valAx>
        <c:axId val="775947008"/>
        <c:scaling>
          <c:orientation val="minMax"/>
          <c:max val="40"/>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占比（</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overlay val="0"/>
        </c:title>
        <c:numFmt formatCode="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5948928"/>
        <c:crosses val="max"/>
        <c:crossBetween val="between"/>
      </c:valAx>
      <c:spPr>
        <a:solidFill>
          <a:sysClr val="window" lastClr="FFFFFF">
            <a:lumMod val="95000"/>
          </a:sysClr>
        </a:solidFill>
      </c:spPr>
    </c:plotArea>
    <c:legend>
      <c:legendPos val="b"/>
      <c:layout>
        <c:manualLayout>
          <c:xMode val="edge"/>
          <c:yMode val="edge"/>
          <c:x val="0.0787845945751127"/>
          <c:y val="0.935099403483655"/>
          <c:w val="0.893098679120806"/>
          <c:h val="0.064148126938678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86511538786"/>
          <c:y val="0.0186632591978634"/>
          <c:w val="0.767769788270137"/>
          <c:h val="0.828706957987867"/>
        </c:manualLayout>
      </c:layout>
      <c:barChart>
        <c:barDir val="col"/>
        <c:grouping val="clustered"/>
        <c:varyColors val="0"/>
        <c:ser>
          <c:idx val="0"/>
          <c:order val="0"/>
          <c:tx>
            <c:strRef>
              <c:f>Sheet1!$C$16</c:f>
              <c:strCache>
                <c:ptCount val="1"/>
                <c:pt idx="0">
                  <c:v>面积（公顷）</c:v>
                </c:pt>
              </c:strCache>
            </c:strRef>
          </c:tx>
          <c:spPr>
            <a:solidFill>
              <a:srgbClr val="336600"/>
            </a:solidFill>
          </c:spPr>
          <c:invertIfNegative val="0"/>
          <c:dLbls>
            <c:dLbl>
              <c:idx val="0"/>
              <c:layout>
                <c:manualLayout>
                  <c:x val="-0.0107671601615074"/>
                  <c:y val="-0.0008557811852465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15343203230148"/>
                  <c:y val="-0.000333379380209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1401850340713e-5"/>
                  <c:y val="0.005514804070543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38660515536824"/>
                  <c:y val="0.01195130269733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3257125754017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046783625730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Sheet1!$D$15:$I$15</c:f>
              <c:strCache>
                <c:ptCount val="6"/>
                <c:pt idx="0">
                  <c:v>环境保护林</c:v>
                </c:pt>
                <c:pt idx="1">
                  <c:v>风景林</c:v>
                </c:pt>
                <c:pt idx="2">
                  <c:v>自然保护林</c:v>
                </c:pt>
                <c:pt idx="3">
                  <c:v>水源涵养林</c:v>
                </c:pt>
                <c:pt idx="4">
                  <c:v>水土保持林</c:v>
                </c:pt>
                <c:pt idx="5">
                  <c:v>其它防护林</c:v>
                </c:pt>
              </c:strCache>
            </c:strRef>
          </c:cat>
          <c:val>
            <c:numRef>
              <c:f>Sheet1!$D$16:$I$16</c:f>
              <c:numCache>
                <c:formatCode>0.00_ </c:formatCode>
                <c:ptCount val="6"/>
                <c:pt idx="0">
                  <c:v>3.4109</c:v>
                </c:pt>
                <c:pt idx="1">
                  <c:v>35.8616</c:v>
                </c:pt>
                <c:pt idx="2">
                  <c:v>11553.3584</c:v>
                </c:pt>
                <c:pt idx="3">
                  <c:v>94947.0887</c:v>
                </c:pt>
                <c:pt idx="4">
                  <c:v>742.5911</c:v>
                </c:pt>
                <c:pt idx="5">
                  <c:v>30.6796</c:v>
                </c:pt>
              </c:numCache>
            </c:numRef>
          </c:val>
        </c:ser>
        <c:dLbls>
          <c:showLegendKey val="0"/>
          <c:showVal val="0"/>
          <c:showCatName val="0"/>
          <c:showSerName val="0"/>
          <c:showPercent val="0"/>
          <c:showBubbleSize val="0"/>
        </c:dLbls>
        <c:gapWidth val="150"/>
        <c:axId val="775455872"/>
        <c:axId val="775457408"/>
      </c:barChart>
      <c:lineChart>
        <c:grouping val="standard"/>
        <c:varyColors val="0"/>
        <c:ser>
          <c:idx val="1"/>
          <c:order val="1"/>
          <c:tx>
            <c:strRef>
              <c:f>Sheet1!$C$17</c:f>
              <c:strCache>
                <c:ptCount val="1"/>
                <c:pt idx="0">
                  <c:v>占比（%）</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0"/>
              <c:layout>
                <c:manualLayout>
                  <c:x val="-0.00236863393421717"/>
                  <c:y val="-0.02631578947368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47642564194953"/>
                  <c:y val="-0.02923976608187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8193003465415"/>
                  <c:y val="0.02923976608187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169590643274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877192982456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4619883040935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Sheet1!$D$15:$I$15</c:f>
              <c:strCache>
                <c:ptCount val="6"/>
                <c:pt idx="0">
                  <c:v>环境保护林</c:v>
                </c:pt>
                <c:pt idx="1">
                  <c:v>风景林</c:v>
                </c:pt>
                <c:pt idx="2">
                  <c:v>自然保护林</c:v>
                </c:pt>
                <c:pt idx="3">
                  <c:v>水源涵养林</c:v>
                </c:pt>
                <c:pt idx="4">
                  <c:v>水土保持林</c:v>
                </c:pt>
                <c:pt idx="5">
                  <c:v>其它防护林</c:v>
                </c:pt>
              </c:strCache>
            </c:strRef>
          </c:cat>
          <c:val>
            <c:numRef>
              <c:f>Sheet1!$D$17:$I$17</c:f>
              <c:numCache>
                <c:formatCode>0.000_ </c:formatCode>
                <c:ptCount val="6"/>
                <c:pt idx="0">
                  <c:v>0.00317845956064091</c:v>
                </c:pt>
                <c:pt idx="1" c:formatCode="0.00_ ">
                  <c:v>0.0334177622855786</c:v>
                </c:pt>
                <c:pt idx="2" c:formatCode="0.00_ ">
                  <c:v>10.766039011402</c:v>
                </c:pt>
                <c:pt idx="3" c:formatCode="0.00_ ">
                  <c:v>88.4767896547935</c:v>
                </c:pt>
                <c:pt idx="4" c:formatCode="0.00_ ">
                  <c:v>0.69198621520474</c:v>
                </c:pt>
                <c:pt idx="5" c:formatCode="0.00_ ">
                  <c:v>0.0285888967535368</c:v>
                </c:pt>
              </c:numCache>
            </c:numRef>
          </c:val>
          <c:smooth val="1"/>
        </c:ser>
        <c:dLbls>
          <c:showLegendKey val="0"/>
          <c:showVal val="0"/>
          <c:showCatName val="0"/>
          <c:showSerName val="0"/>
          <c:showPercent val="0"/>
          <c:showBubbleSize val="0"/>
        </c:dLbls>
        <c:marker val="1"/>
        <c:smooth val="1"/>
        <c:axId val="775764608"/>
        <c:axId val="775762688"/>
      </c:lineChart>
      <c:catAx>
        <c:axId val="775455872"/>
        <c:scaling>
          <c:orientation val="minMax"/>
        </c:scaling>
        <c:delete val="0"/>
        <c:axPos val="b"/>
        <c:majorTickMark val="none"/>
        <c:minorTickMark val="cross"/>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5457408"/>
        <c:crosses val="autoZero"/>
        <c:auto val="1"/>
        <c:lblAlgn val="ctr"/>
        <c:lblOffset val="100"/>
        <c:noMultiLvlLbl val="0"/>
      </c:catAx>
      <c:valAx>
        <c:axId val="775457408"/>
        <c:scaling>
          <c:orientation val="minMax"/>
          <c:max val="1000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公益林面积</a:t>
                </a:r>
                <a:endParaRPr lang="zh-CN" b="0">
                  <a:latin typeface="Times New Roman" panose="02020603050405020304" charset="0"/>
                  <a:ea typeface="等线" panose="02010600030101010101" charset="-122"/>
                  <a:cs typeface="Times New Roman" panose="02020603050405020304" charset="0"/>
                </a:endParaRPr>
              </a:p>
            </c:rich>
          </c:tx>
          <c:layout>
            <c:manualLayout>
              <c:xMode val="edge"/>
              <c:yMode val="edge"/>
              <c:x val="0.00435686045573417"/>
              <c:y val="0.338276929164773"/>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5455872"/>
        <c:crosses val="autoZero"/>
        <c:crossBetween val="between"/>
        <c:majorUnit val="10000"/>
      </c:valAx>
      <c:catAx>
        <c:axId val="77576460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5762688"/>
        <c:crosses val="autoZero"/>
        <c:auto val="1"/>
        <c:lblAlgn val="ctr"/>
        <c:lblOffset val="100"/>
        <c:noMultiLvlLbl val="0"/>
      </c:catAx>
      <c:valAx>
        <c:axId val="775762688"/>
        <c:scaling>
          <c:orientation val="minMax"/>
          <c:max val="100"/>
          <c:min val="-1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公益林占比</a:t>
                </a:r>
                <a:endParaRPr lang="zh-CN" altLang="en-US" b="0">
                  <a:latin typeface="Times New Roman" panose="02020603050405020304" charset="0"/>
                  <a:ea typeface="等线" panose="02010600030101010101" charset="-122"/>
                  <a:cs typeface="Times New Roman" panose="02020603050405020304" charset="0"/>
                </a:endParaRPr>
              </a:p>
            </c:rich>
          </c:tx>
          <c:layout/>
          <c:overlay val="0"/>
        </c:title>
        <c:numFmt formatCode="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5764608"/>
        <c:crosses val="max"/>
        <c:crossBetween val="between"/>
        <c:majorUnit val="10"/>
      </c:valAx>
      <c:spPr>
        <a:solidFill>
          <a:sysClr val="window" lastClr="FFFFFF">
            <a:lumMod val="95000"/>
          </a:sysClr>
        </a:solidFill>
      </c:spPr>
    </c:plotArea>
    <c:legend>
      <c:legendPos val="b"/>
      <c:layout>
        <c:manualLayout>
          <c:xMode val="edge"/>
          <c:yMode val="edge"/>
          <c:x val="0.131828584718049"/>
          <c:y val="0.949644978588203"/>
          <c:w val="0.789396705158691"/>
          <c:h val="0.049602845696919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96361961377"/>
          <c:y val="0.0186632591978634"/>
          <c:w val="0.746327023691575"/>
          <c:h val="0.851365970558028"/>
        </c:manualLayout>
      </c:layout>
      <c:barChart>
        <c:barDir val="col"/>
        <c:grouping val="clustered"/>
        <c:varyColors val="0"/>
        <c:ser>
          <c:idx val="0"/>
          <c:order val="0"/>
          <c:tx>
            <c:strRef>
              <c:f>Sheet1!$B$38</c:f>
              <c:strCache>
                <c:ptCount val="1"/>
                <c:pt idx="0">
                  <c:v>生态公益林面积（公顷）</c:v>
                </c:pt>
              </c:strCache>
            </c:strRef>
          </c:tx>
          <c:spPr>
            <a:solidFill>
              <a:srgbClr val="336600"/>
            </a:solidFill>
          </c:spPr>
          <c:invertIfNegative val="0"/>
          <c:dLbls>
            <c:dLbl>
              <c:idx val="0"/>
              <c:layout>
                <c:manualLayout>
                  <c:x val="-0.0107671601615074"/>
                  <c:y val="-0.0008557811852465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15343203230148"/>
                  <c:y val="-0.000333379380209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1401850340713e-5"/>
                  <c:y val="0.005514804070543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4672206832872"/>
                  <c:y val="0.0006518488986345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3257125754017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Sheet1!$A$39:$A$43</c:f>
              <c:strCache>
                <c:ptCount val="5"/>
                <c:pt idx="0">
                  <c:v>2018年</c:v>
                </c:pt>
                <c:pt idx="1">
                  <c:v>2019年</c:v>
                </c:pt>
                <c:pt idx="2">
                  <c:v>2020年</c:v>
                </c:pt>
                <c:pt idx="3">
                  <c:v>2021年</c:v>
                </c:pt>
                <c:pt idx="4">
                  <c:v>2022年</c:v>
                </c:pt>
              </c:strCache>
            </c:strRef>
          </c:cat>
          <c:val>
            <c:numRef>
              <c:f>Sheet1!$B$39:$B$43</c:f>
              <c:numCache>
                <c:formatCode>0.00_);[Red]\(0.00\)</c:formatCode>
                <c:ptCount val="5"/>
                <c:pt idx="0">
                  <c:v>105551.85</c:v>
                </c:pt>
                <c:pt idx="1">
                  <c:v>106135.34</c:v>
                </c:pt>
                <c:pt idx="2">
                  <c:v>106649.1343</c:v>
                </c:pt>
                <c:pt idx="3">
                  <c:v>107312.2593</c:v>
                </c:pt>
                <c:pt idx="4">
                  <c:v>107312.9903</c:v>
                </c:pt>
              </c:numCache>
            </c:numRef>
          </c:val>
        </c:ser>
        <c:dLbls>
          <c:showLegendKey val="0"/>
          <c:showVal val="0"/>
          <c:showCatName val="0"/>
          <c:showSerName val="0"/>
          <c:showPercent val="0"/>
          <c:showBubbleSize val="0"/>
        </c:dLbls>
        <c:gapWidth val="150"/>
        <c:axId val="776995968"/>
        <c:axId val="776997504"/>
      </c:barChart>
      <c:lineChart>
        <c:grouping val="standard"/>
        <c:varyColors val="0"/>
        <c:ser>
          <c:idx val="1"/>
          <c:order val="1"/>
          <c:tx>
            <c:strRef>
              <c:f>Sheet1!$D$38</c:f>
              <c:strCache>
                <c:ptCount val="1"/>
                <c:pt idx="0">
                  <c:v>一二类面积占比（%）</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0"/>
              <c:layout>
                <c:manualLayout>
                  <c:x val="-0.0398962298586849"/>
                  <c:y val="-0.03530460939573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09664354869549"/>
                  <c:y val="-0.02923967088383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8193003465415"/>
                  <c:y val="0.02923976608187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0377014131512"/>
                  <c:y val="0.02368102863546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53200883002208"/>
                  <c:y val="0.033175617092807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Sheet1!$A$39:$A$43</c:f>
              <c:strCache>
                <c:ptCount val="5"/>
                <c:pt idx="0">
                  <c:v>2018年</c:v>
                </c:pt>
                <c:pt idx="1">
                  <c:v>2019年</c:v>
                </c:pt>
                <c:pt idx="2">
                  <c:v>2020年</c:v>
                </c:pt>
                <c:pt idx="3">
                  <c:v>2021年</c:v>
                </c:pt>
                <c:pt idx="4">
                  <c:v>2022年</c:v>
                </c:pt>
              </c:strCache>
            </c:strRef>
          </c:cat>
          <c:val>
            <c:numRef>
              <c:f>Sheet1!$D$39:$D$43</c:f>
              <c:numCache>
                <c:formatCode>0.00_);[Red]\(0.00\)</c:formatCode>
                <c:ptCount val="5"/>
                <c:pt idx="0">
                  <c:v>98.4933281605201</c:v>
                </c:pt>
                <c:pt idx="1">
                  <c:v>98.6193100243519</c:v>
                </c:pt>
                <c:pt idx="2">
                  <c:v>98.7719506505174</c:v>
                </c:pt>
                <c:pt idx="3">
                  <c:v>98.7795392543748</c:v>
                </c:pt>
                <c:pt idx="4">
                  <c:v>98.7795475679704</c:v>
                </c:pt>
              </c:numCache>
            </c:numRef>
          </c:val>
          <c:smooth val="1"/>
        </c:ser>
        <c:dLbls>
          <c:showLegendKey val="0"/>
          <c:showVal val="0"/>
          <c:showCatName val="0"/>
          <c:showSerName val="0"/>
          <c:showPercent val="0"/>
          <c:showBubbleSize val="0"/>
        </c:dLbls>
        <c:marker val="1"/>
        <c:smooth val="1"/>
        <c:axId val="777013888"/>
        <c:axId val="777011968"/>
      </c:lineChart>
      <c:catAx>
        <c:axId val="776995968"/>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6997504"/>
        <c:crosses val="autoZero"/>
        <c:auto val="1"/>
        <c:lblAlgn val="ctr"/>
        <c:lblOffset val="100"/>
        <c:noMultiLvlLbl val="0"/>
      </c:catAx>
      <c:valAx>
        <c:axId val="776997504"/>
        <c:scaling>
          <c:orientation val="minMax"/>
          <c:max val="108000"/>
          <c:min val="10000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公益林面积</a:t>
                </a:r>
                <a:endParaRPr lang="zh-CN" b="0">
                  <a:latin typeface="Times New Roman" panose="02020603050405020304" charset="0"/>
                  <a:ea typeface="等线" panose="02010600030101010101" charset="-122"/>
                  <a:cs typeface="Times New Roman" panose="02020603050405020304" charset="0"/>
                </a:endParaRPr>
              </a:p>
            </c:rich>
          </c:tx>
          <c:layout>
            <c:manualLayout>
              <c:xMode val="edge"/>
              <c:yMode val="edge"/>
              <c:x val="0.00676800333733118"/>
              <c:y val="0.361628830104102"/>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6995968"/>
        <c:crosses val="autoZero"/>
        <c:crossBetween val="between"/>
        <c:majorUnit val="1000"/>
      </c:valAx>
      <c:catAx>
        <c:axId val="77701388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7011968"/>
        <c:crosses val="autoZero"/>
        <c:auto val="1"/>
        <c:lblAlgn val="ctr"/>
        <c:lblOffset val="100"/>
        <c:noMultiLvlLbl val="0"/>
      </c:catAx>
      <c:valAx>
        <c:axId val="777011968"/>
        <c:scaling>
          <c:orientation val="minMax"/>
          <c:max val="100"/>
          <c:min val="98"/>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一、二类面积占比</a:t>
                </a:r>
                <a:endParaRPr lang="zh-CN" altLang="en-US" b="0">
                  <a:latin typeface="Times New Roman" panose="02020603050405020304" charset="0"/>
                  <a:ea typeface="等线" panose="02010600030101010101" charset="-122"/>
                  <a:cs typeface="Times New Roman" panose="02020603050405020304" charset="0"/>
                </a:endParaRPr>
              </a:p>
            </c:rich>
          </c:tx>
          <c:layout>
            <c:manualLayout>
              <c:xMode val="edge"/>
              <c:yMode val="edge"/>
              <c:x val="0.959050772626932"/>
              <c:y val="0.362983750626677"/>
            </c:manualLayout>
          </c:layout>
          <c:overlay val="0"/>
        </c:title>
        <c:numFmt formatCode="0.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7013888"/>
        <c:crosses val="max"/>
        <c:crossBetween val="between"/>
        <c:majorUnit val="0.5"/>
      </c:valAx>
      <c:spPr>
        <a:solidFill>
          <a:sysClr val="window" lastClr="FFFFFF">
            <a:lumMod val="95000"/>
          </a:sysClr>
        </a:solidFill>
      </c:spPr>
    </c:plotArea>
    <c:legend>
      <c:legendPos val="b"/>
      <c:layout>
        <c:manualLayout>
          <c:xMode val="edge"/>
          <c:yMode val="edge"/>
          <c:x val="0.0772626931567329"/>
          <c:y val="0.94664873632369"/>
          <c:w val="0.860035285324434"/>
          <c:h val="0.050828983455719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3047827354914"/>
          <c:y val="0.0355849989905108"/>
          <c:w val="0.886581802274716"/>
          <c:h val="0.778642550317815"/>
        </c:manualLayout>
      </c:layout>
      <c:barChart>
        <c:barDir val="col"/>
        <c:grouping val="clustered"/>
        <c:varyColors val="0"/>
        <c:ser>
          <c:idx val="0"/>
          <c:order val="0"/>
          <c:tx>
            <c:strRef>
              <c:f>石漠化2!$B$1</c:f>
              <c:strCache>
                <c:ptCount val="1"/>
                <c:pt idx="0">
                  <c:v>潜在石漠化</c:v>
                </c:pt>
              </c:strCache>
            </c:strRef>
          </c:tx>
          <c:invertIfNegative val="0"/>
          <c:dLbls>
            <c:dLbl>
              <c:idx val="0"/>
              <c:layout>
                <c:manualLayout>
                  <c:x val="-0.003703703703703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09975062344139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703703703703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delete val="1"/>
            </c:dLbl>
            <c:dLbl>
              <c:idx val="4"/>
              <c:delete val="1"/>
            </c:dLbl>
            <c:dLbl>
              <c:idx val="5"/>
              <c:delete val="1"/>
            </c:dLbl>
            <c:dLbl>
              <c:idx val="6"/>
              <c:delete val="1"/>
            </c:dLbl>
            <c:dLbl>
              <c:idx val="7"/>
              <c:delete val="1"/>
            </c:dLbl>
            <c:dLbl>
              <c:idx val="8"/>
              <c:layout>
                <c:manualLayout>
                  <c:x val="-0.00740740740740741"/>
                  <c:y val="0.003325020781379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delete val="1"/>
            </c:dLbl>
            <c:dLbl>
              <c:idx val="11"/>
              <c:delete val="1"/>
            </c:dLbl>
            <c:dLbl>
              <c:idx val="12"/>
              <c:delete val="1"/>
            </c:dLbl>
            <c:dLbl>
              <c:idx val="14"/>
              <c:delete val="1"/>
            </c:dLbl>
            <c:dLbl>
              <c:idx val="15"/>
              <c:delete val="1"/>
            </c:dLbl>
            <c:dLbl>
              <c:idx val="16"/>
              <c:delete val="1"/>
            </c:dLbl>
            <c:dLbl>
              <c:idx val="17"/>
              <c:delete val="1"/>
            </c:dLbl>
            <c:numFmt formatCode="#,##0.0_);[Red]\(#,##0.0\)" sourceLinked="0"/>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石漠化2!$A$2:$A$19</c:f>
              <c:strCache>
                <c:ptCount val="18"/>
                <c:pt idx="0">
                  <c:v>上坪</c:v>
                </c:pt>
                <c:pt idx="1">
                  <c:v>元善</c:v>
                </c:pt>
                <c:pt idx="2">
                  <c:v>陂头</c:v>
                </c:pt>
                <c:pt idx="3">
                  <c:v>内莞</c:v>
                </c:pt>
                <c:pt idx="4">
                  <c:v>溪山</c:v>
                </c:pt>
                <c:pt idx="5">
                  <c:v>田源</c:v>
                </c:pt>
                <c:pt idx="6">
                  <c:v>隆街</c:v>
                </c:pt>
                <c:pt idx="7">
                  <c:v>高莞</c:v>
                </c:pt>
                <c:pt idx="8">
                  <c:v>油溪</c:v>
                </c:pt>
                <c:pt idx="9">
                  <c:v>忠信</c:v>
                </c:pt>
                <c:pt idx="10">
                  <c:v>三角</c:v>
                </c:pt>
                <c:pt idx="11">
                  <c:v>大湖</c:v>
                </c:pt>
                <c:pt idx="12">
                  <c:v>绣缎</c:v>
                </c:pt>
                <c:pt idx="13">
                  <c:v>黄牛石</c:v>
                </c:pt>
                <c:pt idx="14">
                  <c:v>林科所</c:v>
                </c:pt>
                <c:pt idx="15">
                  <c:v>莲塘茶场</c:v>
                </c:pt>
                <c:pt idx="16">
                  <c:v>牛岭水林场</c:v>
                </c:pt>
                <c:pt idx="17">
                  <c:v>九连山林场</c:v>
                </c:pt>
              </c:strCache>
            </c:strRef>
          </c:cat>
          <c:val>
            <c:numRef>
              <c:f>石漠化2!$B$2:$B$19</c:f>
              <c:numCache>
                <c:formatCode>0.00_ </c:formatCode>
                <c:ptCount val="18"/>
                <c:pt idx="0">
                  <c:v>48.4086</c:v>
                </c:pt>
                <c:pt idx="1">
                  <c:v>36.7025</c:v>
                </c:pt>
                <c:pt idx="2">
                  <c:v>1.0953</c:v>
                </c:pt>
                <c:pt idx="3">
                  <c:v>0</c:v>
                </c:pt>
                <c:pt idx="4">
                  <c:v>0</c:v>
                </c:pt>
                <c:pt idx="5">
                  <c:v>0</c:v>
                </c:pt>
                <c:pt idx="6">
                  <c:v>0</c:v>
                </c:pt>
                <c:pt idx="7">
                  <c:v>0</c:v>
                </c:pt>
                <c:pt idx="8">
                  <c:v>50.5096</c:v>
                </c:pt>
                <c:pt idx="9">
                  <c:v>16.034</c:v>
                </c:pt>
                <c:pt idx="10">
                  <c:v>0</c:v>
                </c:pt>
                <c:pt idx="11">
                  <c:v>0</c:v>
                </c:pt>
                <c:pt idx="12">
                  <c:v>0</c:v>
                </c:pt>
                <c:pt idx="13">
                  <c:v>23.7344</c:v>
                </c:pt>
                <c:pt idx="14">
                  <c:v>0</c:v>
                </c:pt>
                <c:pt idx="15">
                  <c:v>0</c:v>
                </c:pt>
                <c:pt idx="16">
                  <c:v>0</c:v>
                </c:pt>
                <c:pt idx="17">
                  <c:v>0</c:v>
                </c:pt>
              </c:numCache>
            </c:numRef>
          </c:val>
        </c:ser>
        <c:ser>
          <c:idx val="1"/>
          <c:order val="1"/>
          <c:tx>
            <c:strRef>
              <c:f>石漠化2!$C$1</c:f>
              <c:strCache>
                <c:ptCount val="1"/>
                <c:pt idx="0">
                  <c:v>石漠化</c:v>
                </c:pt>
              </c:strCache>
            </c:strRef>
          </c:tx>
          <c:invertIfNegative val="0"/>
          <c:dLbls>
            <c:dLbl>
              <c:idx val="0"/>
              <c:layout>
                <c:manualLayout>
                  <c:x val="0.012962962962963"/>
                  <c:y val="-0.009975062344139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5555555555555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delete val="1"/>
            </c:dLbl>
            <c:dLbl>
              <c:idx val="7"/>
              <c:delete val="1"/>
            </c:dLbl>
            <c:dLbl>
              <c:idx val="8"/>
              <c:layout>
                <c:manualLayout>
                  <c:x val="0.009259259259259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55555555555555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delete val="1"/>
            </c:dLbl>
            <c:dLbl>
              <c:idx val="11"/>
              <c:delete val="1"/>
            </c:dLbl>
            <c:dLbl>
              <c:idx val="13"/>
              <c:layout>
                <c:manualLayout>
                  <c:x val="0.0074074074074074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delete val="1"/>
            </c:dLbl>
            <c:dLbl>
              <c:idx val="15"/>
              <c:delete val="1"/>
            </c:dLbl>
            <c:dLbl>
              <c:idx val="16"/>
              <c:delete val="1"/>
            </c:dLbl>
            <c:dLbl>
              <c:idx val="17"/>
              <c:delete val="1"/>
            </c:dLbl>
            <c:numFmt formatCode="#,##0.0_);[Red]\(#,##0.0\)" sourceLinked="0"/>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石漠化2!$A$2:$A$19</c:f>
              <c:strCache>
                <c:ptCount val="18"/>
                <c:pt idx="0">
                  <c:v>上坪</c:v>
                </c:pt>
                <c:pt idx="1">
                  <c:v>元善</c:v>
                </c:pt>
                <c:pt idx="2">
                  <c:v>陂头</c:v>
                </c:pt>
                <c:pt idx="3">
                  <c:v>内莞</c:v>
                </c:pt>
                <c:pt idx="4">
                  <c:v>溪山</c:v>
                </c:pt>
                <c:pt idx="5">
                  <c:v>田源</c:v>
                </c:pt>
                <c:pt idx="6">
                  <c:v>隆街</c:v>
                </c:pt>
                <c:pt idx="7">
                  <c:v>高莞</c:v>
                </c:pt>
                <c:pt idx="8">
                  <c:v>油溪</c:v>
                </c:pt>
                <c:pt idx="9">
                  <c:v>忠信</c:v>
                </c:pt>
                <c:pt idx="10">
                  <c:v>三角</c:v>
                </c:pt>
                <c:pt idx="11">
                  <c:v>大湖</c:v>
                </c:pt>
                <c:pt idx="12">
                  <c:v>绣缎</c:v>
                </c:pt>
                <c:pt idx="13">
                  <c:v>黄牛石</c:v>
                </c:pt>
                <c:pt idx="14">
                  <c:v>林科所</c:v>
                </c:pt>
                <c:pt idx="15">
                  <c:v>莲塘茶场</c:v>
                </c:pt>
                <c:pt idx="16">
                  <c:v>牛岭水林场</c:v>
                </c:pt>
                <c:pt idx="17">
                  <c:v>九连山林场</c:v>
                </c:pt>
              </c:strCache>
            </c:strRef>
          </c:cat>
          <c:val>
            <c:numRef>
              <c:f>石漠化2!$C$2:$C$19</c:f>
              <c:numCache>
                <c:formatCode>0.00_ </c:formatCode>
                <c:ptCount val="18"/>
                <c:pt idx="0">
                  <c:v>44.0003</c:v>
                </c:pt>
                <c:pt idx="1">
                  <c:v>11.4995</c:v>
                </c:pt>
                <c:pt idx="2">
                  <c:v>252.0275</c:v>
                </c:pt>
                <c:pt idx="3">
                  <c:v>12.969</c:v>
                </c:pt>
                <c:pt idx="4">
                  <c:v>369.7639</c:v>
                </c:pt>
                <c:pt idx="5">
                  <c:v>4.5073</c:v>
                </c:pt>
                <c:pt idx="6">
                  <c:v>0</c:v>
                </c:pt>
                <c:pt idx="7">
                  <c:v>0</c:v>
                </c:pt>
                <c:pt idx="8">
                  <c:v>53.4823</c:v>
                </c:pt>
                <c:pt idx="9">
                  <c:v>3.9057</c:v>
                </c:pt>
                <c:pt idx="10">
                  <c:v>0</c:v>
                </c:pt>
                <c:pt idx="11">
                  <c:v>0</c:v>
                </c:pt>
                <c:pt idx="12">
                  <c:v>2.0287</c:v>
                </c:pt>
                <c:pt idx="13">
                  <c:v>6.5224</c:v>
                </c:pt>
                <c:pt idx="14">
                  <c:v>0</c:v>
                </c:pt>
                <c:pt idx="15">
                  <c:v>0</c:v>
                </c:pt>
                <c:pt idx="16">
                  <c:v>0</c:v>
                </c:pt>
                <c:pt idx="17">
                  <c:v>0</c:v>
                </c:pt>
              </c:numCache>
            </c:numRef>
          </c:val>
        </c:ser>
        <c:dLbls>
          <c:showLegendKey val="0"/>
          <c:showVal val="0"/>
          <c:showCatName val="0"/>
          <c:showSerName val="0"/>
          <c:showPercent val="0"/>
          <c:showBubbleSize val="0"/>
        </c:dLbls>
        <c:gapWidth val="150"/>
        <c:axId val="776691712"/>
        <c:axId val="776693248"/>
      </c:barChart>
      <c:catAx>
        <c:axId val="776691712"/>
        <c:scaling>
          <c:orientation val="minMax"/>
        </c:scaling>
        <c:delete val="0"/>
        <c:axPos val="b"/>
        <c:majorTickMark val="none"/>
        <c:minorTickMark val="cross"/>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6693248"/>
        <c:crosses val="autoZero"/>
        <c:auto val="1"/>
        <c:lblAlgn val="ctr"/>
        <c:lblOffset val="100"/>
        <c:noMultiLvlLbl val="0"/>
      </c:catAx>
      <c:valAx>
        <c:axId val="776693248"/>
        <c:scaling>
          <c:orientation val="minMax"/>
          <c:max val="40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单位：公顷</a:t>
                </a:r>
                <a:endParaRPr lang="zh-CN" altLang="en-US" b="0">
                  <a:latin typeface="等线" panose="02010600030101010101" charset="-122"/>
                  <a:ea typeface="等线" panose="02010600030101010101" charset="-122"/>
                </a:endParaRPr>
              </a:p>
            </c:rich>
          </c:tx>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6691712"/>
        <c:crosses val="autoZero"/>
        <c:crossBetween val="between"/>
        <c:majorUnit val="50"/>
      </c:valAx>
      <c:spPr>
        <a:solidFill>
          <a:sysClr val="window" lastClr="FFFFFF">
            <a:lumMod val="95000"/>
          </a:sysClr>
        </a:solidFill>
        <a:ln>
          <a:solidFill>
            <a:schemeClr val="bg1">
              <a:lumMod val="85000"/>
            </a:schemeClr>
          </a:solidFill>
        </a:ln>
      </c:spPr>
    </c:plotArea>
    <c:legend>
      <c:legendPos val="b"/>
      <c:layout>
        <c:manualLayout>
          <c:xMode val="edge"/>
          <c:yMode val="edge"/>
          <c:x val="0.372538713910761"/>
          <c:y val="0.930114451806056"/>
          <c:w val="0.254922408136483"/>
          <c:h val="0.0698856555973981"/>
        </c:manualLayout>
      </c:layout>
      <c:overlay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353757104865"/>
          <c:y val="0.0186632591978634"/>
          <c:w val="0.788269628548087"/>
          <c:h val="0.769554577736606"/>
        </c:manualLayout>
      </c:layout>
      <c:barChart>
        <c:barDir val="col"/>
        <c:grouping val="clustered"/>
        <c:varyColors val="0"/>
        <c:ser>
          <c:idx val="0"/>
          <c:order val="0"/>
          <c:tx>
            <c:strRef>
              <c:f>Sheet4!$B$1562</c:f>
              <c:strCache>
                <c:ptCount val="1"/>
                <c:pt idx="0">
                  <c:v>合计面积（公顷）</c:v>
                </c:pt>
              </c:strCache>
            </c:strRef>
          </c:tx>
          <c:spPr>
            <a:solidFill>
              <a:srgbClr val="336600"/>
            </a:solidFill>
          </c:spPr>
          <c:invertIfNegative val="0"/>
          <c:dLbls>
            <c:dLbl>
              <c:idx val="0"/>
              <c:layout>
                <c:manualLayout>
                  <c:x val="-0.0107671601615074"/>
                  <c:y val="-0.0008557811852465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29108776078758"/>
                  <c:y val="0.006202459986619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1401850340713e-5"/>
                  <c:y val="0.005514804070543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4672206832872"/>
                  <c:y val="0.0006518488986345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3257125754017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046783625730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84672206832872"/>
                  <c:y val="0.001640189713127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55401662049861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3">
                          <a:satMod val="175000"/>
                          <a:alpha val="40000"/>
                        </a:schemeClr>
                      </a:glow>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Sheet4!$A$1563:$A$1576</c:f>
              <c:strCache>
                <c:ptCount val="14"/>
                <c:pt idx="0">
                  <c:v>上坪</c:v>
                </c:pt>
                <c:pt idx="1">
                  <c:v>元善</c:v>
                </c:pt>
                <c:pt idx="2">
                  <c:v>陂头</c:v>
                </c:pt>
                <c:pt idx="3">
                  <c:v>内莞</c:v>
                </c:pt>
                <c:pt idx="4">
                  <c:v>溪山</c:v>
                </c:pt>
                <c:pt idx="5">
                  <c:v>田源</c:v>
                </c:pt>
                <c:pt idx="6">
                  <c:v>隆街</c:v>
                </c:pt>
                <c:pt idx="7">
                  <c:v>油溪</c:v>
                </c:pt>
                <c:pt idx="8">
                  <c:v>忠信</c:v>
                </c:pt>
                <c:pt idx="9">
                  <c:v>三角</c:v>
                </c:pt>
                <c:pt idx="10">
                  <c:v>绣缎</c:v>
                </c:pt>
                <c:pt idx="11">
                  <c:v>莲塘</c:v>
                </c:pt>
                <c:pt idx="12">
                  <c:v>牛岭水林场</c:v>
                </c:pt>
                <c:pt idx="13">
                  <c:v>九连山林场</c:v>
                </c:pt>
              </c:strCache>
            </c:strRef>
          </c:cat>
          <c:val>
            <c:numRef>
              <c:f>Sheet4!$B$1563:$B$1576</c:f>
              <c:numCache>
                <c:formatCode>0.00_ </c:formatCode>
                <c:ptCount val="14"/>
                <c:pt idx="0">
                  <c:v>467.0931</c:v>
                </c:pt>
                <c:pt idx="1">
                  <c:v>17.5396</c:v>
                </c:pt>
                <c:pt idx="2">
                  <c:v>53.0564</c:v>
                </c:pt>
                <c:pt idx="3">
                  <c:v>2.4106</c:v>
                </c:pt>
                <c:pt idx="4">
                  <c:v>373.581</c:v>
                </c:pt>
                <c:pt idx="5">
                  <c:v>145.9541</c:v>
                </c:pt>
                <c:pt idx="6">
                  <c:v>450.4383</c:v>
                </c:pt>
                <c:pt idx="7">
                  <c:v>0.3217</c:v>
                </c:pt>
                <c:pt idx="8">
                  <c:v>109.5399</c:v>
                </c:pt>
                <c:pt idx="9">
                  <c:v>186.0703</c:v>
                </c:pt>
                <c:pt idx="10">
                  <c:v>10.5489</c:v>
                </c:pt>
                <c:pt idx="11">
                  <c:v>44.0851</c:v>
                </c:pt>
                <c:pt idx="12">
                  <c:v>15.5047</c:v>
                </c:pt>
                <c:pt idx="13">
                  <c:v>746.1362</c:v>
                </c:pt>
              </c:numCache>
            </c:numRef>
          </c:val>
        </c:ser>
        <c:dLbls>
          <c:showLegendKey val="0"/>
          <c:showVal val="0"/>
          <c:showCatName val="0"/>
          <c:showSerName val="0"/>
          <c:showPercent val="0"/>
          <c:showBubbleSize val="0"/>
        </c:dLbls>
        <c:gapWidth val="150"/>
        <c:axId val="777228672"/>
        <c:axId val="777230208"/>
      </c:barChart>
      <c:lineChart>
        <c:grouping val="standard"/>
        <c:varyColors val="0"/>
        <c:ser>
          <c:idx val="1"/>
          <c:order val="1"/>
          <c:tx>
            <c:strRef>
              <c:f>Sheet4!$C$1562</c:f>
              <c:strCache>
                <c:ptCount val="1"/>
                <c:pt idx="0">
                  <c:v>占比（%）</c:v>
                </c:pt>
              </c:strCache>
            </c:strRef>
          </c:tx>
          <c:spPr>
            <a:ln w="25400" cap="rnd" cmpd="sng" algn="ctr">
              <a:solidFill>
                <a:srgbClr val="FF0000"/>
              </a:solidFill>
              <a:prstDash val="solid"/>
              <a:round/>
            </a:ln>
          </c:spPr>
          <c:marker>
            <c:symbol val="circle"/>
            <c:size val="6"/>
            <c:spPr>
              <a:solidFill>
                <a:sysClr val="window" lastClr="FFFFFF"/>
              </a:solidFill>
              <a:ln w="9525" cap="flat" cmpd="sng" algn="ctr">
                <a:solidFill>
                  <a:srgbClr val="FF0000"/>
                </a:solidFill>
                <a:prstDash val="solid"/>
                <a:round/>
              </a:ln>
            </c:spPr>
          </c:marker>
          <c:dLbls>
            <c:dLbl>
              <c:idx val="0"/>
              <c:layout>
                <c:manualLayout>
                  <c:x val="-0.0398962298586849"/>
                  <c:y val="-0.03530460939573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0392804994939"/>
                  <c:y val="-0.012899747825639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76453199322781"/>
                  <c:y val="0.009632031290206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037954726649"/>
                  <c:y val="0.01387705213318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53200883002208"/>
                  <c:y val="0.033175617092807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27531285551763"/>
                  <c:y val="0.034399670629406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455062571103527"/>
                  <c:y val="0.006535947712418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554016620498615"/>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794701986754967"/>
                  <c:y val="0.00599250936329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effectLst>
                      <a:glow rad="635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Sheet4!$A$1563:$A$1576</c:f>
              <c:strCache>
                <c:ptCount val="14"/>
                <c:pt idx="0">
                  <c:v>上坪</c:v>
                </c:pt>
                <c:pt idx="1">
                  <c:v>元善</c:v>
                </c:pt>
                <c:pt idx="2">
                  <c:v>陂头</c:v>
                </c:pt>
                <c:pt idx="3">
                  <c:v>内莞</c:v>
                </c:pt>
                <c:pt idx="4">
                  <c:v>溪山</c:v>
                </c:pt>
                <c:pt idx="5">
                  <c:v>田源</c:v>
                </c:pt>
                <c:pt idx="6">
                  <c:v>隆街</c:v>
                </c:pt>
                <c:pt idx="7">
                  <c:v>油溪</c:v>
                </c:pt>
                <c:pt idx="8">
                  <c:v>忠信</c:v>
                </c:pt>
                <c:pt idx="9">
                  <c:v>三角</c:v>
                </c:pt>
                <c:pt idx="10">
                  <c:v>绣缎</c:v>
                </c:pt>
                <c:pt idx="11">
                  <c:v>莲塘</c:v>
                </c:pt>
                <c:pt idx="12">
                  <c:v>牛岭水林场</c:v>
                </c:pt>
                <c:pt idx="13">
                  <c:v>九连山林场</c:v>
                </c:pt>
              </c:strCache>
            </c:strRef>
          </c:cat>
          <c:val>
            <c:numRef>
              <c:f>Sheet4!$C$1563:$C$1576</c:f>
              <c:numCache>
                <c:formatCode>0.00_ </c:formatCode>
                <c:ptCount val="14"/>
                <c:pt idx="0">
                  <c:v>17.8124806585292</c:v>
                </c:pt>
                <c:pt idx="1">
                  <c:v>0.668868338578197</c:v>
                </c:pt>
                <c:pt idx="2">
                  <c:v>2.02329278426761</c:v>
                </c:pt>
                <c:pt idx="3">
                  <c:v>0.0919276389984151</c:v>
                </c:pt>
                <c:pt idx="4">
                  <c:v>14.2464196899805</c:v>
                </c:pt>
                <c:pt idx="5">
                  <c:v>5.56592375970239</c:v>
                </c:pt>
                <c:pt idx="6">
                  <c:v>17.1773539506595</c:v>
                </c:pt>
                <c:pt idx="7">
                  <c:v>0.012267950496055</c:v>
                </c:pt>
                <c:pt idx="8">
                  <c:v>4.17727718539886</c:v>
                </c:pt>
                <c:pt idx="9">
                  <c:v>7.09574519485887</c:v>
                </c:pt>
                <c:pt idx="10">
                  <c:v>0.40227971087297</c:v>
                </c:pt>
                <c:pt idx="11">
                  <c:v>1.68117446196342</c:v>
                </c:pt>
                <c:pt idx="12">
                  <c:v>0.591267926814372</c:v>
                </c:pt>
                <c:pt idx="13">
                  <c:v>28.4537207488796</c:v>
                </c:pt>
              </c:numCache>
            </c:numRef>
          </c:val>
          <c:smooth val="1"/>
        </c:ser>
        <c:dLbls>
          <c:showLegendKey val="0"/>
          <c:showVal val="0"/>
          <c:showCatName val="0"/>
          <c:showSerName val="0"/>
          <c:showPercent val="0"/>
          <c:showBubbleSize val="0"/>
        </c:dLbls>
        <c:marker val="1"/>
        <c:smooth val="1"/>
        <c:axId val="777254784"/>
        <c:axId val="777252864"/>
      </c:lineChart>
      <c:catAx>
        <c:axId val="777228672"/>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7230208"/>
        <c:crosses val="autoZero"/>
        <c:auto val="1"/>
        <c:lblAlgn val="ctr"/>
        <c:lblOffset val="100"/>
        <c:noMultiLvlLbl val="0"/>
      </c:catAx>
      <c:valAx>
        <c:axId val="777230208"/>
        <c:scaling>
          <c:orientation val="minMax"/>
          <c:max val="80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林地土壤侵蚀面积（公顷）</a:t>
                </a:r>
                <a:endParaRPr lang="zh-CN" b="0">
                  <a:latin typeface="Times New Roman" panose="02020603050405020304" charset="0"/>
                  <a:ea typeface="等线" panose="02010600030101010101" charset="-122"/>
                  <a:cs typeface="Times New Roman" panose="02020603050405020304" charset="0"/>
                </a:endParaRPr>
              </a:p>
            </c:rich>
          </c:tx>
          <c:layout>
            <c:manualLayout>
              <c:xMode val="edge"/>
              <c:yMode val="edge"/>
              <c:x val="0.00897550885609497"/>
              <c:y val="0.334662537969271"/>
            </c:manualLayout>
          </c:layout>
          <c:overlay val="0"/>
        </c:title>
        <c:numFmt formatCode="#,##0_);[Red]\(#,##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7228672"/>
        <c:crosses val="autoZero"/>
        <c:crossBetween val="between"/>
        <c:majorUnit val="100"/>
      </c:valAx>
      <c:catAx>
        <c:axId val="777254784"/>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7252864"/>
        <c:crosses val="autoZero"/>
        <c:auto val="1"/>
        <c:lblAlgn val="ctr"/>
        <c:lblOffset val="100"/>
        <c:noMultiLvlLbl val="0"/>
      </c:catAx>
      <c:valAx>
        <c:axId val="777252864"/>
        <c:scaling>
          <c:orientation val="minMax"/>
          <c:max val="40"/>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土壤侵蚀面积占比（</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manualLayout>
              <c:xMode val="edge"/>
              <c:yMode val="edge"/>
              <c:x val="0.959050818306415"/>
              <c:y val="0.334387061911379"/>
            </c:manualLayout>
          </c:layout>
          <c:overlay val="0"/>
        </c:title>
        <c:numFmt formatCode="0.0_ " sourceLinked="0"/>
        <c:majorTickMark val="out"/>
        <c:minorTickMark val="none"/>
        <c:tickLblPos val="nextTo"/>
        <c:spPr>
          <a:ln w="9525" cap="flat" cmpd="sng" algn="ctr">
            <a:solidFill>
              <a:sysClr val="window" lastClr="FFFFFF">
                <a:lumMod val="85000"/>
              </a:sys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77254784"/>
        <c:crosses val="max"/>
        <c:crossBetween val="between"/>
        <c:majorUnit val="3"/>
      </c:valAx>
      <c:spPr>
        <a:solidFill>
          <a:sysClr val="window" lastClr="FFFFFF">
            <a:lumMod val="95000"/>
          </a:sysClr>
        </a:solidFill>
      </c:spPr>
    </c:plotArea>
    <c:legend>
      <c:legendPos val="b"/>
      <c:layout>
        <c:manualLayout>
          <c:xMode val="edge"/>
          <c:yMode val="edge"/>
          <c:x val="0.0772626931567329"/>
          <c:y val="0.94664873632369"/>
          <c:w val="0.860035285324434"/>
          <c:h val="0.050828983455719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223896318448"/>
          <c:y val="0.0420549988069673"/>
          <c:w val="0.803265853597953"/>
          <c:h val="0.751458482462419"/>
        </c:manualLayout>
      </c:layout>
      <c:areaChart>
        <c:grouping val="standard"/>
        <c:varyColors val="0"/>
        <c:ser>
          <c:idx val="2"/>
          <c:order val="2"/>
          <c:tx>
            <c:strRef>
              <c:f>持证矿山分析!$H$20</c:f>
              <c:strCache>
                <c:ptCount val="1"/>
                <c:pt idx="0">
                  <c:v>矿区面积</c:v>
                </c:pt>
              </c:strCache>
            </c:strRef>
          </c:tx>
          <c:spPr>
            <a:solidFill>
              <a:schemeClr val="accent6">
                <a:lumMod val="40000"/>
                <a:lumOff val="60000"/>
              </a:schemeClr>
            </a:solidFill>
            <a:ln w="9525" cap="flat" cmpd="sng" algn="ctr">
              <a:solidFill>
                <a:schemeClr val="accent6">
                  <a:lumMod val="75000"/>
                </a:schemeClr>
              </a:solidFill>
              <a:prstDash val="solid"/>
              <a:round/>
            </a:ln>
          </c:spPr>
          <c:dLbls>
            <c:dLbl>
              <c:idx val="0"/>
              <c:layout>
                <c:manualLayout>
                  <c:x val="-0.00420609884332282"/>
                  <c:y val="-0.07575757575757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5303030303030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91683019117878"/>
                  <c:y val="-0.117424540682415"/>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96745241229704"/>
                  <c:y val="-0.12121271772846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568181818181818"/>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00530730188695"/>
                  <c:y val="-0.0643939393939394"/>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15457413249211"/>
                  <c:y val="-0.390151813409687"/>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5751840168244"/>
                  <c:y val="-0.196969696969697"/>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75569023903558"/>
                  <c:y val="-0.0340909090909091"/>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6">
                  <a:lumMod val="20000"/>
                  <a:lumOff val="80000"/>
                  <a:alpha val="86000"/>
                </a:schemeClr>
              </a:solidFill>
              <a:ln>
                <a:noFill/>
              </a:ln>
              <a:effectLst/>
            </c:spPr>
            <c:txPr>
              <a:bodyPr rot="0" spcFirstLastPara="0" vertOverflow="ellipsis" vert="horz" wrap="square" lIns="38100" tIns="19050" rIns="38100" bIns="19050" anchor="t" anchorCtr="1"/>
              <a:lstStyle/>
              <a:p>
                <a:pPr>
                  <a:defRPr lang="zh-CN" sz="70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持证矿山分析!$E$21:$E$29</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持证矿山分析!$H$21:$H$29</c:f>
              <c:numCache>
                <c:formatCode>0.000_ </c:formatCode>
                <c:ptCount val="9"/>
                <c:pt idx="0">
                  <c:v>0.2091</c:v>
                </c:pt>
                <c:pt idx="1">
                  <c:v>0.053</c:v>
                </c:pt>
                <c:pt idx="2">
                  <c:v>0.4183</c:v>
                </c:pt>
                <c:pt idx="3">
                  <c:v>0.4439</c:v>
                </c:pt>
                <c:pt idx="4">
                  <c:v>0.12</c:v>
                </c:pt>
                <c:pt idx="5">
                  <c:v>0.1246</c:v>
                </c:pt>
                <c:pt idx="6">
                  <c:v>1.98</c:v>
                </c:pt>
                <c:pt idx="7">
                  <c:v>1.0853</c:v>
                </c:pt>
                <c:pt idx="8">
                  <c:v>0.0401</c:v>
                </c:pt>
              </c:numCache>
            </c:numRef>
          </c:val>
        </c:ser>
        <c:dLbls>
          <c:showLegendKey val="0"/>
          <c:showVal val="0"/>
          <c:showCatName val="0"/>
          <c:showSerName val="0"/>
          <c:showPercent val="0"/>
          <c:showBubbleSize val="0"/>
        </c:dLbls>
        <c:axId val="378395264"/>
        <c:axId val="378393344"/>
      </c:areaChart>
      <c:barChart>
        <c:barDir val="col"/>
        <c:grouping val="clustered"/>
        <c:varyColors val="0"/>
        <c:ser>
          <c:idx val="0"/>
          <c:order val="0"/>
          <c:tx>
            <c:strRef>
              <c:f>持证矿山分析!$F$20</c:f>
              <c:strCache>
                <c:ptCount val="1"/>
                <c:pt idx="0">
                  <c:v>持证有效矿权总数</c:v>
                </c:pt>
              </c:strCache>
            </c:strRef>
          </c:tx>
          <c:spPr>
            <a:solidFill>
              <a:srgbClr val="003300"/>
            </a:solidFill>
          </c:spPr>
          <c:invertIfNegative val="0"/>
          <c:dLbls>
            <c:spPr>
              <a:no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800" b="1" i="0" u="none" strike="noStrike" kern="1200" baseline="0">
                    <a:solidFill>
                      <a:srgbClr val="0066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持证矿山分析!$E$21:$E$29</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持证矿山分析!$F$21:$F$29</c:f>
              <c:numCache>
                <c:formatCode>General</c:formatCode>
                <c:ptCount val="9"/>
                <c:pt idx="0">
                  <c:v>2</c:v>
                </c:pt>
                <c:pt idx="1">
                  <c:v>1</c:v>
                </c:pt>
                <c:pt idx="2">
                  <c:v>3</c:v>
                </c:pt>
                <c:pt idx="3">
                  <c:v>2</c:v>
                </c:pt>
                <c:pt idx="4">
                  <c:v>1</c:v>
                </c:pt>
                <c:pt idx="5">
                  <c:v>2</c:v>
                </c:pt>
                <c:pt idx="6">
                  <c:v>1</c:v>
                </c:pt>
                <c:pt idx="7">
                  <c:v>2</c:v>
                </c:pt>
                <c:pt idx="8">
                  <c:v>1</c:v>
                </c:pt>
              </c:numCache>
            </c:numRef>
          </c:val>
        </c:ser>
        <c:ser>
          <c:idx val="1"/>
          <c:order val="1"/>
          <c:tx>
            <c:strRef>
              <c:f>持证矿山分析!$G$20</c:f>
              <c:strCache>
                <c:ptCount val="1"/>
                <c:pt idx="0">
                  <c:v>持证在采矿权数</c:v>
                </c:pt>
              </c:strCache>
            </c:strRef>
          </c:tx>
          <c:spPr>
            <a:solidFill>
              <a:srgbClr val="666633"/>
            </a:solidFill>
          </c:spPr>
          <c:invertIfNegative val="0"/>
          <c:dLbls>
            <c:dLbl>
              <c:idx val="0"/>
              <c:delete val="1"/>
            </c:dLbl>
            <c:dLbl>
              <c:idx val="1"/>
              <c:delete val="1"/>
            </c:dLbl>
            <c:dLbl>
              <c:idx val="2"/>
              <c:delete val="1"/>
            </c:dLbl>
            <c:dLbl>
              <c:idx val="3"/>
              <c:delete val="1"/>
            </c:dLbl>
            <c:dLbl>
              <c:idx val="4"/>
              <c:delete val="1"/>
            </c:dLbl>
            <c:dLbl>
              <c:idx val="8"/>
              <c:delete val="1"/>
            </c:dLbl>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rgbClr val="666633"/>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持证矿山分析!$E$21:$E$29</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持证矿山分析!$G$21:$G$29</c:f>
              <c:numCache>
                <c:formatCode>General</c:formatCode>
                <c:ptCount val="9"/>
                <c:pt idx="0">
                  <c:v>0</c:v>
                </c:pt>
                <c:pt idx="1">
                  <c:v>0</c:v>
                </c:pt>
                <c:pt idx="2">
                  <c:v>0</c:v>
                </c:pt>
                <c:pt idx="3">
                  <c:v>0</c:v>
                </c:pt>
                <c:pt idx="4">
                  <c:v>0</c:v>
                </c:pt>
                <c:pt idx="5">
                  <c:v>1</c:v>
                </c:pt>
                <c:pt idx="6">
                  <c:v>1</c:v>
                </c:pt>
                <c:pt idx="7">
                  <c:v>2</c:v>
                </c:pt>
                <c:pt idx="8">
                  <c:v>0</c:v>
                </c:pt>
              </c:numCache>
            </c:numRef>
          </c:val>
        </c:ser>
        <c:dLbls>
          <c:showLegendKey val="0"/>
          <c:showVal val="0"/>
          <c:showCatName val="0"/>
          <c:showSerName val="0"/>
          <c:showPercent val="0"/>
          <c:showBubbleSize val="0"/>
        </c:dLbls>
        <c:gapWidth val="150"/>
        <c:axId val="378376960"/>
        <c:axId val="378378880"/>
      </c:barChart>
      <c:lineChart>
        <c:grouping val="standard"/>
        <c:varyColors val="0"/>
        <c:ser>
          <c:idx val="3"/>
          <c:order val="3"/>
          <c:tx>
            <c:strRef>
              <c:f>持证矿山分析!$I$20</c:f>
              <c:strCache>
                <c:ptCount val="1"/>
                <c:pt idx="0">
                  <c:v>露天开采面积</c:v>
                </c:pt>
              </c:strCache>
            </c:strRef>
          </c:tx>
          <c:spPr>
            <a:ln w="25400" cap="rnd" cmpd="sng" algn="ctr">
              <a:solidFill>
                <a:srgbClr val="FFFF00"/>
              </a:solidFill>
              <a:prstDash val="solid"/>
              <a:round/>
            </a:ln>
          </c:spPr>
          <c:marker>
            <c:symbol val="circle"/>
            <c:size val="5"/>
            <c:spPr>
              <a:solidFill>
                <a:srgbClr val="FFFF00"/>
              </a:solidFill>
              <a:ln w="9525" cap="flat" cmpd="sng" algn="ctr">
                <a:solidFill>
                  <a:schemeClr val="accent6">
                    <a:lumMod val="75000"/>
                  </a:schemeClr>
                </a:solidFill>
                <a:prstDash val="solid"/>
                <a:round/>
              </a:ln>
            </c:spPr>
          </c:marker>
          <c:dLbls>
            <c:dLbl>
              <c:idx val="0"/>
              <c:layout>
                <c:manualLayout>
                  <c:x val="-0.0455267145234606"/>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67016929363689"/>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03561004086398"/>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43667921544833"/>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757575757575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136363636363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67717454757735"/>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139957111039354"/>
                  <c:y val="-0.03030303030303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FFFFCC">
                  <a:alpha val="86000"/>
                </a:srgbClr>
              </a:solid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持证矿山分析!$E$21:$E$29</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持证矿山分析!$I$21:$I$29</c:f>
              <c:numCache>
                <c:formatCode>0.000_ </c:formatCode>
                <c:ptCount val="9"/>
                <c:pt idx="0">
                  <c:v>0.2091</c:v>
                </c:pt>
                <c:pt idx="1">
                  <c:v>0.053</c:v>
                </c:pt>
                <c:pt idx="2">
                  <c:v>0.0695</c:v>
                </c:pt>
                <c:pt idx="3">
                  <c:v>0.0199</c:v>
                </c:pt>
                <c:pt idx="4">
                  <c:v>0.12</c:v>
                </c:pt>
                <c:pt idx="5">
                  <c:v>0.1246</c:v>
                </c:pt>
                <c:pt idx="6">
                  <c:v>1.98</c:v>
                </c:pt>
                <c:pt idx="7">
                  <c:v>0.0748</c:v>
                </c:pt>
                <c:pt idx="8">
                  <c:v>0.0401</c:v>
                </c:pt>
              </c:numCache>
            </c:numRef>
          </c:val>
          <c:smooth val="0"/>
        </c:ser>
        <c:ser>
          <c:idx val="4"/>
          <c:order val="4"/>
          <c:tx>
            <c:strRef>
              <c:f>持证矿山分析!$J$20</c:f>
              <c:strCache>
                <c:ptCount val="1"/>
                <c:pt idx="0">
                  <c:v>矿区面积</c:v>
                </c:pt>
              </c:strCache>
            </c:strRef>
          </c:tx>
          <c:spPr>
            <a:ln w="25400" cap="rnd" cmpd="sng" algn="ctr">
              <a:solidFill>
                <a:srgbClr val="C00000"/>
              </a:solidFill>
              <a:prstDash val="dash"/>
              <a:round/>
            </a:ln>
          </c:spPr>
          <c:marker>
            <c:symbol val="square"/>
            <c:size val="5"/>
            <c:spPr>
              <a:solidFill>
                <a:schemeClr val="accent2">
                  <a:lumMod val="60000"/>
                  <a:lumOff val="40000"/>
                </a:schemeClr>
              </a:solidFill>
              <a:ln w="9525" cap="flat" cmpd="sng" algn="ctr">
                <a:solidFill>
                  <a:srgbClr val="C00000"/>
                </a:solidFill>
                <a:prstDash val="solid"/>
                <a:round/>
              </a:ln>
            </c:spPr>
          </c:marker>
          <c:dLbls>
            <c:delete val="1"/>
          </c:dLbls>
          <c:cat>
            <c:strRef>
              <c:f>持证矿山分析!$E$21:$E$29</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持证矿山分析!$J$21:$J$29</c:f>
              <c:numCache>
                <c:formatCode>General</c:formatCode>
                <c:ptCount val="9"/>
                <c:pt idx="0">
                  <c:v>0.2091</c:v>
                </c:pt>
                <c:pt idx="1">
                  <c:v>0.053</c:v>
                </c:pt>
                <c:pt idx="2">
                  <c:v>0.4183</c:v>
                </c:pt>
                <c:pt idx="3">
                  <c:v>0.4439</c:v>
                </c:pt>
                <c:pt idx="4">
                  <c:v>0.12</c:v>
                </c:pt>
                <c:pt idx="5">
                  <c:v>0.1246</c:v>
                </c:pt>
                <c:pt idx="6">
                  <c:v>1.98</c:v>
                </c:pt>
                <c:pt idx="7">
                  <c:v>1.0853</c:v>
                </c:pt>
                <c:pt idx="8">
                  <c:v>0.0401</c:v>
                </c:pt>
              </c:numCache>
            </c:numRef>
          </c:val>
          <c:smooth val="0"/>
        </c:ser>
        <c:dLbls>
          <c:showLegendKey val="0"/>
          <c:showVal val="0"/>
          <c:showCatName val="0"/>
          <c:showSerName val="0"/>
          <c:showPercent val="0"/>
          <c:showBubbleSize val="0"/>
        </c:dLbls>
        <c:marker val="1"/>
        <c:smooth val="0"/>
        <c:axId val="378395264"/>
        <c:axId val="378393344"/>
      </c:lineChart>
      <c:catAx>
        <c:axId val="378376960"/>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8378880"/>
        <c:crosses val="autoZero"/>
        <c:auto val="1"/>
        <c:lblAlgn val="ctr"/>
        <c:lblOffset val="100"/>
        <c:noMultiLvlLbl val="0"/>
      </c:catAx>
      <c:valAx>
        <c:axId val="378378880"/>
        <c:scaling>
          <c:orientation val="minMax"/>
          <c:max val="3"/>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采矿权数（个）</a:t>
                </a:r>
                <a:endParaRPr lang="zh-CN" altLang="en-US" b="0">
                  <a:latin typeface="等线" panose="02010600030101010101" charset="-122"/>
                  <a:ea typeface="等线" panose="02010600030101010101" charset="-122"/>
                </a:endParaRPr>
              </a:p>
            </c:rich>
          </c:tx>
          <c:layout/>
          <c:overlay val="0"/>
        </c:title>
        <c:numFmt formatCode="#,##0.0_);[Red]\(#,##0.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8376960"/>
        <c:crosses val="autoZero"/>
        <c:crossBetween val="between"/>
        <c:majorUnit val="0.3"/>
      </c:valAx>
      <c:catAx>
        <c:axId val="378395264"/>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8393344"/>
        <c:crosses val="autoZero"/>
        <c:auto val="1"/>
        <c:lblAlgn val="ctr"/>
        <c:lblOffset val="100"/>
        <c:noMultiLvlLbl val="0"/>
      </c:catAx>
      <c:valAx>
        <c:axId val="378393344"/>
        <c:scaling>
          <c:orientation val="minMax"/>
          <c:max val="2"/>
          <c:min val="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矿区面积（平方千米）</a:t>
                </a:r>
                <a:endParaRPr lang="zh-CN" altLang="en-US" b="0">
                  <a:latin typeface="等线" panose="02010600030101010101" charset="-122"/>
                  <a:ea typeface="等线" panose="02010600030101010101" charset="-122"/>
                </a:endParaRPr>
              </a:p>
            </c:rich>
          </c:tx>
          <c:layout>
            <c:manualLayout>
              <c:xMode val="edge"/>
              <c:yMode val="edge"/>
              <c:x val="0.958667255200695"/>
              <c:y val="0.23013417268154"/>
            </c:manualLayout>
          </c:layout>
          <c:overlay val="0"/>
        </c:title>
        <c:numFmt formatCode="0.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8395264"/>
        <c:crosses val="max"/>
        <c:crossBetween val="between"/>
      </c:valAx>
    </c:plotArea>
    <c:legend>
      <c:legendPos val="b"/>
      <c:legendEntry>
        <c:idx val="4"/>
        <c:delete val="1"/>
      </c:legendEntry>
      <c:layout>
        <c:manualLayout>
          <c:xMode val="edge"/>
          <c:yMode val="edge"/>
          <c:x val="0.0438015913509936"/>
          <c:y val="0.898469637318063"/>
          <c:w val="0.873186119873817"/>
          <c:h val="0.068495884037222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31250393700787"/>
          <c:y val="0.0321293709254085"/>
          <c:w val="0.827968"/>
          <c:h val="0.768152204324713"/>
        </c:manualLayout>
      </c:layout>
      <c:areaChart>
        <c:grouping val="standard"/>
        <c:varyColors val="0"/>
        <c:ser>
          <c:idx val="5"/>
          <c:order val="5"/>
          <c:tx>
            <c:strRef>
              <c:f>持证矿山分析!$K$43</c:f>
              <c:strCache>
                <c:ptCount val="1"/>
                <c:pt idx="0">
                  <c:v>绿色矿山比例（%）</c:v>
                </c:pt>
              </c:strCache>
            </c:strRef>
          </c:tx>
          <c:spPr>
            <a:solidFill>
              <a:srgbClr val="FFFFCC">
                <a:alpha val="80000"/>
              </a:srgbClr>
            </a:solidFill>
            <a:ln w="9525" cap="flat" cmpd="sng" algn="ctr">
              <a:noFill/>
              <a:prstDash val="solid"/>
              <a:round/>
            </a:ln>
          </c:spPr>
          <c:dLbls>
            <c:delete val="1"/>
          </c:dLbls>
          <c:cat>
            <c:strRef>
              <c:f>持证矿山分析!$E$44:$E$52</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持证矿山分析!$K$44:$K$52</c:f>
              <c:numCache>
                <c:formatCode>General</c:formatCode>
                <c:ptCount val="9"/>
                <c:pt idx="0">
                  <c:v>0</c:v>
                </c:pt>
                <c:pt idx="1">
                  <c:v>0</c:v>
                </c:pt>
                <c:pt idx="2">
                  <c:v>83.3851302892661</c:v>
                </c:pt>
                <c:pt idx="3">
                  <c:v>95.5170083352106</c:v>
                </c:pt>
                <c:pt idx="4">
                  <c:v>0</c:v>
                </c:pt>
                <c:pt idx="5">
                  <c:v>100</c:v>
                </c:pt>
                <c:pt idx="6">
                  <c:v>100</c:v>
                </c:pt>
                <c:pt idx="7">
                  <c:v>100</c:v>
                </c:pt>
                <c:pt idx="8">
                  <c:v>100</c:v>
                </c:pt>
              </c:numCache>
            </c:numRef>
          </c:val>
        </c:ser>
        <c:dLbls>
          <c:showLegendKey val="0"/>
          <c:showVal val="0"/>
          <c:showCatName val="0"/>
          <c:showSerName val="0"/>
          <c:showPercent val="0"/>
          <c:showBubbleSize val="0"/>
        </c:dLbls>
        <c:axId val="379220352"/>
        <c:axId val="379201792"/>
      </c:areaChart>
      <c:barChart>
        <c:barDir val="col"/>
        <c:grouping val="clustered"/>
        <c:varyColors val="0"/>
        <c:ser>
          <c:idx val="0"/>
          <c:order val="0"/>
          <c:tx>
            <c:strRef>
              <c:f>持证矿山分析!$F$43</c:f>
              <c:strCache>
                <c:ptCount val="1"/>
                <c:pt idx="0">
                  <c:v>矿山面积</c:v>
                </c:pt>
              </c:strCache>
            </c:strRef>
          </c:tx>
          <c:spPr>
            <a:solidFill>
              <a:srgbClr val="003300"/>
            </a:solidFill>
          </c:spPr>
          <c:invertIfNegative val="0"/>
          <c:dLbls>
            <c:dLbl>
              <c:idx val="1"/>
              <c:layout>
                <c:manualLayout>
                  <c:x val="0"/>
                  <c:y val="0.00330851943755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6182965299684"/>
                  <c:y val="0.003308258924210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988463503730716"/>
                  <c:y val="0.00845665774241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0515191042474"/>
                  <c:y val="0.005148129125395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350696791679758"/>
                  <c:y val="0.2029597858179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39508135848194"/>
                  <c:y val="0.05968624689978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12898024989923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006600">
                  <a:alpha val="20000"/>
                </a:srgbClr>
              </a:solid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700" b="1" i="0" u="none" strike="noStrike" kern="1200" baseline="0">
                    <a:solidFill>
                      <a:schemeClr val="bg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持证矿山分析!$E$44:$E$52</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持证矿山分析!$F$44:$F$52</c:f>
              <c:numCache>
                <c:formatCode>0.000_);[Red]\(0.000\)</c:formatCode>
                <c:ptCount val="9"/>
                <c:pt idx="0">
                  <c:v>0.2091</c:v>
                </c:pt>
                <c:pt idx="1">
                  <c:v>0.053</c:v>
                </c:pt>
                <c:pt idx="2">
                  <c:v>0.4183</c:v>
                </c:pt>
                <c:pt idx="3">
                  <c:v>0.4439</c:v>
                </c:pt>
                <c:pt idx="4">
                  <c:v>0.12</c:v>
                </c:pt>
                <c:pt idx="5">
                  <c:v>0.1246</c:v>
                </c:pt>
                <c:pt idx="6">
                  <c:v>1.98</c:v>
                </c:pt>
                <c:pt idx="7">
                  <c:v>1.0853</c:v>
                </c:pt>
                <c:pt idx="8">
                  <c:v>0.0401</c:v>
                </c:pt>
              </c:numCache>
            </c:numRef>
          </c:val>
        </c:ser>
        <c:ser>
          <c:idx val="1"/>
          <c:order val="1"/>
          <c:tx>
            <c:strRef>
              <c:f>持证矿山分析!$G$43</c:f>
              <c:strCache>
                <c:ptCount val="1"/>
                <c:pt idx="0">
                  <c:v>绿色矿山面积</c:v>
                </c:pt>
              </c:strCache>
            </c:strRef>
          </c:tx>
          <c:spPr>
            <a:solidFill>
              <a:srgbClr val="666633"/>
            </a:solidFill>
          </c:spPr>
          <c:invertIfNegative val="0"/>
          <c:dLbls>
            <c:dLbl>
              <c:idx val="0"/>
              <c:delete val="1"/>
            </c:dLbl>
            <c:dLbl>
              <c:idx val="1"/>
              <c:delete val="1"/>
            </c:dLbl>
            <c:dLbl>
              <c:idx val="2"/>
              <c:layout>
                <c:manualLayout>
                  <c:x val="0.0147213459516299"/>
                  <c:y val="0.01323407775020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1577729456202"/>
                  <c:y val="0.003384094754653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delete val="1"/>
            </c:dLbl>
            <c:dLbl>
              <c:idx val="5"/>
              <c:layout>
                <c:manualLayout>
                  <c:x val="0.0150722816238055"/>
                  <c:y val="0.01642367278194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322450624748085"/>
                  <c:y val="0.2452430745300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45392542377185"/>
                  <c:y val="0.1024591783147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043390373801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666633">
                  <a:alpha val="47000"/>
                </a:srgbClr>
              </a:solid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bg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持证矿山分析!$E$44:$E$52</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持证矿山分析!$G$44:$G$52</c:f>
              <c:numCache>
                <c:formatCode>0.000_);[Red]\(0.000\)</c:formatCode>
                <c:ptCount val="9"/>
                <c:pt idx="0">
                  <c:v>0</c:v>
                </c:pt>
                <c:pt idx="1">
                  <c:v>0</c:v>
                </c:pt>
                <c:pt idx="2">
                  <c:v>0.3488</c:v>
                </c:pt>
                <c:pt idx="3">
                  <c:v>0.424</c:v>
                </c:pt>
                <c:pt idx="4">
                  <c:v>0</c:v>
                </c:pt>
                <c:pt idx="5">
                  <c:v>0.1246</c:v>
                </c:pt>
                <c:pt idx="6">
                  <c:v>1.98</c:v>
                </c:pt>
                <c:pt idx="7">
                  <c:v>1.0853</c:v>
                </c:pt>
                <c:pt idx="8">
                  <c:v>0.0401</c:v>
                </c:pt>
              </c:numCache>
            </c:numRef>
          </c:val>
        </c:ser>
        <c:ser>
          <c:idx val="3"/>
          <c:order val="2"/>
          <c:tx>
            <c:strRef>
              <c:f>持证矿山分析!$H$43</c:f>
              <c:strCache>
                <c:ptCount val="1"/>
                <c:pt idx="0">
                  <c:v>持证在采绿色矿山面积</c:v>
                </c:pt>
              </c:strCache>
            </c:strRef>
          </c:tx>
          <c:spPr>
            <a:ln w="12700" cap="flat" cmpd="sng" algn="ctr">
              <a:solidFill>
                <a:schemeClr val="bg1"/>
              </a:solidFill>
              <a:prstDash val="solid"/>
              <a:round/>
            </a:ln>
          </c:spPr>
          <c:invertIfNegative val="0"/>
          <c:dLbls>
            <c:dLbl>
              <c:idx val="0"/>
              <c:delete val="1"/>
            </c:dLbl>
            <c:dLbl>
              <c:idx val="1"/>
              <c:delete val="1"/>
            </c:dLbl>
            <c:dLbl>
              <c:idx val="2"/>
              <c:delete val="1"/>
            </c:dLbl>
            <c:dLbl>
              <c:idx val="3"/>
              <c:delete val="1"/>
            </c:dLbl>
            <c:dLbl>
              <c:idx val="4"/>
              <c:delete val="1"/>
            </c:dLbl>
            <c:dLbl>
              <c:idx val="5"/>
              <c:layout>
                <c:manualLayout>
                  <c:x val="0.0232731912138552"/>
                  <c:y val="0.02459777605438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94649414288752"/>
                  <c:y val="0.2875263632420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30426199748006"/>
                  <c:y val="0.1454713820931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delete val="1"/>
            </c:dLbl>
            <c:spPr>
              <a:solidFill>
                <a:schemeClr val="accent4">
                  <a:alpha val="30000"/>
                </a:schemeClr>
              </a:solid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bg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持证矿山分析!$E$44:$E$52</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持证矿山分析!$H$44:$H$52</c:f>
              <c:numCache>
                <c:formatCode>0.000_);[Red]\(0.000\)</c:formatCode>
                <c:ptCount val="9"/>
                <c:pt idx="0">
                  <c:v>0</c:v>
                </c:pt>
                <c:pt idx="1">
                  <c:v>0</c:v>
                </c:pt>
                <c:pt idx="2">
                  <c:v>0</c:v>
                </c:pt>
                <c:pt idx="3">
                  <c:v>0</c:v>
                </c:pt>
                <c:pt idx="4">
                  <c:v>0</c:v>
                </c:pt>
                <c:pt idx="5">
                  <c:v>0.064</c:v>
                </c:pt>
                <c:pt idx="6">
                  <c:v>1.98</c:v>
                </c:pt>
                <c:pt idx="7">
                  <c:v>1.0853</c:v>
                </c:pt>
                <c:pt idx="8">
                  <c:v>0</c:v>
                </c:pt>
              </c:numCache>
            </c:numRef>
          </c:val>
        </c:ser>
        <c:ser>
          <c:idx val="2"/>
          <c:order val="3"/>
          <c:tx>
            <c:strRef>
              <c:f>持证矿山分析!$I$43</c:f>
              <c:strCache>
                <c:ptCount val="1"/>
                <c:pt idx="0">
                  <c:v>待达标绿色矿山面积</c:v>
                </c:pt>
              </c:strCache>
            </c:strRef>
          </c:tx>
          <c:spPr>
            <a:solidFill>
              <a:schemeClr val="accent6">
                <a:lumMod val="40000"/>
                <a:lumOff val="60000"/>
              </a:schemeClr>
            </a:solidFill>
            <a:ln w="9525" cap="flat" cmpd="sng" algn="ctr">
              <a:solidFill>
                <a:schemeClr val="accent6">
                  <a:lumMod val="75000"/>
                </a:schemeClr>
              </a:solidFill>
              <a:prstDash val="solid"/>
              <a:round/>
            </a:ln>
          </c:spPr>
          <c:invertIfNegative val="0"/>
          <c:dLbls>
            <c:dLbl>
              <c:idx val="0"/>
              <c:layout>
                <c:manualLayout>
                  <c:x val="0.00630898267054158"/>
                  <c:y val="-0.0020114235100265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10304942166141"/>
                  <c:y val="0.00321447412125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0710896942298616"/>
                  <c:y val="0.001729027047797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0231832219710707"/>
                  <c:y val="0.0012496824993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4243736282344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delete val="1"/>
            </c:dLbl>
            <c:dLbl>
              <c:idx val="6"/>
              <c:delete val="1"/>
            </c:dLbl>
            <c:dLbl>
              <c:idx val="7"/>
              <c:delete val="1"/>
            </c:dLbl>
            <c:dLbl>
              <c:idx val="8"/>
              <c:delete val="1"/>
            </c:dLbl>
            <c:spPr>
              <a:solidFill>
                <a:schemeClr val="accent6">
                  <a:lumMod val="75000"/>
                  <a:alpha val="33000"/>
                </a:schemeClr>
              </a:solidFill>
              <a:ln>
                <a:noFill/>
              </a:ln>
              <a:effectLst/>
            </c:spPr>
            <c:txPr>
              <a:bodyPr rot="0" spcFirstLastPara="0" vertOverflow="ellipsis" vert="horz" wrap="square" lIns="38100" tIns="19050" rIns="38100" bIns="19050" anchor="t" anchorCtr="1"/>
              <a:lstStyle/>
              <a:p>
                <a:pPr>
                  <a:defRPr lang="zh-CN" sz="700" b="1" i="0" u="none" strike="noStrike" kern="1200" baseline="0">
                    <a:solidFill>
                      <a:schemeClr val="bg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持证矿山分析!$E$44:$E$52</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持证矿山分析!$I$44:$I$52</c:f>
              <c:numCache>
                <c:formatCode>0.000_);[Red]\(0.000\)</c:formatCode>
                <c:ptCount val="9"/>
                <c:pt idx="0">
                  <c:v>0.2091</c:v>
                </c:pt>
                <c:pt idx="1">
                  <c:v>0.053</c:v>
                </c:pt>
                <c:pt idx="2">
                  <c:v>0.0425</c:v>
                </c:pt>
                <c:pt idx="3">
                  <c:v>0.0199</c:v>
                </c:pt>
                <c:pt idx="4">
                  <c:v>0.12</c:v>
                </c:pt>
                <c:pt idx="5">
                  <c:v>0</c:v>
                </c:pt>
                <c:pt idx="6">
                  <c:v>0</c:v>
                </c:pt>
                <c:pt idx="7">
                  <c:v>0</c:v>
                </c:pt>
                <c:pt idx="8">
                  <c:v>0</c:v>
                </c:pt>
              </c:numCache>
            </c:numRef>
          </c:val>
        </c:ser>
        <c:dLbls>
          <c:showLegendKey val="0"/>
          <c:showVal val="0"/>
          <c:showCatName val="0"/>
          <c:showSerName val="0"/>
          <c:showPercent val="0"/>
          <c:showBubbleSize val="0"/>
        </c:dLbls>
        <c:gapWidth val="150"/>
        <c:axId val="379177600"/>
        <c:axId val="379199872"/>
      </c:barChart>
      <c:lineChart>
        <c:grouping val="standard"/>
        <c:varyColors val="0"/>
        <c:ser>
          <c:idx val="4"/>
          <c:order val="4"/>
          <c:tx>
            <c:strRef>
              <c:f>持证矿山分析!$J$43</c:f>
              <c:strCache>
                <c:ptCount val="1"/>
                <c:pt idx="0">
                  <c:v>绿色矿山比例（%）</c:v>
                </c:pt>
              </c:strCache>
            </c:strRef>
          </c:tx>
          <c:spPr>
            <a:ln w="25400" cap="rnd" cmpd="sng" algn="ctr">
              <a:solidFill>
                <a:schemeClr val="accent6">
                  <a:lumMod val="75000"/>
                </a:schemeClr>
              </a:solidFill>
              <a:prstDash val="dash"/>
              <a:round/>
            </a:ln>
            <a:effectLst/>
          </c:spPr>
          <c:marker>
            <c:symbol val="circle"/>
            <c:size val="5"/>
            <c:spPr>
              <a:solidFill>
                <a:srgbClr val="FFFFCC">
                  <a:alpha val="36000"/>
                </a:srgbClr>
              </a:solidFill>
              <a:ln w="9525" cap="flat" cmpd="sng" algn="ctr">
                <a:solidFill>
                  <a:schemeClr val="accent6">
                    <a:lumMod val="75000"/>
                  </a:schemeClr>
                </a:solidFill>
                <a:prstDash val="solid"/>
                <a:round/>
              </a:ln>
              <a:effectLst/>
            </c:spPr>
          </c:marker>
          <c:dLbls>
            <c:dLbl>
              <c:idx val="0"/>
              <c:layout>
                <c:manualLayout>
                  <c:x val="-0.0177347843611447"/>
                  <c:y val="-0.03382663096965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4952031081878"/>
                  <c:y val="-0.036645482766430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90205562273277"/>
                  <c:y val="-0.03382663096965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7960499798468"/>
                  <c:y val="-0.03382685292917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57404230989137"/>
                  <c:y val="0"/>
                </c:manualLayout>
              </c:layout>
              <c:numFmt formatCode="General" sourceLinked="1"/>
              <c:spPr>
                <a:solidFill>
                  <a:sysClr val="window" lastClr="FFFFFF"/>
                </a:solidFill>
                <a:ln>
                  <a:noFill/>
                </a:ln>
                <a:effectLst>
                  <a:glow rad="228600">
                    <a:schemeClr val="bg2">
                      <a:lumMod val="50000"/>
                    </a:schemeClr>
                  </a:glow>
                  <a:outerShdw blurRad="50800" dist="38100" dir="16200000" rotWithShape="0">
                    <a:prstClr val="black">
                      <a:alpha val="40000"/>
                    </a:prstClr>
                  </a:outerShdw>
                  <a:softEdge rad="114300"/>
                </a:effectLst>
              </c:spPr>
              <c:txPr>
                <a:bodyPr rot="0" spcFirstLastPara="0" vertOverflow="ellipsis" vert="horz" wrap="square" lIns="38100" tIns="19050" rIns="38100" bIns="19050" anchor="ctr" anchorCtr="1"/>
                <a:lstStyle/>
                <a:p>
                  <a:pPr>
                    <a:defRPr lang="zh-CN" sz="800" b="0" i="0" u="none" strike="noStrike" kern="1200" baseline="0">
                      <a:solidFill>
                        <a:schemeClr val="accent2"/>
                      </a:solidFill>
                      <a:effectLst>
                        <a:glow rad="63500">
                          <a:srgbClr val="F79646">
                            <a:satMod val="175000"/>
                            <a:alpha val="40000"/>
                          </a:srgbClr>
                        </a:glow>
                        <a:reflection blurRad="6350" stA="55000" endA="50" endPos="85000" dist="60007" dir="5400000" sy="-100000" algn="bl" rotWithShape="0"/>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41837968561064"/>
                  <c:y val="-0.03382663096965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09592906086256"/>
                  <c:y val="-0.031007745055518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41837968561064"/>
                  <c:y val="-0.03382663096965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57960499798468"/>
                  <c:y val="-0.036645516883794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rad="228600">
                  <a:schemeClr val="bg2">
                    <a:lumMod val="50000"/>
                  </a:schemeClr>
                </a:glow>
                <a:outerShdw blurRad="50800" dist="38100" dir="16200000" rotWithShape="0">
                  <a:prstClr val="black">
                    <a:alpha val="40000"/>
                  </a:prstClr>
                </a:outerShdw>
                <a:softEdge rad="114300"/>
              </a:effectLst>
            </c:spPr>
            <c:txPr>
              <a:bodyPr rot="0" spcFirstLastPara="0" vertOverflow="ellipsis" vert="horz" wrap="square" lIns="38100" tIns="19050" rIns="38100" bIns="19050" anchor="ctr" anchorCtr="1"/>
              <a:lstStyle/>
              <a:p>
                <a:pPr>
                  <a:defRPr lang="zh-CN" sz="800" b="0" i="0" u="none" strike="noStrike" kern="1200" baseline="0">
                    <a:solidFill>
                      <a:schemeClr val="accent2"/>
                    </a:solidFill>
                    <a:effectLst>
                      <a:glow rad="63500">
                        <a:srgbClr val="F79646">
                          <a:satMod val="175000"/>
                          <a:alpha val="40000"/>
                        </a:srgbClr>
                      </a:glow>
                      <a:reflection blurRad="6350" stA="55000" endA="50" endPos="85000" dist="60007" dir="5400000" sy="-100000" algn="bl" rotWithShape="0"/>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持证矿山分析!$E$44:$E$52</c:f>
              <c:strCache>
                <c:ptCount val="9"/>
                <c:pt idx="0">
                  <c:v>陂头镇</c:v>
                </c:pt>
                <c:pt idx="1">
                  <c:v>大湖镇</c:v>
                </c:pt>
                <c:pt idx="2">
                  <c:v>隆街镇</c:v>
                </c:pt>
                <c:pt idx="3">
                  <c:v>内莞镇</c:v>
                </c:pt>
                <c:pt idx="4">
                  <c:v>三角镇</c:v>
                </c:pt>
                <c:pt idx="5">
                  <c:v>上坪镇</c:v>
                </c:pt>
                <c:pt idx="6">
                  <c:v>油溪镇</c:v>
                </c:pt>
                <c:pt idx="7">
                  <c:v>元善镇</c:v>
                </c:pt>
                <c:pt idx="8">
                  <c:v>忠信镇</c:v>
                </c:pt>
              </c:strCache>
            </c:strRef>
          </c:cat>
          <c:val>
            <c:numRef>
              <c:f>持证矿山分析!$J$44:$J$52</c:f>
              <c:numCache>
                <c:formatCode>General</c:formatCode>
                <c:ptCount val="9"/>
                <c:pt idx="0">
                  <c:v>0</c:v>
                </c:pt>
                <c:pt idx="1">
                  <c:v>0</c:v>
                </c:pt>
                <c:pt idx="2" c:formatCode="0.00_ ">
                  <c:v>83.3851302892661</c:v>
                </c:pt>
                <c:pt idx="3" c:formatCode="0.00_ ">
                  <c:v>95.5170083352106</c:v>
                </c:pt>
                <c:pt idx="4">
                  <c:v>0</c:v>
                </c:pt>
                <c:pt idx="5">
                  <c:v>100</c:v>
                </c:pt>
                <c:pt idx="6">
                  <c:v>100</c:v>
                </c:pt>
                <c:pt idx="7">
                  <c:v>100</c:v>
                </c:pt>
                <c:pt idx="8">
                  <c:v>100</c:v>
                </c:pt>
              </c:numCache>
            </c:numRef>
          </c:val>
          <c:smooth val="0"/>
        </c:ser>
        <c:dLbls>
          <c:showLegendKey val="0"/>
          <c:showVal val="0"/>
          <c:showCatName val="0"/>
          <c:showSerName val="0"/>
          <c:showPercent val="0"/>
          <c:showBubbleSize val="0"/>
        </c:dLbls>
        <c:marker val="1"/>
        <c:smooth val="0"/>
        <c:axId val="379220352"/>
        <c:axId val="379201792"/>
      </c:lineChart>
      <c:catAx>
        <c:axId val="379177600"/>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9199872"/>
        <c:crosses val="autoZero"/>
        <c:auto val="1"/>
        <c:lblAlgn val="ctr"/>
        <c:lblOffset val="100"/>
        <c:noMultiLvlLbl val="0"/>
      </c:catAx>
      <c:valAx>
        <c:axId val="379199872"/>
        <c:scaling>
          <c:orientation val="minMax"/>
          <c:max val="2"/>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等线" panose="02010600030101010101" charset="-122"/>
                    <a:ea typeface="等线" panose="02010600030101010101" charset="-122"/>
                    <a:cs typeface="+mn-cs"/>
                  </a:defRPr>
                </a:pPr>
                <a:r>
                  <a:rPr lang="zh-CN" altLang="en-US" b="0">
                    <a:latin typeface="等线" panose="02010600030101010101" charset="-122"/>
                    <a:ea typeface="等线" panose="02010600030101010101" charset="-122"/>
                  </a:rPr>
                  <a:t>矿山面积（平方千米）</a:t>
                </a:r>
                <a:endParaRPr lang="zh-CN" altLang="en-US" b="0">
                  <a:latin typeface="等线" panose="02010600030101010101" charset="-122"/>
                  <a:ea typeface="等线" panose="02010600030101010101" charset="-122"/>
                </a:endParaRPr>
              </a:p>
            </c:rich>
          </c:tx>
          <c:layout>
            <c:manualLayout>
              <c:xMode val="edge"/>
              <c:yMode val="edge"/>
              <c:x val="0.00420338320654081"/>
              <c:y val="0.305703663754359"/>
            </c:manualLayout>
          </c:layout>
          <c:overlay val="0"/>
        </c:title>
        <c:numFmt formatCode="#,##0.0_);[Red]\(#,##0.0\)"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9177600"/>
        <c:crosses val="autoZero"/>
        <c:crossBetween val="between"/>
      </c:valAx>
      <c:catAx>
        <c:axId val="379220352"/>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9201792"/>
        <c:crosses val="autoZero"/>
        <c:auto val="1"/>
        <c:lblAlgn val="ctr"/>
        <c:lblOffset val="100"/>
        <c:noMultiLvlLbl val="0"/>
      </c:catAx>
      <c:valAx>
        <c:axId val="379201792"/>
        <c:scaling>
          <c:orientation val="minMax"/>
          <c:min val="-3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等线" panose="02010600030101010101" charset="-122"/>
                    <a:cs typeface="Times New Roman" panose="02020603050405020304" charset="0"/>
                  </a:defRPr>
                </a:pPr>
                <a:r>
                  <a:rPr lang="zh-CN" altLang="en-US" b="0">
                    <a:latin typeface="Times New Roman" panose="02020603050405020304" charset="0"/>
                    <a:ea typeface="等线" panose="02010600030101010101" charset="-122"/>
                    <a:cs typeface="Times New Roman" panose="02020603050405020304" charset="0"/>
                  </a:rPr>
                  <a:t>绿色矿山比例（</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manualLayout>
              <c:xMode val="edge"/>
              <c:yMode val="edge"/>
              <c:x val="0.962116405452076"/>
              <c:y val="0.331764227494303"/>
            </c:manualLayout>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9220352"/>
        <c:crosses val="max"/>
        <c:crossBetween val="between"/>
        <c:majorUnit val="30"/>
      </c:valAx>
    </c:plotArea>
    <c:legend>
      <c:legendPos val="b"/>
      <c:legendEntry>
        <c:idx val="0"/>
        <c:delete val="1"/>
      </c:legendEntry>
      <c:layout>
        <c:manualLayout>
          <c:xMode val="edge"/>
          <c:yMode val="edge"/>
          <c:x val="0.0304195423256484"/>
          <c:y val="0.889403454197855"/>
          <c:w val="0.938854418497859"/>
          <c:h val="0.10850340407956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07086614173228"/>
          <c:y val="0.0420549988069673"/>
          <c:w val="0.817987199549583"/>
          <c:h val="0.751458482462419"/>
        </c:manualLayout>
      </c:layout>
      <c:barChart>
        <c:barDir val="col"/>
        <c:grouping val="clustered"/>
        <c:varyColors val="0"/>
        <c:ser>
          <c:idx val="0"/>
          <c:order val="0"/>
          <c:tx>
            <c:strRef>
              <c:f>历史遗留矿山!$Q$1</c:f>
              <c:strCache>
                <c:ptCount val="1"/>
                <c:pt idx="0">
                  <c:v>历史遗留矿山面积（公顷）</c:v>
                </c:pt>
              </c:strCache>
            </c:strRef>
          </c:tx>
          <c:spPr>
            <a:solidFill>
              <a:srgbClr val="003300"/>
            </a:solidFill>
          </c:spPr>
          <c:invertIfNegative val="0"/>
          <c:dLbls>
            <c:dLbl>
              <c:idx val="0"/>
              <c:layout>
                <c:manualLayout>
                  <c:x val="0"/>
                  <c:y val="0.534090909090909"/>
                </c:manualLayout>
              </c:layout>
              <c:numFmt formatCode="#,##0.00_);[Red]\(#,##0.00\)" sourceLinked="0"/>
              <c:spPr>
                <a:solidFill>
                  <a:schemeClr val="accent3">
                    <a:alpha val="28000"/>
                  </a:schemeClr>
                </a:solid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700" b="1" i="0" u="none" strike="noStrike" kern="1200" baseline="0">
                      <a:solidFill>
                        <a:sysClr val="windowText" lastClr="000000"/>
                      </a:solidFill>
                      <a:effectLst/>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10304942166141"/>
                  <c:y val="0.3939393939393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9090909090909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2272727272727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7954545454545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136363636363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1136363636363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1893939393939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solidFill>
                <a:schemeClr val="accent3">
                  <a:alpha val="28000"/>
                </a:schemeClr>
              </a:solidFill>
              <a:ln>
                <a:noFill/>
              </a:ln>
              <a:effectLst>
                <a:glow>
                  <a:schemeClr val="accent1">
                    <a:satMod val="175000"/>
                    <a:alpha val="40000"/>
                  </a:schemeClr>
                </a:glow>
              </a:effectLst>
            </c:spPr>
            <c:txPr>
              <a:bodyPr rot="0" spcFirstLastPara="0" vertOverflow="ellipsis" vert="horz" wrap="square" lIns="38100" tIns="19050" rIns="38100" bIns="19050" anchor="ctr" anchorCtr="1"/>
              <a:lstStyle/>
              <a:p>
                <a:pPr>
                  <a:defRPr lang="zh-CN" sz="700" b="1"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历史遗留矿山!$P$2:$P$10</c:f>
              <c:strCache>
                <c:ptCount val="9"/>
                <c:pt idx="0">
                  <c:v> 绣缎镇</c:v>
                </c:pt>
                <c:pt idx="1">
                  <c:v> 陂头镇</c:v>
                </c:pt>
                <c:pt idx="2">
                  <c:v> 三角镇</c:v>
                </c:pt>
                <c:pt idx="3">
                  <c:v> 元善镇</c:v>
                </c:pt>
                <c:pt idx="4">
                  <c:v> 溪山镇</c:v>
                </c:pt>
                <c:pt idx="5">
                  <c:v> 隆街镇</c:v>
                </c:pt>
                <c:pt idx="6">
                  <c:v> 内莞镇</c:v>
                </c:pt>
                <c:pt idx="7">
                  <c:v> 上坪镇</c:v>
                </c:pt>
                <c:pt idx="8">
                  <c:v> 油溪镇</c:v>
                </c:pt>
              </c:strCache>
            </c:strRef>
          </c:cat>
          <c:val>
            <c:numRef>
              <c:f>历史遗留矿山!$Q$2:$Q$10</c:f>
              <c:numCache>
                <c:formatCode>0.00_ </c:formatCode>
                <c:ptCount val="9"/>
                <c:pt idx="0">
                  <c:v>51.19997</c:v>
                </c:pt>
                <c:pt idx="1">
                  <c:v>40.16555</c:v>
                </c:pt>
                <c:pt idx="2">
                  <c:v>15.767023</c:v>
                </c:pt>
                <c:pt idx="3">
                  <c:v>4.623097</c:v>
                </c:pt>
                <c:pt idx="4">
                  <c:v>7.478785</c:v>
                </c:pt>
                <c:pt idx="5">
                  <c:v>2.23391</c:v>
                </c:pt>
                <c:pt idx="6">
                  <c:v>1.63</c:v>
                </c:pt>
                <c:pt idx="7">
                  <c:v>6.298596</c:v>
                </c:pt>
                <c:pt idx="8">
                  <c:v>1.384361</c:v>
                </c:pt>
              </c:numCache>
            </c:numRef>
          </c:val>
        </c:ser>
        <c:dLbls>
          <c:showLegendKey val="0"/>
          <c:showVal val="0"/>
          <c:showCatName val="0"/>
          <c:showSerName val="0"/>
          <c:showPercent val="0"/>
          <c:showBubbleSize val="0"/>
        </c:dLbls>
        <c:gapWidth val="150"/>
        <c:axId val="379327232"/>
        <c:axId val="379328768"/>
      </c:barChart>
      <c:lineChart>
        <c:grouping val="standard"/>
        <c:varyColors val="0"/>
        <c:ser>
          <c:idx val="1"/>
          <c:order val="1"/>
          <c:tx>
            <c:strRef>
              <c:f>历史遗留矿山!$S$1</c:f>
              <c:strCache>
                <c:ptCount val="1"/>
                <c:pt idx="0">
                  <c:v>面积占比（%）</c:v>
                </c:pt>
              </c:strCache>
            </c:strRef>
          </c:tx>
          <c:spPr>
            <a:ln w="25400" cap="rnd" cmpd="sng" algn="ctr">
              <a:solidFill>
                <a:srgbClr val="C00000"/>
              </a:solidFill>
              <a:prstDash val="solid"/>
              <a:round/>
            </a:ln>
          </c:spPr>
          <c:marker>
            <c:symbol val="square"/>
            <c:size val="5"/>
            <c:spPr>
              <a:solidFill>
                <a:schemeClr val="accent2">
                  <a:lumMod val="60000"/>
                  <a:lumOff val="40000"/>
                </a:schemeClr>
              </a:solidFill>
              <a:ln w="9525" cap="flat" cmpd="sng" algn="ctr">
                <a:solidFill>
                  <a:srgbClr val="FF0000"/>
                </a:solidFill>
                <a:prstDash val="solid"/>
                <a:round/>
              </a:ln>
            </c:spPr>
          </c:marker>
          <c:dLbls>
            <c:dLbl>
              <c:idx val="0"/>
              <c:layout>
                <c:manualLayout>
                  <c:x val="0.00210304942166141"/>
                  <c:y val="-0.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47218211127818e-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72975814931651"/>
                  <c:y val="0.01136363636363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8243953732913"/>
                  <c:y val="0.04545454545454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26182965299685"/>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030303030303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26182965299685"/>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630914826498423"/>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lumMod val="60000"/>
                  <a:lumOff val="40000"/>
                  <a:alpha val="39000"/>
                </a:schemeClr>
              </a:solid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历史遗留矿山!$P$2:$P$10</c:f>
              <c:strCache>
                <c:ptCount val="9"/>
                <c:pt idx="0">
                  <c:v> 绣缎镇</c:v>
                </c:pt>
                <c:pt idx="1">
                  <c:v> 陂头镇</c:v>
                </c:pt>
                <c:pt idx="2">
                  <c:v> 三角镇</c:v>
                </c:pt>
                <c:pt idx="3">
                  <c:v> 元善镇</c:v>
                </c:pt>
                <c:pt idx="4">
                  <c:v> 溪山镇</c:v>
                </c:pt>
                <c:pt idx="5">
                  <c:v> 隆街镇</c:v>
                </c:pt>
                <c:pt idx="6">
                  <c:v> 内莞镇</c:v>
                </c:pt>
                <c:pt idx="7">
                  <c:v> 上坪镇</c:v>
                </c:pt>
                <c:pt idx="8">
                  <c:v> 油溪镇</c:v>
                </c:pt>
              </c:strCache>
            </c:strRef>
          </c:cat>
          <c:val>
            <c:numRef>
              <c:f>历史遗留矿山!$S$2:$S$10</c:f>
              <c:numCache>
                <c:formatCode>0.00_ </c:formatCode>
                <c:ptCount val="9"/>
                <c:pt idx="0">
                  <c:v>39.1493073795295</c:v>
                </c:pt>
                <c:pt idx="1">
                  <c:v>30.7119996948799</c:v>
                </c:pt>
                <c:pt idx="2">
                  <c:v>12.0560232728088</c:v>
                </c:pt>
                <c:pt idx="3">
                  <c:v>3.5349834286696</c:v>
                </c:pt>
                <c:pt idx="4">
                  <c:v>5.71854344427183</c:v>
                </c:pt>
                <c:pt idx="5">
                  <c:v>1.70812657210941</c:v>
                </c:pt>
                <c:pt idx="6">
                  <c:v>1.24635563318949</c:v>
                </c:pt>
                <c:pt idx="7">
                  <c:v>4.81612920600295</c:v>
                </c:pt>
                <c:pt idx="8">
                  <c:v>1.05853136853855</c:v>
                </c:pt>
              </c:numCache>
            </c:numRef>
          </c:val>
          <c:smooth val="0"/>
        </c:ser>
        <c:ser>
          <c:idx val="3"/>
          <c:order val="2"/>
          <c:tx>
            <c:strRef>
              <c:f>历史遗留矿山!$T$1</c:f>
              <c:strCache>
                <c:ptCount val="1"/>
                <c:pt idx="0">
                  <c:v>数量占比（%）</c:v>
                </c:pt>
              </c:strCache>
            </c:strRef>
          </c:tx>
          <c:spPr>
            <a:ln w="25400" cap="rnd" cmpd="sng" algn="ctr">
              <a:solidFill>
                <a:srgbClr val="FFFF00"/>
              </a:solidFill>
              <a:prstDash val="solid"/>
              <a:round/>
            </a:ln>
          </c:spPr>
          <c:marker>
            <c:symbol val="circle"/>
            <c:size val="5"/>
            <c:spPr>
              <a:solidFill>
                <a:srgbClr val="FFFF00"/>
              </a:solidFill>
              <a:ln w="9525" cap="flat" cmpd="sng" algn="ctr">
                <a:solidFill>
                  <a:schemeClr val="accent6">
                    <a:lumMod val="75000"/>
                  </a:schemeClr>
                </a:solidFill>
                <a:prstDash val="solid"/>
                <a:round/>
              </a:ln>
            </c:spPr>
          </c:marker>
          <c:dLbls>
            <c:dLbl>
              <c:idx val="0"/>
              <c:layout>
                <c:manualLayout>
                  <c:x val="-0.0560420315236427"/>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67016929363689"/>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32561663230582"/>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12331818144183"/>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2365930599369"/>
                  <c:y val="-0.041666964924838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73396424815983"/>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73396424815983"/>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775958998816"/>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03048593689196"/>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solidFill>
                <a:srgbClr val="FFFFCC">
                  <a:alpha val="86000"/>
                </a:srgbClr>
              </a:solid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历史遗留矿山!$P$2:$P$10</c:f>
              <c:strCache>
                <c:ptCount val="9"/>
                <c:pt idx="0">
                  <c:v> 绣缎镇</c:v>
                </c:pt>
                <c:pt idx="1">
                  <c:v> 陂头镇</c:v>
                </c:pt>
                <c:pt idx="2">
                  <c:v> 三角镇</c:v>
                </c:pt>
                <c:pt idx="3">
                  <c:v> 元善镇</c:v>
                </c:pt>
                <c:pt idx="4">
                  <c:v> 溪山镇</c:v>
                </c:pt>
                <c:pt idx="5">
                  <c:v> 隆街镇</c:v>
                </c:pt>
                <c:pt idx="6">
                  <c:v> 内莞镇</c:v>
                </c:pt>
                <c:pt idx="7">
                  <c:v> 上坪镇</c:v>
                </c:pt>
                <c:pt idx="8">
                  <c:v> 油溪镇</c:v>
                </c:pt>
              </c:strCache>
            </c:strRef>
          </c:cat>
          <c:val>
            <c:numRef>
              <c:f>历史遗留矿山!$T$2:$T$10</c:f>
              <c:numCache>
                <c:formatCode>0.00_ </c:formatCode>
                <c:ptCount val="9"/>
                <c:pt idx="0">
                  <c:v>12.8205128205128</c:v>
                </c:pt>
                <c:pt idx="1">
                  <c:v>35.8974358974359</c:v>
                </c:pt>
                <c:pt idx="2">
                  <c:v>17.9487179487179</c:v>
                </c:pt>
                <c:pt idx="3">
                  <c:v>3.84615384615385</c:v>
                </c:pt>
                <c:pt idx="4">
                  <c:v>7.69230769230769</c:v>
                </c:pt>
                <c:pt idx="5">
                  <c:v>3.84615384615385</c:v>
                </c:pt>
                <c:pt idx="6">
                  <c:v>3.84615384615385</c:v>
                </c:pt>
                <c:pt idx="7">
                  <c:v>11.5384615384615</c:v>
                </c:pt>
                <c:pt idx="8">
                  <c:v>2.56410256410256</c:v>
                </c:pt>
              </c:numCache>
            </c:numRef>
          </c:val>
          <c:smooth val="0"/>
        </c:ser>
        <c:dLbls>
          <c:showLegendKey val="0"/>
          <c:showVal val="0"/>
          <c:showCatName val="0"/>
          <c:showSerName val="0"/>
          <c:showPercent val="0"/>
          <c:showBubbleSize val="0"/>
        </c:dLbls>
        <c:marker val="1"/>
        <c:smooth val="0"/>
        <c:axId val="379357440"/>
        <c:axId val="379355520"/>
      </c:lineChart>
      <c:catAx>
        <c:axId val="379327232"/>
        <c:scaling>
          <c:orientation val="minMax"/>
        </c:scaling>
        <c:delete val="0"/>
        <c:axPos val="b"/>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9328768"/>
        <c:crosses val="autoZero"/>
        <c:auto val="1"/>
        <c:lblAlgn val="ctr"/>
        <c:lblOffset val="100"/>
        <c:noMultiLvlLbl val="0"/>
      </c:catAx>
      <c:valAx>
        <c:axId val="379328768"/>
        <c:scaling>
          <c:orientation val="minMax"/>
          <c:max val="60"/>
          <c:min val="0"/>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等线" panose="02010600030101010101" charset="-122"/>
                    <a:ea typeface="等线" panose="02010600030101010101" charset="-122"/>
                  </a:rPr>
                  <a:t>矿区面积（公顷）</a:t>
                </a:r>
                <a:endParaRPr lang="zh-CN" altLang="en-US" b="0">
                  <a:latin typeface="等线" panose="02010600030101010101" charset="-122"/>
                  <a:ea typeface="等线" panose="02010600030101010101" charset="-122"/>
                </a:endParaRPr>
              </a:p>
            </c:rich>
          </c:tx>
          <c:layout>
            <c:manualLayout>
              <c:xMode val="edge"/>
              <c:yMode val="edge"/>
              <c:x val="0.0064658006077316"/>
              <c:y val="0.254905452159389"/>
            </c:manualLayout>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9327232"/>
        <c:crosses val="autoZero"/>
        <c:crossBetween val="between"/>
        <c:majorUnit val="5"/>
      </c:valAx>
      <c:catAx>
        <c:axId val="379357440"/>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9355520"/>
        <c:crosses val="autoZero"/>
        <c:auto val="1"/>
        <c:lblAlgn val="ctr"/>
        <c:lblOffset val="100"/>
        <c:noMultiLvlLbl val="0"/>
      </c:catAx>
      <c:valAx>
        <c:axId val="379355520"/>
        <c:scaling>
          <c:orientation val="minMax"/>
          <c:max val="40"/>
          <c:min val="-1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b="0">
                    <a:latin typeface="Times New Roman" panose="02020603050405020304" charset="0"/>
                    <a:ea typeface="等线" panose="02010600030101010101" charset="-122"/>
                    <a:cs typeface="Times New Roman" panose="02020603050405020304" charset="0"/>
                  </a:rPr>
                  <a:t>比例（</a:t>
                </a:r>
                <a:r>
                  <a:rPr lang="en-US" altLang="zh-CN" b="0">
                    <a:latin typeface="Times New Roman" panose="02020603050405020304" charset="0"/>
                    <a:ea typeface="等线" panose="02010600030101010101" charset="-122"/>
                    <a:cs typeface="Times New Roman" panose="02020603050405020304" charset="0"/>
                  </a:rPr>
                  <a:t>%</a:t>
                </a:r>
                <a:r>
                  <a:rPr lang="zh-CN" altLang="en-US" b="0">
                    <a:latin typeface="Times New Roman" panose="02020603050405020304" charset="0"/>
                    <a:ea typeface="等线" panose="02010600030101010101" charset="-122"/>
                    <a:cs typeface="Times New Roman" panose="02020603050405020304" charset="0"/>
                  </a:rPr>
                  <a:t>）</a:t>
                </a:r>
                <a:endParaRPr lang="zh-CN" altLang="en-US" b="0">
                  <a:latin typeface="Times New Roman" panose="02020603050405020304" charset="0"/>
                  <a:ea typeface="等线" panose="02010600030101010101" charset="-122"/>
                  <a:cs typeface="Times New Roman" panose="02020603050405020304" charset="0"/>
                </a:endParaRPr>
              </a:p>
            </c:rich>
          </c:tx>
          <c:layout>
            <c:manualLayout>
              <c:xMode val="edge"/>
              <c:yMode val="edge"/>
              <c:x val="0.958051284598889"/>
              <c:y val="0.309829694583632"/>
            </c:manualLayout>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9357440"/>
        <c:crosses val="max"/>
        <c:crossBetween val="between"/>
        <c:majorUnit val="5"/>
      </c:valAx>
    </c:plotArea>
    <c:legend>
      <c:legendPos val="b"/>
      <c:layout>
        <c:manualLayout>
          <c:xMode val="edge"/>
          <c:yMode val="edge"/>
          <c:x val="0.0438015913509936"/>
          <c:y val="0.898469637318063"/>
          <c:w val="0.91380271216098"/>
          <c:h val="0.096479957050823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600" b="1" i="0" u="none" strike="noStrike" kern="1200" baseline="0">
                <a:solidFill>
                  <a:schemeClr val="tx1"/>
                </a:solidFill>
                <a:latin typeface="+mn-lt"/>
                <a:ea typeface="+mn-ea"/>
                <a:cs typeface="+mn-cs"/>
              </a:defRPr>
            </a:pPr>
            <a:r>
              <a:rPr lang="zh-CN" altLang="en-US" sz="1600"/>
              <a:t>生产矿山</a:t>
            </a:r>
            <a:endParaRPr lang="zh-CN" altLang="en-US" sz="1600"/>
          </a:p>
        </c:rich>
      </c:tx>
      <c:layout>
        <c:manualLayout>
          <c:xMode val="edge"/>
          <c:yMode val="edge"/>
          <c:x val="0.336270293486042"/>
          <c:y val="0.00275379084723414"/>
        </c:manualLayout>
      </c:layout>
      <c:overlay val="0"/>
    </c:title>
    <c:autoTitleDeleted val="0"/>
    <c:plotArea>
      <c:layout>
        <c:manualLayout>
          <c:layoutTarget val="inner"/>
          <c:xMode val="edge"/>
          <c:yMode val="edge"/>
          <c:x val="0.0544197705623876"/>
          <c:y val="0.0956784947336128"/>
          <c:w val="0.881788315786369"/>
          <c:h val="0.611525922896002"/>
        </c:manualLayout>
      </c:layout>
      <c:doughnutChart>
        <c:varyColors val="1"/>
        <c:ser>
          <c:idx val="0"/>
          <c:order val="0"/>
          <c:explosion val="0"/>
          <c:dPt>
            <c:idx val="0"/>
            <c:bubble3D val="0"/>
            <c:spPr>
              <a:solidFill>
                <a:srgbClr val="336600"/>
              </a:solidFill>
            </c:spPr>
          </c:dPt>
          <c:dPt>
            <c:idx val="1"/>
            <c:bubble3D val="0"/>
            <c:spPr>
              <a:solidFill>
                <a:srgbClr val="FF0000"/>
              </a:solidFill>
            </c:spPr>
          </c:dPt>
          <c:dPt>
            <c:idx val="2"/>
            <c:bubble3D val="0"/>
            <c:spPr>
              <a:solidFill>
                <a:srgbClr val="7030A0"/>
              </a:solidFill>
            </c:spPr>
          </c:dPt>
          <c:dLbls>
            <c:dLbl>
              <c:idx val="0"/>
              <c:layout>
                <c:manualLayout>
                  <c:x val="-0.116550073766102"/>
                  <c:y val="0.007407521717110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86480118025763"/>
                  <c:y val="0.022222222222222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32400590128814"/>
                  <c:y val="-0.037037037037037"/>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历史遗留矿山问题分析!$A$2:$C$2</c:f>
              <c:strCache>
                <c:ptCount val="3"/>
                <c:pt idx="0">
                  <c:v>绿色矿山面积（公顷）</c:v>
                </c:pt>
                <c:pt idx="1">
                  <c:v>待达标绿色矿山面积（公顷）</c:v>
                </c:pt>
                <c:pt idx="2">
                  <c:v>不列入待建绿色矿山面积（公顷）</c:v>
                </c:pt>
              </c:strCache>
            </c:strRef>
          </c:cat>
          <c:val>
            <c:numRef>
              <c:f>历史遗留矿山问题分析!$A$3:$C$3</c:f>
              <c:numCache>
                <c:formatCode>General</c:formatCode>
                <c:ptCount val="3"/>
                <c:pt idx="0">
                  <c:v>400.28</c:v>
                </c:pt>
                <c:pt idx="1">
                  <c:v>44.45</c:v>
                </c:pt>
                <c:pt idx="2" c:formatCode="0.00_ ">
                  <c:v>2.70000000000003</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106455547602004"/>
          <c:y val="0.72862937587347"/>
          <c:w val="0.813003023694355"/>
          <c:h val="0.233497300251656"/>
        </c:manualLayout>
      </c:layout>
      <c:overlay val="1"/>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历史遗留矿山</a:t>
            </a:r>
            <a:endParaRPr lang="zh-CN" altLang="en-US"/>
          </a:p>
        </c:rich>
      </c:tx>
      <c:layout>
        <c:manualLayout>
          <c:xMode val="edge"/>
          <c:yMode val="edge"/>
          <c:x val="0.211429571303587"/>
          <c:y val="0.00181567147856518"/>
        </c:manualLayout>
      </c:layout>
      <c:overlay val="0"/>
    </c:title>
    <c:autoTitleDeleted val="0"/>
    <c:plotArea>
      <c:layout>
        <c:manualLayout>
          <c:layoutTarget val="inner"/>
          <c:xMode val="edge"/>
          <c:yMode val="edge"/>
          <c:x val="0.0541761103391488"/>
          <c:y val="0.0983139216972878"/>
          <c:w val="0.909489372651948"/>
          <c:h val="0.603957786526684"/>
        </c:manualLayout>
      </c:layout>
      <c:doughnutChart>
        <c:varyColors val="1"/>
        <c:ser>
          <c:idx val="0"/>
          <c:order val="0"/>
          <c:explosion val="0"/>
          <c:dPt>
            <c:idx val="0"/>
            <c:bubble3D val="0"/>
            <c:spPr>
              <a:solidFill>
                <a:srgbClr val="336600"/>
              </a:solidFill>
            </c:spPr>
          </c:dPt>
          <c:dPt>
            <c:idx val="1"/>
            <c:bubble3D val="0"/>
            <c:spPr>
              <a:solidFill>
                <a:srgbClr val="FF0000"/>
              </a:solidFill>
            </c:spPr>
          </c:dPt>
          <c:dPt>
            <c:idx val="2"/>
            <c:bubble3D val="0"/>
            <c:spPr>
              <a:solidFill>
                <a:srgbClr val="7030A0"/>
              </a:solidFill>
            </c:spPr>
          </c:dPt>
          <c:dPt>
            <c:idx val="3"/>
            <c:bubble3D val="0"/>
            <c:spPr>
              <a:solidFill>
                <a:srgbClr val="FFC000"/>
              </a:solidFill>
            </c:spPr>
          </c:dPt>
          <c:dPt>
            <c:idx val="4"/>
            <c:bubble3D val="0"/>
          </c:dPt>
          <c:dLbls>
            <c:dLbl>
              <c:idx val="0"/>
              <c:layout>
                <c:manualLayout>
                  <c:x val="0.00425889472149315"/>
                  <c:y val="0.007407296836710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29078602016853"/>
                  <c:y val="0.0064243509845629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0314231554389"/>
                  <c:y val="0.000877710191439398"/>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历史遗留矿山问题分析!$H$2:$L$2</c:f>
              <c:strCache>
                <c:ptCount val="5"/>
                <c:pt idx="0">
                  <c:v>2023年修复治理任务（公顷）</c:v>
                </c:pt>
                <c:pt idx="1">
                  <c:v>2024年修复治理任务（公顷）</c:v>
                </c:pt>
                <c:pt idx="2">
                  <c:v>2025年修复治理任务（公顷）</c:v>
                </c:pt>
                <c:pt idx="3">
                  <c:v>已修复治理面积（公顷）</c:v>
                </c:pt>
                <c:pt idx="4">
                  <c:v>待修复治理面积（公顷）</c:v>
                </c:pt>
              </c:strCache>
            </c:strRef>
          </c:cat>
          <c:val>
            <c:numRef>
              <c:f>历史遗留矿山问题分析!$H$3:$L$3</c:f>
              <c:numCache>
                <c:formatCode>General</c:formatCode>
                <c:ptCount val="5"/>
                <c:pt idx="0">
                  <c:v>12</c:v>
                </c:pt>
                <c:pt idx="1">
                  <c:v>16</c:v>
                </c:pt>
                <c:pt idx="2">
                  <c:v>12</c:v>
                </c:pt>
                <c:pt idx="3">
                  <c:v>8.11</c:v>
                </c:pt>
                <c:pt idx="4">
                  <c:v>82.67</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
          <c:y val="0.728052548118985"/>
          <c:w val="0.935777674849467"/>
          <c:h val="0.271947451881015"/>
        </c:manualLayout>
      </c:layout>
      <c:overlay val="1"/>
      <c:spPr>
        <a:effectLst>
          <a:glow>
            <a:schemeClr val="accent1"/>
          </a:glow>
        </a:effectLst>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4723847328"/>
          <c:y val="0.0263657838224767"/>
          <c:w val="0.780389112200136"/>
          <c:h val="0.732364283672462"/>
        </c:manualLayout>
      </c:layout>
      <c:barChart>
        <c:barDir val="col"/>
        <c:grouping val="percentStacked"/>
        <c:varyColors val="0"/>
        <c:ser>
          <c:idx val="0"/>
          <c:order val="0"/>
          <c:tx>
            <c:strRef>
              <c:f>水土流失!$E$1</c:f>
              <c:strCache>
                <c:ptCount val="1"/>
                <c:pt idx="0">
                  <c:v>轻度侵蚀（平方公里）</c:v>
                </c:pt>
              </c:strCache>
            </c:strRef>
          </c:tx>
          <c:spPr>
            <a:effectLst/>
          </c:spPr>
          <c:invertIfNegative val="0"/>
          <c:dLbls>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水土流失!$A$2:$A$8</c:f>
              <c:strCache>
                <c:ptCount val="7"/>
                <c:pt idx="0">
                  <c:v>源城区</c:v>
                </c:pt>
                <c:pt idx="1">
                  <c:v>紫金县</c:v>
                </c:pt>
                <c:pt idx="2">
                  <c:v>龙川县</c:v>
                </c:pt>
                <c:pt idx="3">
                  <c:v>连平县</c:v>
                </c:pt>
                <c:pt idx="4">
                  <c:v>和平县</c:v>
                </c:pt>
                <c:pt idx="5">
                  <c:v>东源县</c:v>
                </c:pt>
                <c:pt idx="6">
                  <c:v>河源市</c:v>
                </c:pt>
              </c:strCache>
            </c:strRef>
          </c:cat>
          <c:val>
            <c:numRef>
              <c:f>水土流失!$E$2:$E$8</c:f>
              <c:numCache>
                <c:formatCode>General</c:formatCode>
                <c:ptCount val="7"/>
                <c:pt idx="0">
                  <c:v>40.25</c:v>
                </c:pt>
                <c:pt idx="1">
                  <c:v>432.72</c:v>
                </c:pt>
                <c:pt idx="2">
                  <c:v>644.25</c:v>
                </c:pt>
                <c:pt idx="3">
                  <c:v>211.72</c:v>
                </c:pt>
                <c:pt idx="4">
                  <c:v>439.66</c:v>
                </c:pt>
                <c:pt idx="5">
                  <c:v>498.53</c:v>
                </c:pt>
                <c:pt idx="6">
                  <c:v>2267.13</c:v>
                </c:pt>
              </c:numCache>
            </c:numRef>
          </c:val>
        </c:ser>
        <c:ser>
          <c:idx val="1"/>
          <c:order val="1"/>
          <c:tx>
            <c:strRef>
              <c:f>水土流失!$F$1</c:f>
              <c:strCache>
                <c:ptCount val="1"/>
                <c:pt idx="0">
                  <c:v>中度侵蚀（平方公里）</c:v>
                </c:pt>
              </c:strCache>
            </c:strRef>
          </c:tx>
          <c:spPr>
            <a:effectLst/>
          </c:spPr>
          <c:invertIfNegative val="0"/>
          <c:dLbls>
            <c:dLbl>
              <c:idx val="6"/>
              <c:layout>
                <c:manualLayout>
                  <c:x val="-0.00723327305605795"/>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水土流失!$A$2:$A$8</c:f>
              <c:strCache>
                <c:ptCount val="7"/>
                <c:pt idx="0">
                  <c:v>源城区</c:v>
                </c:pt>
                <c:pt idx="1">
                  <c:v>紫金县</c:v>
                </c:pt>
                <c:pt idx="2">
                  <c:v>龙川县</c:v>
                </c:pt>
                <c:pt idx="3">
                  <c:v>连平县</c:v>
                </c:pt>
                <c:pt idx="4">
                  <c:v>和平县</c:v>
                </c:pt>
                <c:pt idx="5">
                  <c:v>东源县</c:v>
                </c:pt>
                <c:pt idx="6">
                  <c:v>河源市</c:v>
                </c:pt>
              </c:strCache>
            </c:strRef>
          </c:cat>
          <c:val>
            <c:numRef>
              <c:f>水土流失!$F$2:$F$8</c:f>
              <c:numCache>
                <c:formatCode>General</c:formatCode>
                <c:ptCount val="7"/>
                <c:pt idx="0">
                  <c:v>7.27</c:v>
                </c:pt>
                <c:pt idx="1">
                  <c:v>44.01</c:v>
                </c:pt>
                <c:pt idx="2">
                  <c:v>59.13</c:v>
                </c:pt>
                <c:pt idx="3">
                  <c:v>15.46</c:v>
                </c:pt>
                <c:pt idx="4">
                  <c:v>38.22</c:v>
                </c:pt>
                <c:pt idx="5">
                  <c:v>39.9</c:v>
                </c:pt>
                <c:pt idx="6">
                  <c:v>203.99</c:v>
                </c:pt>
              </c:numCache>
            </c:numRef>
          </c:val>
        </c:ser>
        <c:ser>
          <c:idx val="2"/>
          <c:order val="2"/>
          <c:tx>
            <c:strRef>
              <c:f>水土流失!$G$1</c:f>
              <c:strCache>
                <c:ptCount val="1"/>
                <c:pt idx="0">
                  <c:v>强烈侵蚀（平方公里）</c:v>
                </c:pt>
              </c:strCache>
            </c:strRef>
          </c:tx>
          <c:invertIfNegative val="0"/>
          <c:dLbls>
            <c:dLbl>
              <c:idx val="0"/>
              <c:layout>
                <c:manualLayout>
                  <c:x val="0"/>
                  <c:y val="0.0090909090909090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41109101868596"/>
                  <c:y val="0.0030303030303030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41109101868596"/>
                  <c:y val="0.0030303030303030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47218211127818e-1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23327305605787"/>
                  <c:y val="0.0030303030303030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241128086837247"/>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水土流失!$A$2:$A$8</c:f>
              <c:strCache>
                <c:ptCount val="7"/>
                <c:pt idx="0">
                  <c:v>源城区</c:v>
                </c:pt>
                <c:pt idx="1">
                  <c:v>紫金县</c:v>
                </c:pt>
                <c:pt idx="2">
                  <c:v>龙川县</c:v>
                </c:pt>
                <c:pt idx="3">
                  <c:v>连平县</c:v>
                </c:pt>
                <c:pt idx="4">
                  <c:v>和平县</c:v>
                </c:pt>
                <c:pt idx="5">
                  <c:v>东源县</c:v>
                </c:pt>
                <c:pt idx="6">
                  <c:v>河源市</c:v>
                </c:pt>
              </c:strCache>
            </c:strRef>
          </c:cat>
          <c:val>
            <c:numRef>
              <c:f>水土流失!$G$2:$G$8</c:f>
              <c:numCache>
                <c:formatCode>General</c:formatCode>
                <c:ptCount val="7"/>
                <c:pt idx="0">
                  <c:v>1.84</c:v>
                </c:pt>
                <c:pt idx="1">
                  <c:v>18.93</c:v>
                </c:pt>
                <c:pt idx="2">
                  <c:v>20.66</c:v>
                </c:pt>
                <c:pt idx="3">
                  <c:v>6.22</c:v>
                </c:pt>
                <c:pt idx="4">
                  <c:v>12.62</c:v>
                </c:pt>
                <c:pt idx="5">
                  <c:v>18.8</c:v>
                </c:pt>
                <c:pt idx="6">
                  <c:v>79.07</c:v>
                </c:pt>
              </c:numCache>
            </c:numRef>
          </c:val>
        </c:ser>
        <c:ser>
          <c:idx val="3"/>
          <c:order val="3"/>
          <c:tx>
            <c:strRef>
              <c:f>水土流失!$H$1</c:f>
              <c:strCache>
                <c:ptCount val="1"/>
                <c:pt idx="0">
                  <c:v>极强烈侵蚀（平方公里）</c:v>
                </c:pt>
              </c:strCache>
            </c:strRef>
          </c:tx>
          <c:spPr>
            <a:effectLst/>
          </c:spPr>
          <c:invertIfNegative val="0"/>
          <c:dLbls>
            <c:dLbl>
              <c:idx val="0"/>
              <c:layout>
                <c:manualLayout>
                  <c:x val="-0.00241109101868596"/>
                  <c:y val="-0.012121212121212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64436407474382"/>
                  <c:y val="-0.0090909090909090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14452636602242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82218203737191"/>
                  <c:y val="-0.012121212121212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2121212121212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482218203737191"/>
                  <c:y val="-0.012121212121212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482218203737191"/>
                  <c:y val="-0.012121212121212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水土流失!$A$2:$A$8</c:f>
              <c:strCache>
                <c:ptCount val="7"/>
                <c:pt idx="0">
                  <c:v>源城区</c:v>
                </c:pt>
                <c:pt idx="1">
                  <c:v>紫金县</c:v>
                </c:pt>
                <c:pt idx="2">
                  <c:v>龙川县</c:v>
                </c:pt>
                <c:pt idx="3">
                  <c:v>连平县</c:v>
                </c:pt>
                <c:pt idx="4">
                  <c:v>和平县</c:v>
                </c:pt>
                <c:pt idx="5">
                  <c:v>东源县</c:v>
                </c:pt>
                <c:pt idx="6">
                  <c:v>河源市</c:v>
                </c:pt>
              </c:strCache>
            </c:strRef>
          </c:cat>
          <c:val>
            <c:numRef>
              <c:f>水土流失!$H$2:$H$8</c:f>
              <c:numCache>
                <c:formatCode>General</c:formatCode>
                <c:ptCount val="7"/>
                <c:pt idx="0">
                  <c:v>0.32</c:v>
                </c:pt>
                <c:pt idx="1">
                  <c:v>2.08</c:v>
                </c:pt>
                <c:pt idx="2">
                  <c:v>6.1</c:v>
                </c:pt>
                <c:pt idx="3">
                  <c:v>0.5</c:v>
                </c:pt>
                <c:pt idx="4">
                  <c:v>2.07</c:v>
                </c:pt>
                <c:pt idx="5">
                  <c:v>4.13</c:v>
                </c:pt>
                <c:pt idx="6">
                  <c:v>15.2</c:v>
                </c:pt>
              </c:numCache>
            </c:numRef>
          </c:val>
        </c:ser>
        <c:ser>
          <c:idx val="4"/>
          <c:order val="4"/>
          <c:tx>
            <c:strRef>
              <c:f>水土流失!$I$1</c:f>
              <c:strCache>
                <c:ptCount val="1"/>
                <c:pt idx="0">
                  <c:v>剧烈侵蚀（平方公里）</c:v>
                </c:pt>
              </c:strCache>
            </c:strRef>
          </c:tx>
          <c:spPr>
            <a:solidFill>
              <a:sysClr val="window" lastClr="FFFFFF">
                <a:lumMod val="75000"/>
              </a:sysClr>
            </a:solidFill>
          </c:spPr>
          <c:invertIfNegative val="0"/>
          <c:dLbls>
            <c:dLbl>
              <c:idx val="0"/>
              <c:layout>
                <c:manualLayout>
                  <c:x val="0.0141570911231033"/>
                  <c:y val="0.016695060844667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5284988110664"/>
                  <c:y val="0.011188021951801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880959500315625"/>
                  <c:y val="0.01520878072059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1808128414328"/>
                  <c:y val="0.017743736578382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0940515346974"/>
                  <c:y val="0.01316964924838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996350139776832"/>
                  <c:y val="0.022813648293963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24777183600713"/>
                  <c:y val="0.02027883801459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chemeClr val="tx1"/>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水土流失!$A$2:$A$8</c:f>
              <c:strCache>
                <c:ptCount val="7"/>
                <c:pt idx="0">
                  <c:v>源城区</c:v>
                </c:pt>
                <c:pt idx="1">
                  <c:v>紫金县</c:v>
                </c:pt>
                <c:pt idx="2">
                  <c:v>龙川县</c:v>
                </c:pt>
                <c:pt idx="3">
                  <c:v>连平县</c:v>
                </c:pt>
                <c:pt idx="4">
                  <c:v>和平县</c:v>
                </c:pt>
                <c:pt idx="5">
                  <c:v>东源县</c:v>
                </c:pt>
                <c:pt idx="6">
                  <c:v>河源市</c:v>
                </c:pt>
              </c:strCache>
            </c:strRef>
          </c:cat>
          <c:val>
            <c:numRef>
              <c:f>水土流失!$I$2:$I$8</c:f>
              <c:numCache>
                <c:formatCode>General</c:formatCode>
                <c:ptCount val="7"/>
                <c:pt idx="0">
                  <c:v>0.18</c:v>
                </c:pt>
                <c:pt idx="1">
                  <c:v>0.25</c:v>
                </c:pt>
                <c:pt idx="2">
                  <c:v>2.03</c:v>
                </c:pt>
                <c:pt idx="3">
                  <c:v>0.72</c:v>
                </c:pt>
                <c:pt idx="4">
                  <c:v>0.84</c:v>
                </c:pt>
                <c:pt idx="5">
                  <c:v>2.18</c:v>
                </c:pt>
                <c:pt idx="6">
                  <c:v>6.2</c:v>
                </c:pt>
              </c:numCache>
            </c:numRef>
          </c:val>
        </c:ser>
        <c:dLbls>
          <c:showLegendKey val="0"/>
          <c:showVal val="0"/>
          <c:showCatName val="0"/>
          <c:showSerName val="0"/>
          <c:showPercent val="0"/>
          <c:showBubbleSize val="0"/>
        </c:dLbls>
        <c:gapWidth val="47"/>
        <c:axId val="382566400"/>
        <c:axId val="382567936"/>
      </c:barChart>
      <c:lineChart>
        <c:grouping val="standard"/>
        <c:varyColors val="0"/>
        <c:ser>
          <c:idx val="5"/>
          <c:order val="5"/>
          <c:tx>
            <c:strRef>
              <c:f>水土流失!$J$1</c:f>
              <c:strCache>
                <c:ptCount val="1"/>
                <c:pt idx="0">
                  <c:v>水土流失占国土面积比例（%）</c:v>
                </c:pt>
              </c:strCache>
            </c:strRef>
          </c:tx>
          <c:spPr>
            <a:ln w="28575" cap="rnd" cmpd="sng" algn="ctr">
              <a:solidFill>
                <a:srgbClr val="336600"/>
              </a:solidFill>
              <a:prstDash val="dash"/>
              <a:round/>
            </a:ln>
          </c:spPr>
          <c:marker>
            <c:symbol val="circle"/>
            <c:size val="5"/>
            <c:spPr>
              <a:solidFill>
                <a:schemeClr val="bg1"/>
              </a:solidFill>
              <a:ln w="12700" cap="flat" cmpd="sng" algn="ctr">
                <a:solidFill>
                  <a:srgbClr val="336600"/>
                </a:solidFill>
                <a:prstDash val="solid"/>
                <a:round/>
              </a:ln>
            </c:spPr>
          </c:marker>
          <c:dLbls>
            <c:dLbl>
              <c:idx val="0"/>
              <c:layout>
                <c:manualLayout>
                  <c:x val="-0.0289330922242315"/>
                  <c:y val="-0.02727272727272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5220012055455"/>
                  <c:y val="0.02424242424242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09887371673478"/>
                  <c:y val="0.02424242424242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89330922242315"/>
                  <c:y val="-0.02424242424242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13441832429175"/>
                  <c:y val="-0.01818181818181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61663652802892"/>
                  <c:y val="0.02727272727272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89330922242315"/>
                  <c:y val="-0.02727272727272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1" i="0" u="none" strike="noStrike" kern="1200" baseline="0">
                    <a:solidFill>
                      <a:sysClr val="windowText" lastClr="000000"/>
                    </a:solidFill>
                    <a:effectLst>
                      <a:glow rad="101600">
                        <a:srgbClr val="92D050">
                          <a:alpha val="40000"/>
                        </a:srgb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水土流失!$A$2:$A$8</c:f>
              <c:strCache>
                <c:ptCount val="7"/>
                <c:pt idx="0">
                  <c:v>源城区</c:v>
                </c:pt>
                <c:pt idx="1">
                  <c:v>紫金县</c:v>
                </c:pt>
                <c:pt idx="2">
                  <c:v>龙川县</c:v>
                </c:pt>
                <c:pt idx="3">
                  <c:v>连平县</c:v>
                </c:pt>
                <c:pt idx="4">
                  <c:v>和平县</c:v>
                </c:pt>
                <c:pt idx="5">
                  <c:v>东源县</c:v>
                </c:pt>
                <c:pt idx="6">
                  <c:v>河源市</c:v>
                </c:pt>
              </c:strCache>
            </c:strRef>
          </c:cat>
          <c:val>
            <c:numRef>
              <c:f>水土流失!$J$2:$J$8</c:f>
              <c:numCache>
                <c:formatCode>0.00_ </c:formatCode>
                <c:ptCount val="7"/>
                <c:pt idx="0">
                  <c:v>13.6602739726027</c:v>
                </c:pt>
                <c:pt idx="1">
                  <c:v>13.7528307097487</c:v>
                </c:pt>
                <c:pt idx="2">
                  <c:v>23.671839637892</c:v>
                </c:pt>
                <c:pt idx="3">
                  <c:v>10.3175021987687</c:v>
                </c:pt>
                <c:pt idx="4">
                  <c:v>21.5839895013123</c:v>
                </c:pt>
                <c:pt idx="5">
                  <c:v>14.070911360799</c:v>
                </c:pt>
                <c:pt idx="6">
                  <c:v>16.4381871644081</c:v>
                </c:pt>
              </c:numCache>
            </c:numRef>
          </c:val>
          <c:smooth val="1"/>
        </c:ser>
        <c:ser>
          <c:idx val="6"/>
          <c:order val="6"/>
          <c:tx>
            <c:strRef>
              <c:f>水土流失!$K$1</c:f>
              <c:strCache>
                <c:ptCount val="1"/>
                <c:pt idx="0">
                  <c:v>水土流失占全市水土流失比例（%）</c:v>
                </c:pt>
              </c:strCache>
            </c:strRef>
          </c:tx>
          <c:spPr>
            <a:ln w="28575" cap="rnd" cmpd="sng" algn="ctr">
              <a:solidFill>
                <a:schemeClr val="accent6">
                  <a:lumMod val="75000"/>
                </a:schemeClr>
              </a:solidFill>
              <a:prstDash val="dash"/>
              <a:round/>
            </a:ln>
          </c:spPr>
          <c:marker>
            <c:symbol val="triangle"/>
            <c:size val="6"/>
            <c:spPr>
              <a:solidFill>
                <a:schemeClr val="bg1"/>
              </a:solidFill>
              <a:ln w="12700" cap="flat" cmpd="sng" algn="ctr">
                <a:solidFill>
                  <a:schemeClr val="accent6">
                    <a:lumMod val="75000"/>
                  </a:schemeClr>
                </a:solidFill>
                <a:prstDash val="solid"/>
                <a:round/>
              </a:ln>
            </c:spPr>
          </c:marker>
          <c:dPt>
            <c:idx val="3"/>
            <c:marker>
              <c:symbol val="triangle"/>
              <c:size val="6"/>
              <c:spPr>
                <a:solidFill>
                  <a:schemeClr val="bg1"/>
                </a:solidFill>
                <a:ln w="12700" cap="flat" cmpd="sng" algn="ctr">
                  <a:solidFill>
                    <a:schemeClr val="accent6">
                      <a:lumMod val="75000"/>
                    </a:schemeClr>
                  </a:solidFill>
                  <a:prstDash val="solid"/>
                  <a:round/>
                </a:ln>
                <a:effectLst>
                  <a:softEdge rad="0"/>
                </a:effectLst>
              </c:spPr>
            </c:marker>
            <c:bubble3D val="0"/>
            <c:spPr>
              <a:ln w="28575" cap="rnd" cmpd="sng" algn="ctr">
                <a:solidFill>
                  <a:schemeClr val="accent6">
                    <a:lumMod val="75000"/>
                  </a:schemeClr>
                </a:solidFill>
                <a:prstDash val="dash"/>
                <a:round/>
              </a:ln>
              <a:effectLst>
                <a:softEdge rad="0"/>
              </a:effectLst>
            </c:spPr>
          </c:dPt>
          <c:dLbls>
            <c:dLbl>
              <c:idx val="0"/>
              <c:layout>
                <c:manualLayout>
                  <c:x val="-0.00964436407474382"/>
                  <c:y val="0.02121212121212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85774562989753"/>
                  <c:y val="-0.02727272727272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89330922242315"/>
                  <c:y val="-0.01818181818181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41109101868596"/>
                  <c:y val="0.02727272727272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9330922242316"/>
                  <c:y val="0.03030303030303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23327305605778"/>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16998191681736"/>
                  <c:y val="0.02424242424242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ysClr val="windowText" lastClr="000000"/>
                    </a:solidFill>
                    <a:effectLst>
                      <a:glow rad="101600">
                        <a:schemeClr val="accent2">
                          <a:satMod val="175000"/>
                          <a:alpha val="40000"/>
                        </a:schemeClr>
                      </a:glow>
                    </a:effectLst>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水土流失!$A$2:$A$8</c:f>
              <c:strCache>
                <c:ptCount val="7"/>
                <c:pt idx="0">
                  <c:v>源城区</c:v>
                </c:pt>
                <c:pt idx="1">
                  <c:v>紫金县</c:v>
                </c:pt>
                <c:pt idx="2">
                  <c:v>龙川县</c:v>
                </c:pt>
                <c:pt idx="3">
                  <c:v>连平县</c:v>
                </c:pt>
                <c:pt idx="4">
                  <c:v>和平县</c:v>
                </c:pt>
                <c:pt idx="5">
                  <c:v>东源县</c:v>
                </c:pt>
                <c:pt idx="6">
                  <c:v>河源市</c:v>
                </c:pt>
              </c:strCache>
            </c:strRef>
          </c:cat>
          <c:val>
            <c:numRef>
              <c:f>水土流失!$K$2:$K$8</c:f>
              <c:numCache>
                <c:formatCode>0.00_ </c:formatCode>
                <c:ptCount val="7"/>
                <c:pt idx="0">
                  <c:v>1.9388782815301</c:v>
                </c:pt>
                <c:pt idx="1">
                  <c:v>19.3650620822137</c:v>
                </c:pt>
                <c:pt idx="2">
                  <c:v>28.4714904008804</c:v>
                </c:pt>
                <c:pt idx="3">
                  <c:v>9.12353835564767</c:v>
                </c:pt>
                <c:pt idx="4">
                  <c:v>19.1869621518205</c:v>
                </c:pt>
                <c:pt idx="5">
                  <c:v>21.9140687279076</c:v>
                </c:pt>
                <c:pt idx="6">
                  <c:v>100</c:v>
                </c:pt>
              </c:numCache>
            </c:numRef>
          </c:val>
          <c:smooth val="1"/>
        </c:ser>
        <c:dLbls>
          <c:showLegendKey val="0"/>
          <c:showVal val="0"/>
          <c:showCatName val="0"/>
          <c:showSerName val="0"/>
          <c:showPercent val="0"/>
          <c:showBubbleSize val="0"/>
        </c:dLbls>
        <c:marker val="1"/>
        <c:smooth val="1"/>
        <c:axId val="382580224"/>
        <c:axId val="382569856"/>
      </c:lineChart>
      <c:catAx>
        <c:axId val="382566400"/>
        <c:scaling>
          <c:orientation val="minMax"/>
        </c:scaling>
        <c:delete val="0"/>
        <c:axPos val="b"/>
        <c:majorTickMark val="none"/>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2567936"/>
        <c:crosses val="autoZero"/>
        <c:auto val="1"/>
        <c:lblAlgn val="ctr"/>
        <c:lblOffset val="100"/>
        <c:noMultiLvlLbl val="0"/>
      </c:catAx>
      <c:valAx>
        <c:axId val="382567936"/>
        <c:scaling>
          <c:orientation val="minMax"/>
        </c:scaling>
        <c:delete val="0"/>
        <c:axPos val="l"/>
        <c:majorGridlines>
          <c:spPr>
            <a:ln w="9525" cap="flat" cmpd="sng" algn="ctr">
              <a:solidFill>
                <a:schemeClr val="bg1">
                  <a:lumMod val="85000"/>
                </a:schemeClr>
              </a:solidFill>
              <a:prstDash val="solid"/>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zh-CN" altLang="en-US" b="0">
                    <a:latin typeface="等线" panose="02010600030101010101" charset="-122"/>
                    <a:ea typeface="等线" panose="02010600030101010101" charset="-122"/>
                  </a:rPr>
                  <a:t>水土流失强度占比</a:t>
                </a:r>
                <a:endParaRPr lang="zh-CN" altLang="en-US" b="0">
                  <a:latin typeface="等线" panose="02010600030101010101" charset="-122"/>
                  <a:ea typeface="等线" panose="02010600030101010101" charset="-122"/>
                </a:endParaRPr>
              </a:p>
            </c:rich>
          </c:tx>
          <c:layout/>
          <c:overlay val="0"/>
        </c:title>
        <c:numFmt formatCode="0%" sourceLinked="1"/>
        <c:majorTickMark val="none"/>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2566400"/>
        <c:crosses val="autoZero"/>
        <c:crossBetween val="between"/>
      </c:valAx>
      <c:catAx>
        <c:axId val="382580224"/>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2569856"/>
        <c:crosses val="autoZero"/>
        <c:auto val="1"/>
        <c:lblAlgn val="ctr"/>
        <c:lblOffset val="100"/>
        <c:noMultiLvlLbl val="0"/>
      </c:catAx>
      <c:valAx>
        <c:axId val="382569856"/>
        <c:scaling>
          <c:orientation val="minMax"/>
          <c:max val="110"/>
        </c:scaling>
        <c:delete val="0"/>
        <c:axPos val="r"/>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zh-CN" altLang="en-US" b="0">
                    <a:latin typeface="等线" panose="02010600030101010101" charset="-122"/>
                    <a:ea typeface="等线" panose="02010600030101010101" charset="-122"/>
                  </a:rPr>
                  <a:t>水土流失占比</a:t>
                </a:r>
                <a:endParaRPr lang="zh-CN" altLang="en-US" b="0">
                  <a:latin typeface="等线" panose="02010600030101010101" charset="-122"/>
                  <a:ea typeface="等线" panose="02010600030101010101" charset="-122"/>
                </a:endParaRPr>
              </a:p>
            </c:rich>
          </c:tx>
          <c:layout>
            <c:manualLayout>
              <c:xMode val="edge"/>
              <c:yMode val="edge"/>
              <c:x val="0.961421911421911"/>
              <c:y val="0.231971844428537"/>
            </c:manualLayout>
          </c:layout>
          <c:overlay val="0"/>
        </c:title>
        <c:numFmt formatCode="0_ " sourceLinked="0"/>
        <c:majorTickMark val="out"/>
        <c:minorTickMark val="none"/>
        <c:tickLblPos val="nextTo"/>
        <c:spPr>
          <a:ln w="9525"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82580224"/>
        <c:crosses val="max"/>
        <c:crossBetween val="between"/>
      </c:valAx>
    </c:plotArea>
    <c:legend>
      <c:legendPos val="b"/>
      <c:layout>
        <c:manualLayout>
          <c:xMode val="edge"/>
          <c:yMode val="edge"/>
          <c:x val="0.0205631114292532"/>
          <c:y val="0.835046528274875"/>
          <c:w val="0.977323024495356"/>
          <c:h val="0.164953471725125"/>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solidFill>
        <a:schemeClr val="bg1">
          <a:lumMod val="85000"/>
        </a:schemeClr>
      </a:solidFill>
      <a:prstDash val="solid"/>
      <a:round/>
    </a:ln>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0.434</cdr:x>
      <cdr:y>0.09451</cdr:y>
    </cdr:from>
    <cdr:to>
      <cdr:x>0.65712</cdr:x>
      <cdr:y>0.19279</cdr:y>
    </cdr:to>
    <cdr:sp>
      <cdr:nvSpPr>
        <cdr:cNvPr id="2" name="矩形 1"/>
        <cdr:cNvSpPr/>
      </cdr:nvSpPr>
      <cdr:spPr xmlns:a="http://schemas.openxmlformats.org/drawingml/2006/main">
        <a:xfrm xmlns:a="http://schemas.openxmlformats.org/drawingml/2006/main">
          <a:off x="2286011" y="238125"/>
          <a:ext cx="1175245" cy="2476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en-US" altLang="zh-CN"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Ⅱ</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类标准（</a:t>
          </a:r>
          <a:r>
            <a:rPr lang="en-US" altLang="zh-CN"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TP</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a:t>
          </a:r>
          <a:endPar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endParaRPr>
        </a:p>
      </cdr:txBody>
    </cdr:sp>
  </cdr:relSizeAnchor>
  <cdr:relSizeAnchor xmlns:cdr="http://schemas.openxmlformats.org/drawingml/2006/chartDrawing">
    <cdr:from>
      <cdr:x>0.49063</cdr:x>
      <cdr:y>0.4584</cdr:y>
    </cdr:from>
    <cdr:to>
      <cdr:x>0.80025</cdr:x>
      <cdr:y>0.52834</cdr:y>
    </cdr:to>
    <cdr:sp>
      <cdr:nvSpPr>
        <cdr:cNvPr id="3" name="矩形 2"/>
        <cdr:cNvSpPr/>
      </cdr:nvSpPr>
      <cdr:spPr xmlns:a="http://schemas.openxmlformats.org/drawingml/2006/main">
        <a:xfrm xmlns:a="http://schemas.openxmlformats.org/drawingml/2006/main">
          <a:off x="2584289" y="1231273"/>
          <a:ext cx="1630870" cy="187862"/>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en-US" altLang="zh-CN"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Ⅱ</a:t>
          </a:r>
          <a:r>
            <a:rPr lang="zh-CN" altLang="en-US"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类标准（</a:t>
          </a:r>
          <a:r>
            <a:rPr lang="en-US" altLang="zh-CN"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NH₃-N</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a:t>
          </a:r>
          <a:endPar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0.39874</cdr:x>
      <cdr:y>0.06888</cdr:y>
    </cdr:from>
    <cdr:to>
      <cdr:x>0.66137</cdr:x>
      <cdr:y>0.16255</cdr:y>
    </cdr:to>
    <cdr:sp>
      <cdr:nvSpPr>
        <cdr:cNvPr id="2" name="矩形 1"/>
        <cdr:cNvSpPr/>
      </cdr:nvSpPr>
      <cdr:spPr xmlns:a="http://schemas.openxmlformats.org/drawingml/2006/main">
        <a:xfrm xmlns:a="http://schemas.openxmlformats.org/drawingml/2006/main">
          <a:off x="2199041" y="173556"/>
          <a:ext cx="1448398" cy="236019"/>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en-US" altLang="zh-CN"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Ⅱ</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类标准（</a:t>
          </a:r>
          <a:r>
            <a:rPr lang="en-US" altLang="zh-CN"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BOD₅</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a:t>
          </a:r>
          <a:endPar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endParaRPr>
        </a:p>
      </cdr:txBody>
    </cdr:sp>
  </cdr:relSizeAnchor>
  <cdr:relSizeAnchor xmlns:cdr="http://schemas.openxmlformats.org/drawingml/2006/chartDrawing">
    <cdr:from>
      <cdr:x>0.39208</cdr:x>
      <cdr:y>0.20439</cdr:y>
    </cdr:from>
    <cdr:to>
      <cdr:x>0.7017</cdr:x>
      <cdr:y>0.27433</cdr:y>
    </cdr:to>
    <cdr:sp>
      <cdr:nvSpPr>
        <cdr:cNvPr id="3" name="矩形 2"/>
        <cdr:cNvSpPr/>
      </cdr:nvSpPr>
      <cdr:spPr xmlns:a="http://schemas.openxmlformats.org/drawingml/2006/main">
        <a:xfrm xmlns:a="http://schemas.openxmlformats.org/drawingml/2006/main">
          <a:off x="2162311" y="549006"/>
          <a:ext cx="1707547" cy="187863"/>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en-US" altLang="zh-CN"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Ⅱ</a:t>
          </a:r>
          <a:r>
            <a:rPr lang="zh-CN" altLang="en-US"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类标准（高锰酸盐指数</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a:t>
          </a:r>
          <a:endPar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0.46798</cdr:x>
      <cdr:y>0.08397</cdr:y>
    </cdr:from>
    <cdr:to>
      <cdr:x>0.6911</cdr:x>
      <cdr:y>0.17557</cdr:y>
    </cdr:to>
    <cdr:sp>
      <cdr:nvSpPr>
        <cdr:cNvPr id="2" name="矩形 1"/>
        <cdr:cNvSpPr/>
      </cdr:nvSpPr>
      <cdr:spPr xmlns:a="http://schemas.openxmlformats.org/drawingml/2006/main">
        <a:xfrm xmlns:a="http://schemas.openxmlformats.org/drawingml/2006/main">
          <a:off x="2509567" y="209550"/>
          <a:ext cx="1196498" cy="2286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en-US" altLang="zh-CN"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Ⅱ</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类标准（</a:t>
          </a:r>
          <a:r>
            <a:rPr lang="en-US" altLang="zh-CN"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COD</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a:t>
          </a:r>
          <a:endPar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endParaRPr>
        </a:p>
      </cdr:txBody>
    </cdr:sp>
  </cdr:relSizeAnchor>
  <cdr:relSizeAnchor xmlns:cdr="http://schemas.openxmlformats.org/drawingml/2006/chartDrawing">
    <cdr:from>
      <cdr:x>0.41148</cdr:x>
      <cdr:y>0.32902</cdr:y>
    </cdr:from>
    <cdr:to>
      <cdr:x>0.64121</cdr:x>
      <cdr:y>0.3986</cdr:y>
    </cdr:to>
    <cdr:sp>
      <cdr:nvSpPr>
        <cdr:cNvPr id="3" name="矩形 2"/>
        <cdr:cNvSpPr/>
      </cdr:nvSpPr>
      <cdr:spPr xmlns:a="http://schemas.openxmlformats.org/drawingml/2006/main">
        <a:xfrm xmlns:a="http://schemas.openxmlformats.org/drawingml/2006/main">
          <a:off x="2206591" y="896301"/>
          <a:ext cx="1231933" cy="1895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en-US" altLang="zh-CN"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Ⅱ</a:t>
          </a:r>
          <a:r>
            <a:rPr lang="zh-CN" altLang="en-US"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类标准（</a:t>
          </a:r>
          <a:r>
            <a:rPr lang="en-US" altLang="zh-CN" sz="1000" b="0">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DO</a:t>
          </a:r>
          <a:r>
            <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rPr>
            <a:t>）</a:t>
          </a:r>
          <a:endParaRPr lang="zh-CN" altLang="en-US" sz="1000" b="0">
            <a:solidFill>
              <a:srgbClr val="1201ED"/>
            </a:solidFill>
            <a:effectLst>
              <a:glow rad="63500">
                <a:schemeClr val="accent1">
                  <a:satMod val="175000"/>
                  <a:alpha val="40000"/>
                </a:schemeClr>
              </a:glow>
            </a:effectLst>
            <a:latin typeface="Times New Roman" panose="02020603050405020304" charset="0"/>
            <a:cs typeface="Times New Roman" panose="0202060305040502030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0.32888</cdr:x>
      <cdr:y>0.64588</cdr:y>
    </cdr:from>
    <cdr:to>
      <cdr:x>0.71767</cdr:x>
      <cdr:y>0.71703</cdr:y>
    </cdr:to>
    <cdr:sp>
      <cdr:nvSpPr>
        <cdr:cNvPr id="2" name="矩形 1"/>
        <cdr:cNvSpPr/>
      </cdr:nvSpPr>
      <cdr:spPr xmlns:a="http://schemas.openxmlformats.org/drawingml/2006/main">
        <a:xfrm xmlns:a="http://schemas.openxmlformats.org/drawingml/2006/main">
          <a:off x="1733550" y="2239331"/>
          <a:ext cx="2049385" cy="246694"/>
        </a:xfrm>
        <a:prstGeom xmlns:a="http://schemas.openxmlformats.org/drawingml/2006/main" prst="rect">
          <a:avLst/>
        </a:prstGeom>
      </cdr:spPr>
      <cdr:txBody xmlns:a="http://schemas.openxmlformats.org/drawingml/2006/main">
        <a:bodyPr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ltLang="zh-CN"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2025</a:t>
          </a:r>
          <a:r>
            <a:rPr lang="zh-CN" altLang="en-US"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年新丰江水库总氮控制浓度</a:t>
          </a:r>
          <a:endParaRPr lang="zh-CN" altLang="en-US"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0.47687</cdr:x>
      <cdr:y>0.03143</cdr:y>
    </cdr:from>
    <cdr:to>
      <cdr:x>0.69453</cdr:x>
      <cdr:y>0.09806</cdr:y>
    </cdr:to>
    <cdr:sp>
      <cdr:nvSpPr>
        <cdr:cNvPr id="2" name="矩形 1"/>
        <cdr:cNvSpPr/>
      </cdr:nvSpPr>
      <cdr:spPr xmlns:a="http://schemas.openxmlformats.org/drawingml/2006/main">
        <a:xfrm xmlns:a="http://schemas.openxmlformats.org/drawingml/2006/main">
          <a:off x="2513646" y="104794"/>
          <a:ext cx="1147315" cy="222128"/>
        </a:xfrm>
        <a:prstGeom xmlns:a="http://schemas.openxmlformats.org/drawingml/2006/main" prst="rect">
          <a:avLst/>
        </a:prstGeom>
      </cdr:spPr>
      <cdr:txBody xmlns:a="http://schemas.openxmlformats.org/drawingml/2006/main">
        <a:bodyPr vert="horz" wrap="square" lIns="45720" tIns="45720" rIns="45720" bIns="45720" rtlCol="0" anchor="t" anchorCtr="0">
          <a:norm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ltLang="zh-CN"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Ⅱ</a:t>
          </a:r>
          <a:r>
            <a:rPr lang="zh-CN" altLang="en-US"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类标准（</a:t>
          </a:r>
          <a:r>
            <a:rPr lang="en-US" altLang="zh-CN"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TP</a:t>
          </a:r>
          <a:r>
            <a:rPr lang="zh-CN" altLang="en-US"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rPr>
            <a:t>）</a:t>
          </a:r>
          <a:endParaRPr lang="zh-CN" altLang="en-US" sz="1000" b="0">
            <a:ln>
              <a:solidFill>
                <a:srgbClr val="CC0000"/>
              </a:solidFill>
            </a:ln>
            <a:solidFill>
              <a:srgbClr val="FF0000"/>
            </a:solidFill>
            <a:effectLst>
              <a:glow rad="63500">
                <a:schemeClr val="accent2">
                  <a:satMod val="175000"/>
                  <a:alpha val="40000"/>
                </a:schemeClr>
              </a:glow>
            </a:effectLst>
            <a:latin typeface="Times New Roman" panose="02020603050405020304" charset="0"/>
            <a:cs typeface="Times New Roman" panose="02020603050405020304"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EC9284-E392-4074-9967-3433D78A6D5C}">
  <ds:schemaRefs/>
</ds:datastoreItem>
</file>

<file path=docProps/app.xml><?xml version="1.0" encoding="utf-8"?>
<Properties xmlns="http://schemas.openxmlformats.org/officeDocument/2006/extended-properties" xmlns:vt="http://schemas.openxmlformats.org/officeDocument/2006/docPropsVTypes">
  <Template>Normal.dotm</Template>
  <Pages>148</Pages>
  <Words>13635</Words>
  <Characters>77726</Characters>
  <Lines>647</Lines>
  <Paragraphs>182</Paragraphs>
  <TotalTime>18</TotalTime>
  <ScaleCrop>false</ScaleCrop>
  <LinksUpToDate>false</LinksUpToDate>
  <CharactersWithSpaces>91179</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2021-01-28T04:58:00Z</dcterms:created>
  <dc:creator>g</dc:creator>
  <cp:lastModifiedBy>邱梦婷</cp:lastModifiedBy>
  <cp:lastPrinted>2020-01-22T09:36:00Z</cp:lastPrinted>
  <dcterms:modified xsi:type="dcterms:W3CDTF">2026-05-29T08:15:02Z</dcterms:modified>
  <cp:revision>727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8D336D3F2EB14E57B344BAD2585E6777</vt:lpwstr>
  </property>
</Properties>
</file>