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75B3EB">
      <w:pPr>
        <w:keepNext/>
        <w:keepLines/>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jc w:val="left"/>
        <w:textAlignment w:val="auto"/>
        <w:outlineLvl w:val="0"/>
        <w:rPr>
          <w:rFonts w:hint="eastAsia" w:ascii="方正小标宋_GBK" w:hAnsi="方正小标宋简体" w:eastAsia="方正小标宋_GBK" w:cs="方正小标宋简体"/>
          <w:sz w:val="44"/>
          <w:szCs w:val="44"/>
          <w:highlight w:val="none"/>
        </w:rPr>
      </w:pPr>
      <w:bookmarkStart w:id="0" w:name="OLE_LINK1"/>
      <w:bookmarkStart w:id="1" w:name="OLE_LINK5"/>
      <w:r>
        <w:rPr>
          <w:rFonts w:hint="eastAsia" w:ascii="仿宋_GB2312" w:hAnsi="仿宋_GB2312" w:eastAsia="仿宋_GB2312" w:cs="仿宋_GB2312"/>
          <w:b w:val="0"/>
          <w:bCs/>
          <w:color w:val="auto"/>
          <w:kern w:val="44"/>
          <w:sz w:val="32"/>
          <w:szCs w:val="32"/>
          <w:lang w:val="en-US" w:eastAsia="zh-CN" w:bidi="ar-SA"/>
        </w:rPr>
        <w:t>附件1：</w:t>
      </w:r>
    </w:p>
    <w:p w14:paraId="6FB6A089">
      <w:pPr>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简体" w:eastAsia="方正小标宋_GBK" w:cs="方正小标宋简体"/>
          <w:sz w:val="44"/>
          <w:szCs w:val="44"/>
          <w:highlight w:val="none"/>
        </w:rPr>
      </w:pPr>
    </w:p>
    <w:p w14:paraId="6FC06845">
      <w:pPr>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简体" w:eastAsia="方正小标宋_GBK" w:cs="方正小标宋简体"/>
          <w:sz w:val="44"/>
          <w:szCs w:val="44"/>
          <w:highlight w:val="none"/>
          <w:lang w:val="en-US" w:eastAsia="zh-CN"/>
        </w:rPr>
      </w:pPr>
      <w:r>
        <w:rPr>
          <w:rFonts w:hint="eastAsia" w:ascii="方正小标宋_GBK" w:hAnsi="方正小标宋简体" w:eastAsia="方正小标宋_GBK" w:cs="方正小标宋简体"/>
          <w:sz w:val="44"/>
          <w:szCs w:val="44"/>
          <w:highlight w:val="none"/>
        </w:rPr>
        <w:t>连平县</w:t>
      </w:r>
      <w:r>
        <w:rPr>
          <w:rFonts w:hint="eastAsia" w:ascii="方正小标宋_GBK" w:hAnsi="方正小标宋简体" w:eastAsia="方正小标宋_GBK" w:cs="方正小标宋简体"/>
          <w:sz w:val="44"/>
          <w:szCs w:val="44"/>
          <w:highlight w:val="none"/>
          <w:lang w:val="en-US" w:eastAsia="zh-CN"/>
        </w:rPr>
        <w:t>公交行业财政综合补贴</w:t>
      </w:r>
      <w:bookmarkEnd w:id="0"/>
    </w:p>
    <w:p w14:paraId="5DB84BFC">
      <w:pPr>
        <w:pageBreakBefore w:val="0"/>
        <w:widowControl w:val="0"/>
        <w:kinsoku/>
        <w:wordWrap/>
        <w:overflowPunct/>
        <w:topLinePunct w:val="0"/>
        <w:autoSpaceDE/>
        <w:autoSpaceDN/>
        <w:bidi w:val="0"/>
        <w:adjustRightInd/>
        <w:snapToGrid/>
        <w:spacing w:line="540" w:lineRule="exact"/>
        <w:jc w:val="center"/>
        <w:textAlignment w:val="auto"/>
        <w:rPr>
          <w:rFonts w:hint="default" w:ascii="方正小标宋_GBK" w:hAnsi="方正小标宋简体" w:eastAsia="方正小标宋_GBK" w:cs="方正小标宋简体"/>
          <w:bCs/>
          <w:sz w:val="44"/>
          <w:szCs w:val="44"/>
          <w:highlight w:val="none"/>
          <w:lang w:val="en-US" w:eastAsia="zh-CN"/>
        </w:rPr>
      </w:pPr>
      <w:r>
        <w:rPr>
          <w:rFonts w:hint="eastAsia" w:ascii="方正小标宋_GBK" w:hAnsi="方正小标宋简体" w:eastAsia="方正小标宋_GBK" w:cs="方正小标宋简体"/>
          <w:sz w:val="44"/>
          <w:szCs w:val="44"/>
          <w:highlight w:val="none"/>
        </w:rPr>
        <w:t>暂行办法</w:t>
      </w:r>
      <w:r>
        <w:rPr>
          <w:rFonts w:hint="eastAsia" w:ascii="方正小标宋_GBK" w:hAnsi="方正小标宋简体" w:eastAsia="方正小标宋_GBK" w:cs="方正小标宋简体"/>
          <w:sz w:val="44"/>
          <w:szCs w:val="44"/>
          <w:highlight w:val="none"/>
          <w:lang w:eastAsia="zh-CN"/>
        </w:rPr>
        <w:t>（</w:t>
      </w:r>
      <w:r>
        <w:rPr>
          <w:rFonts w:hint="eastAsia" w:ascii="方正小标宋_GBK" w:hAnsi="方正小标宋简体" w:eastAsia="方正小标宋_GBK" w:cs="方正小标宋简体"/>
          <w:bCs/>
          <w:sz w:val="44"/>
          <w:szCs w:val="44"/>
          <w:highlight w:val="none"/>
          <w:lang w:val="en-US" w:eastAsia="zh-CN"/>
        </w:rPr>
        <w:t>征求意见稿</w:t>
      </w:r>
      <w:r>
        <w:rPr>
          <w:rFonts w:hint="eastAsia" w:ascii="方正小标宋_GBK" w:hAnsi="方正小标宋简体" w:eastAsia="方正小标宋_GBK" w:cs="方正小标宋简体"/>
          <w:sz w:val="44"/>
          <w:szCs w:val="44"/>
          <w:highlight w:val="none"/>
          <w:lang w:eastAsia="zh-CN"/>
        </w:rPr>
        <w:t>）</w:t>
      </w:r>
    </w:p>
    <w:p w14:paraId="3A0296C5">
      <w:pPr>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简体" w:eastAsia="方正小标宋_GBK" w:cs="方正小标宋简体"/>
          <w:bCs/>
          <w:sz w:val="44"/>
          <w:szCs w:val="44"/>
          <w:highlight w:val="none"/>
          <w:lang w:eastAsia="zh-CN"/>
        </w:rPr>
      </w:pPr>
    </w:p>
    <w:p w14:paraId="30B3B43D">
      <w:pPr>
        <w:keepNext w:val="0"/>
        <w:keepLines w:val="0"/>
        <w:pageBreakBefore w:val="0"/>
        <w:widowControl w:val="0"/>
        <w:kinsoku/>
        <w:wordWrap/>
        <w:overflowPunct/>
        <w:topLinePunct w:val="0"/>
        <w:autoSpaceDE/>
        <w:autoSpaceDN/>
        <w:bidi w:val="0"/>
        <w:adjustRightInd/>
        <w:snapToGrid/>
        <w:spacing w:after="313" w:afterLines="100" w:line="540" w:lineRule="exact"/>
        <w:jc w:val="center"/>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第一章  总则</w:t>
      </w:r>
    </w:p>
    <w:p w14:paraId="6C96FBE7">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szCs w:val="32"/>
          <w:highlight w:val="none"/>
          <w14:textFill>
            <w14:solidFill>
              <w14:schemeClr w14:val="tx1"/>
            </w14:solidFill>
          </w14:textFill>
        </w:rPr>
        <w:t>第一条</w:t>
      </w:r>
      <w:r>
        <w:rPr>
          <w:rFonts w:hint="eastAsia" w:ascii="方正仿宋_GBK" w:hAnsi="方正仿宋_GBK" w:eastAsia="方正仿宋_GBK" w:cs="方正仿宋_GBK"/>
          <w:b/>
          <w:bCs/>
          <w:color w:val="000000" w:themeColor="text1"/>
          <w:sz w:val="32"/>
          <w:szCs w:val="32"/>
          <w:highlight w:val="none"/>
          <w:lang w:val="en-US" w:eastAsia="zh-CN"/>
          <w14:textFill>
            <w14:solidFill>
              <w14:schemeClr w14:val="tx1"/>
            </w14:solidFill>
          </w14:textFill>
        </w:rPr>
        <w:t xml:space="preserve">  </w:t>
      </w:r>
      <w:bookmarkStart w:id="2" w:name="OLE_LINK4"/>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为保障我</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县</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城乡公共交通平稳运行，促进公共客运行业健康持续发展，加强节能减排与环境保护</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规范和加强公共交通财政补贴资金管理，</w:t>
      </w:r>
      <w:bookmarkEnd w:id="2"/>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根据</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《城市公共交通条例》（国令第793号）、</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《关于推进城市公共交通健康可持续发展的若干意见》（交运发〔2023〕144号）</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、《广东省人民政府关于城市优先发展公共交通的实施意见》（粤府〔2013〕120号）、</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《国务院办公厅关于印发新能源汽车产业发展规划（2021—2035年）的通知》（国办发</w:t>
      </w:r>
      <w:bookmarkStart w:id="3" w:name="OLE_LINK3"/>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〔2020〕39号</w:t>
      </w:r>
      <w:bookmarkEnd w:id="3"/>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）、《广东省交通运输厅关于印发城市公共交通基本出行服务保障规范的通知》（粤交〔2025〕9号）等文件精神，结合我县实际，制定本办法。</w:t>
      </w:r>
    </w:p>
    <w:p w14:paraId="2DEA755C">
      <w:pPr>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 xml:space="preserve">    </w:t>
      </w:r>
      <w:r>
        <w:rPr>
          <w:rFonts w:hint="eastAsia" w:ascii="方正仿宋_GBK" w:hAnsi="方正仿宋_GBK" w:eastAsia="方正仿宋_GBK" w:cs="方正仿宋_GBK"/>
          <w:b/>
          <w:bCs/>
          <w:color w:val="000000" w:themeColor="text1"/>
          <w:sz w:val="32"/>
          <w:szCs w:val="32"/>
          <w:highlight w:val="none"/>
          <w14:textFill>
            <w14:solidFill>
              <w14:schemeClr w14:val="tx1"/>
            </w14:solidFill>
          </w14:textFill>
        </w:rPr>
        <w:t>第二条</w:t>
      </w:r>
      <w:r>
        <w:rPr>
          <w:rFonts w:hint="eastAsia" w:ascii="方正仿宋_GBK" w:hAnsi="方正仿宋_GBK" w:eastAsia="方正仿宋_GBK" w:cs="方正仿宋_GBK"/>
          <w:b/>
          <w:bCs/>
          <w:color w:val="000000" w:themeColor="text1"/>
          <w:sz w:val="32"/>
          <w:szCs w:val="32"/>
          <w:highlight w:val="non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本办法适用于</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县</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政府对投入</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县城及</w:t>
      </w:r>
      <w:bookmarkStart w:id="4" w:name="OLE_LINK2"/>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工业园区和周边镇村</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运营的新能源公</w:t>
      </w:r>
      <w:r>
        <w:rPr>
          <w:rFonts w:hint="eastAsia" w:ascii="方正仿宋_GBK" w:hAnsi="方正仿宋_GBK" w:eastAsia="方正仿宋_GBK" w:cs="方正仿宋_GBK"/>
          <w:color w:val="000000" w:themeColor="text1"/>
          <w:sz w:val="32"/>
          <w:szCs w:val="32"/>
          <w14:textFill>
            <w14:solidFill>
              <w14:schemeClr w14:val="tx1"/>
            </w14:solidFill>
          </w14:textFill>
        </w:rPr>
        <w:t>交车</w:t>
      </w:r>
      <w:bookmarkEnd w:id="4"/>
      <w:r>
        <w:rPr>
          <w:rFonts w:hint="eastAsia" w:ascii="方正仿宋_GBK" w:hAnsi="方正仿宋_GBK" w:eastAsia="方正仿宋_GBK" w:cs="方正仿宋_GBK"/>
          <w:color w:val="000000" w:themeColor="text1"/>
          <w:sz w:val="32"/>
          <w:szCs w:val="32"/>
          <w14:textFill>
            <w14:solidFill>
              <w14:schemeClr w14:val="tx1"/>
            </w14:solidFill>
          </w14:textFill>
        </w:rPr>
        <w:t>进行综合补贴</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含新能源公交车亏损补贴、冷僻线路运营补贴</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以及公交企业实行对老</w:t>
      </w:r>
      <w:bookmarkStart w:id="5" w:name="_GoBack"/>
      <w:bookmarkEnd w:id="5"/>
      <w:r>
        <w:rPr>
          <w:rFonts w:hint="eastAsia" w:ascii="方正仿宋_GBK" w:hAnsi="方正仿宋_GBK" w:eastAsia="方正仿宋_GBK" w:cs="方正仿宋_GBK"/>
          <w:color w:val="000000" w:themeColor="text1"/>
          <w:sz w:val="32"/>
          <w:szCs w:val="32"/>
          <w14:textFill>
            <w14:solidFill>
              <w14:schemeClr w14:val="tx1"/>
            </w14:solidFill>
          </w14:textFill>
        </w:rPr>
        <w:t>年人、中小学生、现役军人和残疾人群体的优惠等补贴</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p>
    <w:p w14:paraId="5A313D29">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本办法所称新能源公交车是指</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依法注</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册</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且经</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县</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交通运输部门</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核准</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公共交通相关许可的公交特许经营企业</w:t>
      </w:r>
      <w:r>
        <w:rPr>
          <w:rFonts w:hint="eastAsia" w:ascii="方正仿宋_GBK" w:hAnsi="方正仿宋_GBK" w:eastAsia="方正仿宋_GBK" w:cs="方正仿宋_GBK"/>
          <w:color w:val="000000" w:themeColor="text1"/>
          <w:sz w:val="32"/>
          <w:szCs w:val="32"/>
          <w14:textFill>
            <w14:solidFill>
              <w14:schemeClr w14:val="tx1"/>
            </w14:solidFill>
          </w14:textFill>
        </w:rPr>
        <w:t>所拥有的正常运营的新能源纯电动公交车。</w:t>
      </w:r>
    </w:p>
    <w:p w14:paraId="383BC4D1">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第三条</w:t>
      </w: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企业申领新能源公交车综合补贴，其所申报</w:t>
      </w:r>
      <w:r>
        <w:rPr>
          <w:rFonts w:hint="eastAsia" w:ascii="方正仿宋_GBK" w:hAnsi="方正仿宋_GBK" w:eastAsia="方正仿宋_GBK" w:cs="方正仿宋_GBK"/>
          <w:color w:val="000000" w:themeColor="text1"/>
          <w:sz w:val="32"/>
          <w:szCs w:val="32"/>
          <w14:textFill>
            <w14:solidFill>
              <w14:schemeClr w14:val="tx1"/>
            </w14:solidFill>
          </w14:textFill>
        </w:rPr>
        <w:t>车辆</w:t>
      </w:r>
      <w:r>
        <w:rPr>
          <w:rFonts w:hint="eastAsia" w:ascii="方正仿宋_GBK" w:hAnsi="方正仿宋_GBK" w:eastAsia="方正仿宋_GBK" w:cs="方正仿宋_GBK"/>
          <w:b w:val="0"/>
          <w:bCs w:val="0"/>
          <w:color w:val="000000" w:themeColor="text1"/>
          <w:sz w:val="32"/>
          <w:szCs w:val="32"/>
          <w14:textFill>
            <w14:solidFill>
              <w14:schemeClr w14:val="tx1"/>
            </w14:solidFill>
          </w14:textFill>
        </w:rPr>
        <w:t>单车年运营</w:t>
      </w:r>
      <w:r>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t>总</w:t>
      </w:r>
      <w:r>
        <w:rPr>
          <w:rFonts w:hint="eastAsia" w:ascii="方正仿宋_GBK" w:hAnsi="方正仿宋_GBK" w:eastAsia="方正仿宋_GBK" w:cs="方正仿宋_GBK"/>
          <w:b w:val="0"/>
          <w:bCs w:val="0"/>
          <w:color w:val="000000" w:themeColor="text1"/>
          <w:sz w:val="32"/>
          <w:szCs w:val="32"/>
          <w14:textFill>
            <w14:solidFill>
              <w14:schemeClr w14:val="tx1"/>
            </w14:solidFill>
          </w14:textFill>
        </w:rPr>
        <w:t>里程不</w:t>
      </w:r>
      <w:r>
        <w:rPr>
          <w:rFonts w:hint="eastAsia" w:ascii="方正仿宋_GBK" w:hAnsi="方正仿宋_GBK" w:eastAsia="方正仿宋_GBK" w:cs="方正仿宋_GBK"/>
          <w:b w:val="0"/>
          <w:bCs w:val="0"/>
          <w:color w:val="000000" w:themeColor="text1"/>
          <w:sz w:val="32"/>
          <w:szCs w:val="32"/>
          <w:lang w:eastAsia="zh-CN"/>
          <w14:textFill>
            <w14:solidFill>
              <w14:schemeClr w14:val="tx1"/>
            </w14:solidFill>
          </w14:textFill>
        </w:rPr>
        <w:t>得少</w:t>
      </w:r>
      <w:r>
        <w:rPr>
          <w:rFonts w:hint="eastAsia" w:ascii="方正仿宋_GBK" w:hAnsi="方正仿宋_GBK" w:eastAsia="方正仿宋_GBK" w:cs="方正仿宋_GBK"/>
          <w:b w:val="0"/>
          <w:bCs w:val="0"/>
          <w:color w:val="000000" w:themeColor="text1"/>
          <w:sz w:val="32"/>
          <w:szCs w:val="32"/>
          <w14:textFill>
            <w14:solidFill>
              <w14:schemeClr w14:val="tx1"/>
            </w14:solidFill>
          </w14:textFill>
        </w:rPr>
        <w:t>于</w:t>
      </w:r>
      <w:r>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t>2.5</w:t>
      </w:r>
      <w:r>
        <w:rPr>
          <w:rFonts w:hint="eastAsia" w:ascii="方正仿宋_GBK" w:hAnsi="方正仿宋_GBK" w:eastAsia="方正仿宋_GBK" w:cs="方正仿宋_GBK"/>
          <w:b w:val="0"/>
          <w:bCs w:val="0"/>
          <w:color w:val="000000" w:themeColor="text1"/>
          <w:sz w:val="32"/>
          <w:szCs w:val="32"/>
          <w14:textFill>
            <w14:solidFill>
              <w14:schemeClr w14:val="tx1"/>
            </w14:solidFill>
          </w14:textFill>
        </w:rPr>
        <w:t>万公里（含</w:t>
      </w:r>
      <w:r>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t>2.5</w:t>
      </w:r>
      <w:r>
        <w:rPr>
          <w:rFonts w:hint="eastAsia" w:ascii="方正仿宋_GBK" w:hAnsi="方正仿宋_GBK" w:eastAsia="方正仿宋_GBK" w:cs="方正仿宋_GBK"/>
          <w:b w:val="0"/>
          <w:bCs w:val="0"/>
          <w:color w:val="000000" w:themeColor="text1"/>
          <w:sz w:val="32"/>
          <w:szCs w:val="32"/>
          <w14:textFill>
            <w14:solidFill>
              <w14:schemeClr w14:val="tx1"/>
            </w14:solidFill>
          </w14:textFill>
        </w:rPr>
        <w:t>万公里）</w:t>
      </w:r>
      <w:r>
        <w:rPr>
          <w:rFonts w:hint="eastAsia" w:ascii="方正仿宋_GBK" w:hAnsi="方正仿宋_GBK" w:eastAsia="方正仿宋_GBK" w:cs="方正仿宋_GBK"/>
          <w:b w:val="0"/>
          <w:bCs w:val="0"/>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对符合条件的，按</w:t>
      </w:r>
      <w:r>
        <w:rPr>
          <w:rFonts w:hint="eastAsia" w:ascii="方正仿宋_GBK" w:hAnsi="方正仿宋_GBK" w:eastAsia="方正仿宋_GBK" w:cs="方正仿宋_GBK"/>
          <w:color w:val="000000" w:themeColor="text1"/>
          <w:sz w:val="32"/>
          <w:szCs w:val="32"/>
          <w14:textFill>
            <w14:solidFill>
              <w14:schemeClr w14:val="tx1"/>
            </w14:solidFill>
          </w14:textFill>
        </w:rPr>
        <w:t>规定运行轨迹</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行</w:t>
      </w:r>
      <w:r>
        <w:rPr>
          <w:rFonts w:hint="eastAsia" w:ascii="方正仿宋_GBK" w:hAnsi="方正仿宋_GBK" w:eastAsia="方正仿宋_GBK" w:cs="方正仿宋_GBK"/>
          <w:color w:val="000000" w:themeColor="text1"/>
          <w:sz w:val="32"/>
          <w:szCs w:val="32"/>
          <w14:textFill>
            <w14:solidFill>
              <w14:schemeClr w14:val="tx1"/>
            </w14:solidFill>
          </w14:textFill>
        </w:rPr>
        <w:t>驶的公里数予</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以</w:t>
      </w:r>
      <w:r>
        <w:rPr>
          <w:rFonts w:hint="eastAsia" w:ascii="方正仿宋_GBK" w:hAnsi="方正仿宋_GBK" w:eastAsia="方正仿宋_GBK" w:cs="方正仿宋_GBK"/>
          <w:color w:val="000000" w:themeColor="text1"/>
          <w:sz w:val="32"/>
          <w:szCs w:val="32"/>
          <w14:textFill>
            <w14:solidFill>
              <w14:schemeClr w14:val="tx1"/>
            </w14:solidFill>
          </w14:textFill>
        </w:rPr>
        <w:t>补贴</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，对不符合运营里程条件的车辆不再列入补贴范围内</w:t>
      </w:r>
      <w:r>
        <w:rPr>
          <w:rFonts w:hint="eastAsia" w:ascii="方正仿宋_GBK" w:hAnsi="方正仿宋_GBK" w:eastAsia="方正仿宋_GBK" w:cs="方正仿宋_GBK"/>
          <w:color w:val="000000" w:themeColor="text1"/>
          <w:sz w:val="32"/>
          <w:szCs w:val="32"/>
          <w14:textFill>
            <w14:solidFill>
              <w14:schemeClr w14:val="tx1"/>
            </w14:solidFill>
          </w14:textFill>
        </w:rPr>
        <w:t>。</w:t>
      </w:r>
    </w:p>
    <w:p w14:paraId="0DE43220">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第四条</w:t>
      </w: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14:textFill>
            <w14:solidFill>
              <w14:schemeClr w14:val="tx1"/>
            </w14:solidFill>
          </w14:textFill>
        </w:rPr>
        <w:t>新能源公交车运营综合补贴按照公开、公正、合理的原则进行。</w:t>
      </w:r>
    </w:p>
    <w:p w14:paraId="78FAD271">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第五条</w:t>
      </w: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b/>
          <w:bCs/>
          <w:color w:val="000000" w:themeColor="text1"/>
          <w:sz w:val="32"/>
          <w:szCs w:val="32"/>
          <w:highlight w:val="non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县</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交通运输主</w:t>
      </w:r>
      <w:r>
        <w:rPr>
          <w:rFonts w:hint="eastAsia" w:ascii="方正仿宋_GBK" w:hAnsi="方正仿宋_GBK" w:eastAsia="方正仿宋_GBK" w:cs="方正仿宋_GBK"/>
          <w:color w:val="000000" w:themeColor="text1"/>
          <w:sz w:val="32"/>
          <w:szCs w:val="32"/>
          <w14:textFill>
            <w14:solidFill>
              <w14:schemeClr w14:val="tx1"/>
            </w14:solidFill>
          </w14:textFill>
        </w:rPr>
        <w:t>管部</w:t>
      </w: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门负责</w:t>
      </w: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新能源</w:t>
      </w: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公交</w:t>
      </w: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运营</w:t>
      </w: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综合补贴资金的预算编制；组</w:t>
      </w:r>
      <w:r>
        <w:rPr>
          <w:rFonts w:hint="eastAsia" w:ascii="方正仿宋_GBK" w:hAnsi="方正仿宋_GBK" w:eastAsia="方正仿宋_GBK" w:cs="方正仿宋_GBK"/>
          <w:b w:val="0"/>
          <w:bCs w:val="0"/>
          <w:color w:val="000000" w:themeColor="text1"/>
          <w:sz w:val="32"/>
          <w:szCs w:val="32"/>
          <w14:textFill>
            <w14:solidFill>
              <w14:schemeClr w14:val="tx1"/>
            </w14:solidFill>
          </w14:textFill>
        </w:rPr>
        <w:t>织企业申</w:t>
      </w:r>
      <w:r>
        <w:rPr>
          <w:rFonts w:hint="eastAsia" w:ascii="方正仿宋_GBK" w:hAnsi="方正仿宋_GBK" w:eastAsia="方正仿宋_GBK" w:cs="方正仿宋_GBK"/>
          <w:color w:val="000000" w:themeColor="text1"/>
          <w:sz w:val="32"/>
          <w:szCs w:val="32"/>
          <w14:textFill>
            <w14:solidFill>
              <w14:schemeClr w14:val="tx1"/>
            </w14:solidFill>
          </w14:textFill>
        </w:rPr>
        <w:t>请补贴资金并进行审核、资金请拨等工作；负责对公交企业进行运营和服务质量考核。</w:t>
      </w:r>
    </w:p>
    <w:p w14:paraId="4FDBF718">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县</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财政主</w:t>
      </w:r>
      <w:r>
        <w:rPr>
          <w:rFonts w:hint="eastAsia" w:ascii="方正仿宋_GBK" w:hAnsi="方正仿宋_GBK" w:eastAsia="方正仿宋_GBK" w:cs="方正仿宋_GBK"/>
          <w:color w:val="000000" w:themeColor="text1"/>
          <w:sz w:val="32"/>
          <w:szCs w:val="32"/>
          <w14:textFill>
            <w14:solidFill>
              <w14:schemeClr w14:val="tx1"/>
            </w14:solidFill>
          </w14:textFill>
        </w:rPr>
        <w:t>管部门负</w:t>
      </w: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责将</w:t>
      </w: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新能源</w:t>
      </w: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公交</w:t>
      </w: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运营</w:t>
      </w: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综合补贴资金纳入年度财政预算，及时做好资金的安排和拨付工作。</w:t>
      </w:r>
    </w:p>
    <w:p w14:paraId="32BE416B">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sz w:val="32"/>
          <w:szCs w:val="32"/>
          <w:lang w:val="en-US" w:eastAsia="zh-CN"/>
        </w:rPr>
        <w:t>县</w:t>
      </w:r>
      <w:r>
        <w:rPr>
          <w:rFonts w:hint="eastAsia" w:ascii="方正仿宋_GBK" w:hAnsi="方正仿宋_GBK" w:eastAsia="方正仿宋_GBK" w:cs="方正仿宋_GBK"/>
          <w:sz w:val="32"/>
          <w:szCs w:val="32"/>
        </w:rPr>
        <w:t>发展和改革主管部门负责公交行业</w:t>
      </w:r>
      <w:r>
        <w:rPr>
          <w:rFonts w:hint="eastAsia" w:ascii="方正仿宋_GBK" w:hAnsi="方正仿宋_GBK" w:eastAsia="方正仿宋_GBK" w:cs="方正仿宋_GBK"/>
          <w:sz w:val="32"/>
          <w:szCs w:val="32"/>
          <w:lang w:val="en-US" w:eastAsia="zh-CN"/>
        </w:rPr>
        <w:t>发改部门</w:t>
      </w:r>
      <w:r>
        <w:rPr>
          <w:rFonts w:hint="eastAsia" w:ascii="方正仿宋_GBK" w:hAnsi="方正仿宋_GBK" w:eastAsia="方正仿宋_GBK" w:cs="方正仿宋_GBK"/>
          <w:sz w:val="32"/>
          <w:szCs w:val="32"/>
        </w:rPr>
        <w:t>有关政策性补贴的审核、分配工作。</w:t>
      </w:r>
    </w:p>
    <w:p w14:paraId="376A42B8">
      <w:pPr>
        <w:keepNext w:val="0"/>
        <w:keepLines w:val="0"/>
        <w:pageBreakBefore w:val="0"/>
        <w:widowControl w:val="0"/>
        <w:kinsoku/>
        <w:wordWrap/>
        <w:overflowPunct/>
        <w:topLinePunct w:val="0"/>
        <w:autoSpaceDE/>
        <w:autoSpaceDN/>
        <w:bidi w:val="0"/>
        <w:adjustRightInd/>
        <w:snapToGrid/>
        <w:spacing w:before="313" w:beforeLines="100" w:after="313" w:afterLines="100" w:line="540" w:lineRule="exact"/>
        <w:jc w:val="center"/>
        <w:textAlignment w:val="auto"/>
        <w:rPr>
          <w:rFonts w:hint="eastAsia" w:ascii="方正黑体_GBK" w:hAnsi="方正黑体_GBK" w:eastAsia="方正黑体_GBK" w:cs="方正黑体_GBK"/>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 xml:space="preserve">第二章 </w:t>
      </w: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 xml:space="preserve"> </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综合补贴标准及拨付程序</w:t>
      </w:r>
    </w:p>
    <w:p w14:paraId="6BE8831B">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方正仿宋_GBK" w:hAnsi="方正仿宋_GBK" w:eastAsia="方正仿宋_GBK" w:cs="方正仿宋_GBK"/>
          <w:b w:val="0"/>
          <w:bCs w:val="0"/>
          <w:color w:val="000000" w:themeColor="text1"/>
          <w:sz w:val="32"/>
          <w:szCs w:val="32"/>
          <w:highlight w:val="none"/>
          <w:u w:val="none"/>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第六条</w:t>
      </w: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 xml:space="preserve"> 县城及工业园区和周边镇村公交</w:t>
      </w: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财政</w:t>
      </w:r>
      <w:r>
        <w:rPr>
          <w:rFonts w:hint="eastAsia" w:ascii="方正仿宋_GBK" w:hAnsi="方正仿宋_GBK" w:eastAsia="方正仿宋_GBK" w:cs="方正仿宋_GBK"/>
          <w:b w:val="0"/>
          <w:bCs w:val="0"/>
          <w:color w:val="000000" w:themeColor="text1"/>
          <w:sz w:val="32"/>
          <w:szCs w:val="32"/>
          <w:highlight w:val="none"/>
          <w:lang w:eastAsia="zh-CN"/>
          <w14:textFill>
            <w14:solidFill>
              <w14:schemeClr w14:val="tx1"/>
            </w14:solidFill>
          </w14:textFill>
        </w:rPr>
        <w:t>综合</w:t>
      </w: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补贴资金</w:t>
      </w: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，总规模</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不超过280万元/年,且超出年度财政补贴资金总规模后，超出部分不再给予补贴</w:t>
      </w:r>
      <w:r>
        <w:rPr>
          <w:rFonts w:hint="eastAsia" w:ascii="方正仿宋_GBK" w:hAnsi="方正仿宋_GBK" w:eastAsia="方正仿宋_GBK" w:cs="方正仿宋_GBK"/>
          <w:color w:val="000000" w:themeColor="text1"/>
          <w:sz w:val="32"/>
          <w:szCs w:val="32"/>
          <w14:textFill>
            <w14:solidFill>
              <w14:schemeClr w14:val="tx1"/>
            </w14:solidFill>
          </w14:textFill>
        </w:rPr>
        <w:t>。</w:t>
      </w:r>
    </w:p>
    <w:p w14:paraId="1C1DB119">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第七条</w:t>
      </w: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14:textFill>
            <w14:solidFill>
              <w14:schemeClr w14:val="tx1"/>
            </w14:solidFill>
          </w14:textFill>
        </w:rPr>
        <w:t>新能源公交车综合补贴标准</w:t>
      </w:r>
    </w:p>
    <w:p w14:paraId="0B999BC5">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补贴数额=补贴标准×按规定的运行轨迹实际行驶的公里数。</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参考其他</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县区</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公交车运营补贴标准，结合我</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县</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以前年度财政</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补贴</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实际情况</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及山区县城冷僻线路多</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，综合补贴</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标准确定为</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1.75</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元/公里。</w:t>
      </w:r>
    </w:p>
    <w:p w14:paraId="633B3687">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按规定的运行轨迹实际行驶的公里数是指</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县</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公交公司在</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县</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政府规定的线路上所有正常运营的新能源公交车行驶的公里数总和。</w:t>
      </w:r>
    </w:p>
    <w:p w14:paraId="0C53A73A">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第八条</w:t>
      </w: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14:textFill>
            <w14:solidFill>
              <w14:schemeClr w14:val="tx1"/>
            </w14:solidFill>
          </w14:textFill>
        </w:rPr>
        <w:t>新能源公交车综合补贴资金拨付程序如下：</w:t>
      </w:r>
    </w:p>
    <w:p w14:paraId="476A68D4">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县财政部门于年初</w:t>
      </w:r>
      <w:r>
        <w:rPr>
          <w:rFonts w:hint="eastAsia" w:ascii="方正仿宋_GBK" w:hAnsi="方正仿宋_GBK" w:eastAsia="方正仿宋_GBK" w:cs="方正仿宋_GBK"/>
          <w:color w:val="000000" w:themeColor="text1"/>
          <w:sz w:val="32"/>
          <w:szCs w:val="32"/>
          <w14:textFill>
            <w14:solidFill>
              <w14:schemeClr w14:val="tx1"/>
            </w14:solidFill>
          </w14:textFill>
        </w:rPr>
        <w:t>将年度新能源公交车综合补贴列入本级财政预算。</w:t>
      </w:r>
    </w:p>
    <w:p w14:paraId="10841B52">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公交特许经营企业</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根据运行情况</w:t>
      </w: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向县交通</w:t>
      </w: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运输</w:t>
      </w: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部门提出</w:t>
      </w: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资金</w:t>
      </w: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拨</w:t>
      </w: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付</w:t>
      </w: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申请，县</w:t>
      </w:r>
      <w:r>
        <w:rPr>
          <w:rFonts w:hint="eastAsia" w:ascii="方正仿宋_GBK" w:hAnsi="方正仿宋_GBK" w:eastAsia="方正仿宋_GBK" w:cs="方正仿宋_GBK"/>
          <w:color w:val="000000" w:themeColor="text1"/>
          <w:sz w:val="32"/>
          <w:szCs w:val="32"/>
          <w14:textFill>
            <w14:solidFill>
              <w14:schemeClr w14:val="tx1"/>
            </w14:solidFill>
          </w14:textFill>
        </w:rPr>
        <w:t>财政部门根据县交通运输部门复核情况</w:t>
      </w: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拨付新能源</w:t>
      </w: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公交</w:t>
      </w: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运营</w:t>
      </w: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综合补贴资金。</w:t>
      </w:r>
    </w:p>
    <w:p w14:paraId="275D4193">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次年第一季度，县交通运输局对公交特许经营企业上</w:t>
      </w:r>
      <w:r>
        <w:rPr>
          <w:rFonts w:hint="eastAsia" w:ascii="方正仿宋_GBK" w:hAnsi="方正仿宋_GBK" w:eastAsia="方正仿宋_GBK" w:cs="方正仿宋_GBK"/>
          <w:color w:val="000000" w:themeColor="text1"/>
          <w:sz w:val="32"/>
          <w:szCs w:val="32"/>
          <w14:textFill>
            <w14:solidFill>
              <w14:schemeClr w14:val="tx1"/>
            </w14:solidFill>
          </w14:textFill>
        </w:rPr>
        <w:t>年度新能源公交车实际运营公路里程进行复核，结合县交通运输部门对新能源公交车服务质量考核结果和新能源公交车实际运行情况以及新能源运行公里数，运行轨迹（广东省交通运输厅运行平台数据），对上一年度公交特许经营企业新能源公交车年度财政补贴进行清算。</w:t>
      </w:r>
    </w:p>
    <w:p w14:paraId="6F6C5784">
      <w:pPr>
        <w:keepNext w:val="0"/>
        <w:keepLines w:val="0"/>
        <w:pageBreakBefore w:val="0"/>
        <w:widowControl w:val="0"/>
        <w:kinsoku/>
        <w:wordWrap/>
        <w:overflowPunct/>
        <w:topLinePunct w:val="0"/>
        <w:autoSpaceDE/>
        <w:autoSpaceDN/>
        <w:bidi w:val="0"/>
        <w:adjustRightInd/>
        <w:snapToGrid/>
        <w:spacing w:before="313" w:beforeLines="100" w:after="313" w:afterLines="100" w:line="540" w:lineRule="exact"/>
        <w:jc w:val="center"/>
        <w:textAlignment w:val="auto"/>
        <w:rPr>
          <w:rFonts w:hint="eastAsia" w:ascii="方正黑体_GBK" w:hAnsi="方正黑体_GBK" w:eastAsia="方正黑体_GBK" w:cs="方正黑体_GBK"/>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第三章  监督与管理</w:t>
      </w:r>
    </w:p>
    <w:p w14:paraId="1EE60EDB">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b/>
          <w:bCs/>
          <w:color w:val="000000" w:themeColor="text1"/>
          <w:sz w:val="32"/>
          <w:szCs w:val="32"/>
          <w:highlight w:val="none"/>
          <w14:textFill>
            <w14:solidFill>
              <w14:schemeClr w14:val="tx1"/>
            </w14:solidFill>
          </w14:textFill>
        </w:rPr>
        <w:t>第九条</w:t>
      </w: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 xml:space="preserve">  县</w:t>
      </w: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交通运输部门负责对公交特许经营企业</w:t>
      </w:r>
      <w:r>
        <w:rPr>
          <w:rFonts w:hint="eastAsia" w:ascii="方正仿宋_GBK" w:hAnsi="方正仿宋_GBK" w:eastAsia="方正仿宋_GBK" w:cs="方正仿宋_GBK"/>
          <w:b w:val="0"/>
          <w:bCs w:val="0"/>
          <w:color w:val="000000" w:themeColor="text1"/>
          <w:sz w:val="32"/>
          <w:szCs w:val="32"/>
          <w:highlight w:val="none"/>
          <w:lang w:eastAsia="zh-CN"/>
          <w14:textFill>
            <w14:solidFill>
              <w14:schemeClr w14:val="tx1"/>
            </w14:solidFill>
          </w14:textFill>
        </w:rPr>
        <w:t>的</w:t>
      </w: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客运服务质量进行考核，考核结果与年度新能源公交车运营综合补贴直接挂钩。服务质量考核主要包括运营管理、安全管理、社会评价、附加分等。</w:t>
      </w:r>
    </w:p>
    <w:p w14:paraId="19E1C12F">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服务质量考核每年可根据城市发展需要对考核指标体系进行适当调整</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并在本补贴暂行办法适用的补贴期内</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监督公交特许经营企业确保公交线路的正常运营。</w:t>
      </w:r>
    </w:p>
    <w:p w14:paraId="652BEDC9">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第十条</w:t>
      </w: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14:textFill>
            <w14:solidFill>
              <w14:schemeClr w14:val="tx1"/>
            </w14:solidFill>
          </w14:textFill>
        </w:rPr>
        <w:t>公交特许经营企业应当自觉接受相关部门的监督，将新能源公交车运营业务单独建账，独立核算；从</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运营里程、发</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车班次、行车安全、设备配置、充电量、客运量</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等方面制定新能源公交车使用激励机制，提高新能源公交车的使用效率和效益。</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县工业园区管委会及工厂协助对工业园区和周边镇村</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运营的新能源公交车</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进行服务质量考核评价。</w:t>
      </w:r>
    </w:p>
    <w:p w14:paraId="05121E86">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方正仿宋_GBK" w:hAnsi="方正仿宋_GBK" w:eastAsia="方正仿宋_GBK" w:cs="方正仿宋_GBK"/>
          <w:b/>
          <w:bCs/>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b/>
          <w:bCs/>
          <w:color w:val="000000" w:themeColor="text1"/>
          <w:sz w:val="32"/>
          <w:szCs w:val="32"/>
          <w:highlight w:val="none"/>
          <w14:textFill>
            <w14:solidFill>
              <w14:schemeClr w14:val="tx1"/>
            </w14:solidFill>
          </w14:textFill>
        </w:rPr>
        <w:t>第十一条</w:t>
      </w:r>
      <w:r>
        <w:rPr>
          <w:rFonts w:hint="eastAsia" w:ascii="方正仿宋_GBK" w:hAnsi="方正仿宋_GBK" w:eastAsia="方正仿宋_GBK" w:cs="方正仿宋_GBK"/>
          <w:b/>
          <w:bCs/>
          <w:color w:val="000000" w:themeColor="text1"/>
          <w:sz w:val="32"/>
          <w:szCs w:val="32"/>
          <w:highlight w:val="none"/>
          <w:lang w:val="en-US" w:eastAsia="zh-CN"/>
          <w14:textFill>
            <w14:solidFill>
              <w14:schemeClr w14:val="tx1"/>
            </w14:solidFill>
          </w14:textFill>
        </w:rPr>
        <w:t xml:space="preserve"> </w:t>
      </w: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 xml:space="preserve"> 县</w:t>
      </w: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财政部门对</w:t>
      </w: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新能源</w:t>
      </w: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公交</w:t>
      </w: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运营</w:t>
      </w: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综合补贴资金使用进行指导和监督。</w:t>
      </w:r>
    </w:p>
    <w:p w14:paraId="03BC60F0">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highlight w:val="none"/>
          <w14:textFill>
            <w14:solidFill>
              <w14:schemeClr w14:val="tx1"/>
            </w14:solidFill>
          </w14:textFill>
        </w:rPr>
        <w:t>第十二条</w:t>
      </w:r>
      <w:r>
        <w:rPr>
          <w:rFonts w:hint="eastAsia" w:ascii="方正仿宋_GBK" w:hAnsi="方正仿宋_GBK" w:eastAsia="方正仿宋_GBK" w:cs="方正仿宋_GBK"/>
          <w:b/>
          <w:bCs/>
          <w:color w:val="000000" w:themeColor="text1"/>
          <w:sz w:val="32"/>
          <w:szCs w:val="32"/>
          <w:highlight w:val="non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公交特许经营企业存在违法违规行为的</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停止拨付违规项目的补贴资金。对负有直接责任的人员</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按照相关规定追究责任</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涉嫌犯罪的</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移交司法</w:t>
      </w:r>
      <w:r>
        <w:rPr>
          <w:rFonts w:hint="eastAsia" w:ascii="方正仿宋_GBK" w:hAnsi="方正仿宋_GBK" w:eastAsia="方正仿宋_GBK" w:cs="方正仿宋_GBK"/>
          <w:color w:val="000000" w:themeColor="text1"/>
          <w:sz w:val="32"/>
          <w:szCs w:val="32"/>
          <w14:textFill>
            <w14:solidFill>
              <w14:schemeClr w14:val="tx1"/>
            </w14:solidFill>
          </w14:textFill>
        </w:rPr>
        <w:t>机关依法追究其刑事责任。</w:t>
      </w:r>
    </w:p>
    <w:p w14:paraId="75AE8B67">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第十三条</w:t>
      </w: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14:textFill>
            <w14:solidFill>
              <w14:schemeClr w14:val="tx1"/>
            </w14:solidFill>
          </w14:textFill>
        </w:rPr>
        <w:t>公交特许经营企业应根</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据</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县</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人民政府</w:t>
      </w:r>
      <w:r>
        <w:rPr>
          <w:rFonts w:hint="eastAsia" w:ascii="方正仿宋_GBK" w:hAnsi="方正仿宋_GBK" w:eastAsia="方正仿宋_GBK" w:cs="方正仿宋_GBK"/>
          <w:color w:val="000000" w:themeColor="text1"/>
          <w:sz w:val="32"/>
          <w:szCs w:val="32"/>
          <w14:textFill>
            <w14:solidFill>
              <w14:schemeClr w14:val="tx1"/>
            </w14:solidFill>
          </w14:textFill>
        </w:rPr>
        <w:t>的要求优化或新开线路并随着城市的提质扩容来满足市民的出行需求。</w:t>
      </w:r>
    </w:p>
    <w:p w14:paraId="7A634B4A">
      <w:pPr>
        <w:keepNext w:val="0"/>
        <w:keepLines w:val="0"/>
        <w:pageBreakBefore w:val="0"/>
        <w:widowControl w:val="0"/>
        <w:kinsoku/>
        <w:wordWrap/>
        <w:overflowPunct/>
        <w:topLinePunct w:val="0"/>
        <w:autoSpaceDE/>
        <w:autoSpaceDN/>
        <w:bidi w:val="0"/>
        <w:adjustRightInd/>
        <w:snapToGrid/>
        <w:spacing w:before="313" w:beforeLines="100" w:after="313" w:afterLines="100" w:line="540" w:lineRule="exact"/>
        <w:jc w:val="center"/>
        <w:textAlignment w:val="auto"/>
        <w:rPr>
          <w:rFonts w:hint="eastAsia" w:ascii="方正黑体_GBK" w:hAnsi="方正黑体_GBK" w:eastAsia="方正黑体_GBK" w:cs="方正黑体_GBK"/>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第四章</w:t>
      </w: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 xml:space="preserve">  </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公交运行规划范围</w:t>
      </w:r>
    </w:p>
    <w:p w14:paraId="1CF2433B">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szCs w:val="32"/>
          <w:highlight w:val="none"/>
          <w14:textFill>
            <w14:solidFill>
              <w14:schemeClr w14:val="tx1"/>
            </w14:solidFill>
          </w14:textFill>
        </w:rPr>
        <w:t>第十四条</w:t>
      </w:r>
      <w:r>
        <w:rPr>
          <w:rFonts w:hint="eastAsia" w:ascii="方正仿宋_GBK" w:hAnsi="方正仿宋_GBK" w:eastAsia="方正仿宋_GBK" w:cs="方正仿宋_GBK"/>
          <w:b/>
          <w:bCs/>
          <w:color w:val="000000" w:themeColor="text1"/>
          <w:sz w:val="32"/>
          <w:szCs w:val="32"/>
          <w:highlight w:val="non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在连平县人民政府批复的公交路线范围内运营，包括元善镇（镇中心城区及周边村），忠信镇，油溪镇，高莞镇，三角镇，大湖镇，绣缎镇。</w:t>
      </w:r>
    </w:p>
    <w:p w14:paraId="50BF91AE">
      <w:pPr>
        <w:keepNext w:val="0"/>
        <w:keepLines w:val="0"/>
        <w:pageBreakBefore w:val="0"/>
        <w:widowControl w:val="0"/>
        <w:kinsoku/>
        <w:wordWrap/>
        <w:overflowPunct/>
        <w:topLinePunct w:val="0"/>
        <w:autoSpaceDE/>
        <w:autoSpaceDN/>
        <w:bidi w:val="0"/>
        <w:adjustRightInd/>
        <w:snapToGrid/>
        <w:spacing w:before="313" w:beforeLines="100" w:after="313" w:afterLines="100" w:line="540" w:lineRule="exact"/>
        <w:jc w:val="center"/>
        <w:textAlignment w:val="auto"/>
        <w:rPr>
          <w:rFonts w:hint="eastAsia" w:ascii="方正黑体_GBK" w:hAnsi="方正黑体_GBK" w:eastAsia="方正黑体_GBK" w:cs="方正黑体_GBK"/>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第五章</w:t>
      </w: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 xml:space="preserve">  </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附则</w:t>
      </w:r>
    </w:p>
    <w:p w14:paraId="12A5428A">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方正仿宋_GBK" w:hAnsi="方正仿宋_GBK" w:eastAsia="方正仿宋_GBK" w:cs="方正仿宋_GBK"/>
          <w:color w:val="000000" w:themeColor="text1"/>
          <w:sz w:val="32"/>
          <w:szCs w:val="32"/>
          <w:highlight w:val="yellow"/>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第十五条</w:t>
      </w: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本办法由</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县</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交通运输部门</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县</w:t>
      </w:r>
      <w:r>
        <w:rPr>
          <w:rFonts w:hint="eastAsia" w:ascii="方正仿宋_GBK" w:hAnsi="方正仿宋_GBK" w:eastAsia="方正仿宋_GBK" w:cs="方正仿宋_GBK"/>
          <w:sz w:val="32"/>
          <w:szCs w:val="32"/>
        </w:rPr>
        <w:t>财政部门</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负责解释。</w:t>
      </w:r>
    </w:p>
    <w:p w14:paraId="1C75B464">
      <w:pPr>
        <w:pageBreakBefore w:val="0"/>
        <w:widowControl w:val="0"/>
        <w:kinsoku/>
        <w:wordWrap/>
        <w:overflowPunct/>
        <w:topLinePunct w:val="0"/>
        <w:autoSpaceDE/>
        <w:autoSpaceDN/>
        <w:bidi w:val="0"/>
        <w:adjustRightInd/>
        <w:snapToGrid/>
        <w:spacing w:line="540" w:lineRule="exact"/>
        <w:ind w:firstLine="643" w:firstLineChars="200"/>
        <w:textAlignment w:val="auto"/>
        <w:rPr>
          <w:b w:val="0"/>
          <w:bCs w:val="0"/>
          <w:color w:val="000000" w:themeColor="text1"/>
          <w:highlight w:val="none"/>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第十六条</w:t>
      </w: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14:textFill>
            <w14:solidFill>
              <w14:schemeClr w14:val="tx1"/>
            </w14:solidFill>
          </w14:textFill>
        </w:rPr>
        <w:t>本办</w:t>
      </w: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法适用的补贴期为202</w:t>
      </w: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6</w:t>
      </w: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年</w:t>
      </w: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度</w:t>
      </w: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至202</w:t>
      </w: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8</w:t>
      </w: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年</w:t>
      </w: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度</w:t>
      </w:r>
      <w:r>
        <w:rPr>
          <w:rFonts w:hint="eastAsia" w:ascii="方正仿宋_GBK" w:hAnsi="方正仿宋_GBK" w:eastAsia="方正仿宋_GBK" w:cs="方正仿宋_GBK"/>
          <w:b w:val="0"/>
          <w:bCs w:val="0"/>
          <w:color w:val="000000" w:themeColor="text1"/>
          <w:sz w:val="32"/>
          <w:szCs w:val="32"/>
          <w:highlight w:val="none"/>
          <w14:textFill>
            <w14:solidFill>
              <w14:schemeClr w14:val="tx1"/>
            </w14:solidFill>
          </w14:textFill>
        </w:rPr>
        <w:t>。</w:t>
      </w:r>
      <w:bookmarkEnd w:id="1"/>
    </w:p>
    <w:p w14:paraId="3D767D14">
      <w:pPr>
        <w:pageBreakBefore w:val="0"/>
        <w:widowControl w:val="0"/>
        <w:kinsoku/>
        <w:wordWrap/>
        <w:overflowPunct/>
        <w:topLinePunct w:val="0"/>
        <w:autoSpaceDE/>
        <w:autoSpaceDN/>
        <w:bidi w:val="0"/>
        <w:adjustRightInd/>
        <w:snapToGrid/>
        <w:spacing w:line="540" w:lineRule="exact"/>
        <w:textAlignment w:val="auto"/>
        <w:rPr>
          <w:b/>
          <w:bCs/>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DE1CF94E-70F0-46FF-9F63-2BCFC3863411}"/>
  </w:font>
  <w:font w:name="方正小标宋_GBK">
    <w:panose1 w:val="02000000000000000000"/>
    <w:charset w:val="86"/>
    <w:family w:val="script"/>
    <w:pitch w:val="default"/>
    <w:sig w:usb0="A00002BF" w:usb1="38CF7CFA" w:usb2="00082016" w:usb3="00000000" w:csb0="00040001" w:csb1="00000000"/>
    <w:embedRegular r:id="rId2" w:fontKey="{22C117E6-B4A5-4FE7-AA03-3CC25537C19A}"/>
  </w:font>
  <w:font w:name="方正小标宋简体">
    <w:panose1 w:val="02010600010101010101"/>
    <w:charset w:val="86"/>
    <w:family w:val="auto"/>
    <w:pitch w:val="default"/>
    <w:sig w:usb0="00000001" w:usb1="080E0000" w:usb2="00000000" w:usb3="00000000" w:csb0="00040000" w:csb1="00000000"/>
    <w:embedRegular r:id="rId3" w:fontKey="{99C41735-7785-4679-9385-EB3520EFD24C}"/>
  </w:font>
  <w:font w:name="仿宋_GB2312">
    <w:altName w:val="仿宋"/>
    <w:panose1 w:val="02010609030101010101"/>
    <w:charset w:val="86"/>
    <w:family w:val="modern"/>
    <w:pitch w:val="default"/>
    <w:sig w:usb0="00000000" w:usb1="00000000" w:usb2="00000000" w:usb3="00000000" w:csb0="00040000" w:csb1="00000000"/>
    <w:embedRegular r:id="rId4" w:fontKey="{9B13F12C-2BF0-4292-BE20-B5D9EF03FFC2}"/>
  </w:font>
  <w:font w:name="方正黑体_GBK">
    <w:altName w:val="微软雅黑"/>
    <w:panose1 w:val="03000509000000000000"/>
    <w:charset w:val="86"/>
    <w:family w:val="auto"/>
    <w:pitch w:val="default"/>
    <w:sig w:usb0="00000000" w:usb1="00000000" w:usb2="00000000" w:usb3="00000000" w:csb0="00040000" w:csb1="00000000"/>
    <w:embedRegular r:id="rId5" w:fontKey="{007496A8-2176-4920-A101-FFC92B67225E}"/>
  </w:font>
  <w:font w:name="方正仿宋_GBK">
    <w:panose1 w:val="02000000000000000000"/>
    <w:charset w:val="86"/>
    <w:family w:val="auto"/>
    <w:pitch w:val="default"/>
    <w:sig w:usb0="A00002BF" w:usb1="38CF7CFA" w:usb2="00082016" w:usb3="00000000" w:csb0="00040001" w:csb1="00000000"/>
    <w:embedRegular r:id="rId6" w:fontKey="{50FD8B6D-E371-45E1-84D0-ED90FEF83D5A}"/>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KSOFEC83043A">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0510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A11EB3">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9A11EB3">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885044"/>
    <w:rsid w:val="09A07E35"/>
    <w:rsid w:val="09C84A80"/>
    <w:rsid w:val="0A2B00B5"/>
    <w:rsid w:val="0ABC24BF"/>
    <w:rsid w:val="0BF9024D"/>
    <w:rsid w:val="0C515779"/>
    <w:rsid w:val="103333DF"/>
    <w:rsid w:val="10885044"/>
    <w:rsid w:val="10950A62"/>
    <w:rsid w:val="16A00B0B"/>
    <w:rsid w:val="16E153C8"/>
    <w:rsid w:val="19443A31"/>
    <w:rsid w:val="1FA625E3"/>
    <w:rsid w:val="20C46296"/>
    <w:rsid w:val="24083C76"/>
    <w:rsid w:val="2BCE6BE4"/>
    <w:rsid w:val="2CF36A55"/>
    <w:rsid w:val="2CFD6A8C"/>
    <w:rsid w:val="30686DE9"/>
    <w:rsid w:val="308E7B30"/>
    <w:rsid w:val="315273B7"/>
    <w:rsid w:val="35854164"/>
    <w:rsid w:val="36312234"/>
    <w:rsid w:val="37701805"/>
    <w:rsid w:val="3954752E"/>
    <w:rsid w:val="3D915FEE"/>
    <w:rsid w:val="3E1E5079"/>
    <w:rsid w:val="3EE200BE"/>
    <w:rsid w:val="4075439B"/>
    <w:rsid w:val="459C5503"/>
    <w:rsid w:val="4771031B"/>
    <w:rsid w:val="4C0A7A15"/>
    <w:rsid w:val="4C471746"/>
    <w:rsid w:val="4D722754"/>
    <w:rsid w:val="4FA9769F"/>
    <w:rsid w:val="60955D63"/>
    <w:rsid w:val="644F652F"/>
    <w:rsid w:val="713A3198"/>
    <w:rsid w:val="73230949"/>
    <w:rsid w:val="7BF368DE"/>
    <w:rsid w:val="7F5E3C13"/>
    <w:rsid w:val="7FBB50C9"/>
    <w:rsid w:val="D6FF9E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连平县交通运输局</Company>
  <Pages>4</Pages>
  <Words>1843</Words>
  <Characters>1883</Characters>
  <Lines>0</Lines>
  <Paragraphs>0</Paragraphs>
  <TotalTime>0</TotalTime>
  <ScaleCrop>false</ScaleCrop>
  <LinksUpToDate>false</LinksUpToDate>
  <CharactersWithSpaces>1929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2025-10-21T10:18:00Z</dcterms:created>
  <dc:creator>LENOVO</dc:creator>
  <cp:lastModifiedBy>谢一鸣</cp:lastModifiedBy>
  <cp:lastPrinted>2026-04-29T08:01:00Z</cp:lastPrinted>
  <dcterms:modified xsi:type="dcterms:W3CDTF">2026-08-11T03:08:17Z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FC6C36E3A8B6405D9B8CD167AC0CDF8C_13</vt:lpwstr>
  </property>
  <property fmtid="{D5CDD505-2E9C-101B-9397-08002B2CF9AE}" pid="4" name="KSOTemplateDocerSaveRecord">
    <vt:lpwstr>eyJoZGlkIjoiNjYyYmIxZDM3MjVjMWUyNTBlN2VlNTM0MTQ2YTdhOTQiLCJ1c2VySWQiOiIxNjA5NzM5OTYzIn0=</vt:lpwstr>
  </property>
</Properties>
</file>