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F413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0"/>
        <w:jc w:val="center"/>
        <w:textAlignment w:val="auto"/>
        <w:rPr>
          <w:rFonts w:hint="eastAsia" w:ascii="方正小标宋_GBK" w:hAnsi="方正小标宋_GBK" w:eastAsia="方正小标宋_GBK" w:cs="方正小标宋_GBK"/>
          <w:b w:val="0"/>
          <w:bCs w:val="0"/>
          <w:i w:val="0"/>
          <w:iCs w:val="0"/>
          <w:caps w:val="0"/>
          <w:color w:val="0F1115"/>
          <w:spacing w:val="0"/>
          <w:sz w:val="44"/>
          <w:szCs w:val="44"/>
          <w:shd w:val="clear" w:fill="FFFFFF"/>
        </w:rPr>
      </w:pPr>
      <w:r>
        <w:rPr>
          <w:rFonts w:hint="eastAsia" w:ascii="方正小标宋_GBK" w:hAnsi="方正小标宋_GBK" w:eastAsia="方正小标宋_GBK" w:cs="方正小标宋_GBK"/>
          <w:b w:val="0"/>
          <w:bCs w:val="0"/>
          <w:i w:val="0"/>
          <w:iCs w:val="0"/>
          <w:caps w:val="0"/>
          <w:color w:val="0F1115"/>
          <w:spacing w:val="0"/>
          <w:sz w:val="44"/>
          <w:szCs w:val="44"/>
          <w:shd w:val="clear" w:fill="FFFFFF"/>
          <w:lang w:eastAsia="zh-CN"/>
        </w:rPr>
        <w:t>《</w:t>
      </w:r>
      <w:r>
        <w:rPr>
          <w:rFonts w:hint="eastAsia" w:ascii="方正小标宋_GBK" w:hAnsi="方正小标宋_GBK" w:eastAsia="方正小标宋_GBK" w:cs="方正小标宋_GBK"/>
          <w:b w:val="0"/>
          <w:bCs w:val="0"/>
          <w:i w:val="0"/>
          <w:iCs w:val="0"/>
          <w:caps w:val="0"/>
          <w:color w:val="0F1115"/>
          <w:spacing w:val="0"/>
          <w:sz w:val="44"/>
          <w:szCs w:val="44"/>
          <w:shd w:val="clear" w:fill="FFFFFF"/>
        </w:rPr>
        <w:t>连平县综合交通运输体系发展</w:t>
      </w:r>
    </w:p>
    <w:p w14:paraId="5CD41C89">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0"/>
        <w:jc w:val="center"/>
        <w:textAlignment w:val="auto"/>
        <w:rPr>
          <w:rFonts w:hint="eastAsia" w:ascii="仿宋_GB2312" w:hAnsi="仿宋_GB2312" w:eastAsia="仿宋_GB2312" w:cs="仿宋_GB2312"/>
          <w:b/>
          <w:bCs/>
          <w:i w:val="0"/>
          <w:iCs w:val="0"/>
          <w:caps w:val="0"/>
          <w:color w:val="0F1115"/>
          <w:spacing w:val="0"/>
          <w:sz w:val="32"/>
          <w:szCs w:val="32"/>
          <w:shd w:val="clear" w:fill="FFFFFF"/>
        </w:rPr>
      </w:pPr>
      <w:r>
        <w:rPr>
          <w:rFonts w:hint="eastAsia" w:ascii="方正小标宋_GBK" w:hAnsi="方正小标宋_GBK" w:eastAsia="方正小标宋_GBK" w:cs="方正小标宋_GBK"/>
          <w:b w:val="0"/>
          <w:bCs w:val="0"/>
          <w:i w:val="0"/>
          <w:iCs w:val="0"/>
          <w:caps w:val="0"/>
          <w:color w:val="0F1115"/>
          <w:spacing w:val="0"/>
          <w:sz w:val="44"/>
          <w:szCs w:val="44"/>
          <w:shd w:val="clear" w:fill="FFFFFF"/>
        </w:rPr>
        <w:t>“十五五</w:t>
      </w:r>
      <w:r>
        <w:rPr>
          <w:rFonts w:hint="eastAsia" w:ascii="方正小标宋_GBK" w:hAnsi="方正小标宋_GBK" w:eastAsia="方正小标宋_GBK" w:cs="方正小标宋_GBK"/>
          <w:b w:val="0"/>
          <w:bCs w:val="0"/>
          <w:i w:val="0"/>
          <w:iCs w:val="0"/>
          <w:caps w:val="0"/>
          <w:color w:val="0F1115"/>
          <w:spacing w:val="0"/>
          <w:sz w:val="44"/>
          <w:szCs w:val="44"/>
          <w:shd w:val="clear" w:fill="FFFFFF"/>
          <w:lang w:eastAsia="zh-CN"/>
        </w:rPr>
        <w:t>”</w:t>
      </w:r>
      <w:r>
        <w:rPr>
          <w:rFonts w:hint="eastAsia" w:ascii="方正小标宋_GBK" w:hAnsi="方正小标宋_GBK" w:eastAsia="方正小标宋_GBK" w:cs="方正小标宋_GBK"/>
          <w:b w:val="0"/>
          <w:bCs w:val="0"/>
          <w:i w:val="0"/>
          <w:iCs w:val="0"/>
          <w:caps w:val="0"/>
          <w:color w:val="0F1115"/>
          <w:spacing w:val="0"/>
          <w:sz w:val="44"/>
          <w:szCs w:val="44"/>
          <w:shd w:val="clear" w:fill="FFFFFF"/>
        </w:rPr>
        <w:t>规划</w:t>
      </w:r>
      <w:r>
        <w:rPr>
          <w:rFonts w:hint="eastAsia" w:ascii="方正小标宋_GBK" w:hAnsi="方正小标宋_GBK" w:eastAsia="方正小标宋_GBK" w:cs="方正小标宋_GBK"/>
          <w:b w:val="0"/>
          <w:bCs w:val="0"/>
          <w:i w:val="0"/>
          <w:iCs w:val="0"/>
          <w:caps w:val="0"/>
          <w:color w:val="0F1115"/>
          <w:spacing w:val="0"/>
          <w:sz w:val="44"/>
          <w:szCs w:val="44"/>
          <w:shd w:val="clear" w:fill="FFFFFF"/>
          <w:lang w:eastAsia="zh-CN"/>
        </w:rPr>
        <w:t>》</w:t>
      </w:r>
      <w:r>
        <w:rPr>
          <w:rFonts w:hint="eastAsia" w:ascii="方正小标宋_GBK" w:hAnsi="方正小标宋_GBK" w:eastAsia="方正小标宋_GBK" w:cs="方正小标宋_GBK"/>
          <w:b w:val="0"/>
          <w:bCs w:val="0"/>
          <w:i w:val="0"/>
          <w:iCs w:val="0"/>
          <w:caps w:val="0"/>
          <w:color w:val="0F1115"/>
          <w:spacing w:val="0"/>
          <w:sz w:val="44"/>
          <w:szCs w:val="44"/>
          <w:shd w:val="clear" w:fill="FFFFFF"/>
        </w:rPr>
        <w:t>听证会流程</w:t>
      </w:r>
    </w:p>
    <w:p w14:paraId="64F6538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_GB2312" w:hAnsi="仿宋_GB2312" w:eastAsia="仿宋_GB2312" w:cs="仿宋_GB2312"/>
          <w:b w:val="0"/>
          <w:bCs w:val="0"/>
          <w:i w:val="0"/>
          <w:iCs w:val="0"/>
          <w:caps w:val="0"/>
          <w:color w:val="0F1115"/>
          <w:spacing w:val="0"/>
          <w:sz w:val="32"/>
          <w:szCs w:val="32"/>
          <w:shd w:val="clear" w:fill="FFFFFF"/>
        </w:rPr>
      </w:pPr>
    </w:p>
    <w:p w14:paraId="3170E3C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_GB2312" w:hAnsi="仿宋_GB2312" w:eastAsia="仿宋_GB2312" w:cs="仿宋_GB2312"/>
          <w:b w:val="0"/>
          <w:bCs w:val="0"/>
          <w:i w:val="0"/>
          <w:iCs w:val="0"/>
          <w:caps w:val="0"/>
          <w:color w:val="0F1115"/>
          <w:spacing w:val="0"/>
          <w:sz w:val="32"/>
          <w:szCs w:val="32"/>
          <w:shd w:val="clear" w:fill="FFFFFF"/>
          <w:lang w:val="en-US" w:eastAsia="zh-CN"/>
        </w:rPr>
      </w:pPr>
      <w:r>
        <w:rPr>
          <w:rFonts w:hint="eastAsia" w:ascii="仿宋_GB2312" w:hAnsi="仿宋_GB2312" w:eastAsia="仿宋_GB2312" w:cs="仿宋_GB2312"/>
          <w:b w:val="0"/>
          <w:bCs w:val="0"/>
          <w:i w:val="0"/>
          <w:iCs w:val="0"/>
          <w:caps w:val="0"/>
          <w:color w:val="0F1115"/>
          <w:spacing w:val="0"/>
          <w:sz w:val="32"/>
          <w:szCs w:val="32"/>
          <w:shd w:val="clear" w:fill="FFFFFF"/>
        </w:rPr>
        <w:t>根据《广东省重大行政决策听证规定》（广东省人民政府令303号）的有关规定，我局</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拟对</w:t>
      </w:r>
      <w:r>
        <w:rPr>
          <w:rFonts w:hint="eastAsia" w:ascii="仿宋_GB2312" w:hAnsi="仿宋_GB2312" w:eastAsia="仿宋_GB2312" w:cs="仿宋_GB2312"/>
          <w:b w:val="0"/>
          <w:bCs w:val="0"/>
          <w:i w:val="0"/>
          <w:iCs w:val="0"/>
          <w:caps w:val="0"/>
          <w:color w:val="0F1115"/>
          <w:spacing w:val="0"/>
          <w:sz w:val="32"/>
          <w:szCs w:val="32"/>
          <w:shd w:val="clear" w:fill="FFFFFF"/>
        </w:rPr>
        <w:t>《连平县综合交通运输体系发展“十五五”规划》</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进行公开听证</w:t>
      </w:r>
      <w:r>
        <w:rPr>
          <w:rFonts w:hint="eastAsia" w:ascii="仿宋_GB2312" w:hAnsi="仿宋_GB2312" w:eastAsia="仿宋_GB2312" w:cs="仿宋_GB2312"/>
          <w:b w:val="0"/>
          <w:bCs w:val="0"/>
          <w:i w:val="0"/>
          <w:iCs w:val="0"/>
          <w:caps w:val="0"/>
          <w:color w:val="0F1115"/>
          <w:spacing w:val="0"/>
          <w:sz w:val="32"/>
          <w:szCs w:val="32"/>
          <w:shd w:val="clear" w:fill="FFFFFF"/>
        </w:rPr>
        <w:t>。</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流程如下：</w:t>
      </w:r>
    </w:p>
    <w:p w14:paraId="1379D49E">
      <w:pPr>
        <w:pStyle w:val="3"/>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听证依据</w:t>
      </w:r>
    </w:p>
    <w:p w14:paraId="0643553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《重大行政决策程序暂行条例》《广东省重大行政决策程序规定》《广东省重大行政决策听证规定》等有关规定。</w:t>
      </w:r>
    </w:p>
    <w:p w14:paraId="58DBBD88">
      <w:pPr>
        <w:pStyle w:val="3"/>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听证代表名额、构成及产生方式</w:t>
      </w:r>
    </w:p>
    <w:p w14:paraId="27E2ECCA">
      <w:pPr>
        <w:pStyle w:val="3"/>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_GB2312" w:hAnsi="仿宋_GB2312" w:eastAsia="仿宋_GB2312" w:cs="仿宋_GB2312"/>
          <w:b w:val="0"/>
          <w:bCs w:val="0"/>
          <w:i w:val="0"/>
          <w:iCs w:val="0"/>
          <w:caps w:val="0"/>
          <w:color w:val="0F1115"/>
          <w:spacing w:val="0"/>
          <w:sz w:val="32"/>
          <w:szCs w:val="32"/>
          <w:shd w:val="clear" w:fill="FFFFFF"/>
          <w:lang w:val="en-US" w:eastAsia="zh-CN"/>
        </w:rPr>
      </w:pP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主持人1名，待定。</w:t>
      </w:r>
    </w:p>
    <w:p w14:paraId="19350F5F">
      <w:pPr>
        <w:pStyle w:val="3"/>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记录员1名，由</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连平县</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交通运输局工作人员担任。</w:t>
      </w:r>
    </w:p>
    <w:p w14:paraId="7C1B8B39">
      <w:pPr>
        <w:pStyle w:val="3"/>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陈述人1名，由</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连平县</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交通运输局</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股</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室负责人担任。</w:t>
      </w:r>
    </w:p>
    <w:p w14:paraId="4E260051">
      <w:pPr>
        <w:pStyle w:val="3"/>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听证参加人47名，具体构成、名额及产生方式如下：</w:t>
      </w:r>
    </w:p>
    <w:p w14:paraId="2544E1D9">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1.代表构成及名额：人大代表1名、政协委员1名、政府部门代表38名、行业企业代表3名、园区代表1名、公众代表3名。</w:t>
      </w:r>
    </w:p>
    <w:p w14:paraId="76A9778A">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2.产生方式：人大代表、政协委员、政府部门代表由连平县交通运输局统筹邀请、相关单位推荐产生；行业企业代表、园区代表、社会公众代表采取公开自愿报名方式产生。</w:t>
      </w:r>
    </w:p>
    <w:p w14:paraId="6107CC0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若符合条件的报名人数超出征集名额，我局将在公证机构全程监督下，对报名人员进行随机抽签确定最终参会代表。</w:t>
      </w:r>
    </w:p>
    <w:p w14:paraId="2993C0B4">
      <w:pPr>
        <w:pStyle w:val="3"/>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听证代表资格条件</w:t>
      </w:r>
    </w:p>
    <w:p w14:paraId="32519AC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（一）具有完全民事行为能力，遵纪守法、诚实守信，无不良社会记录；</w:t>
      </w:r>
    </w:p>
    <w:p w14:paraId="45B56D1A">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（二）熟悉我</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县</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交通运输行业发展基本情况，具备一定的政策理解能力、文字功底和口头表达能力；</w:t>
      </w:r>
    </w:p>
    <w:p w14:paraId="69ABC31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（三）能够客观公正、实事求是反映所代表群体的意见和诉求；</w:t>
      </w:r>
    </w:p>
    <w:p w14:paraId="7D457E0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（四）有充足时间收集相关意见建议，承诺按时全程参加听证会，不得委托他人代为参会。</w:t>
      </w:r>
    </w:p>
    <w:p w14:paraId="6F13EA9D">
      <w:pPr>
        <w:pStyle w:val="3"/>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听证参加人员报名时间、地点和方式</w:t>
      </w:r>
    </w:p>
    <w:p w14:paraId="13AF001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（一）报名时间</w:t>
      </w:r>
    </w:p>
    <w:p w14:paraId="53458F23">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 xml:space="preserve">   2026年</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10</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月2</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6</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日至</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11</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月1</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0</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日。</w:t>
      </w:r>
    </w:p>
    <w:p w14:paraId="53D03F81">
      <w:pPr>
        <w:pStyle w:val="3"/>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报名地点</w:t>
      </w:r>
    </w:p>
    <w:p w14:paraId="10681560">
      <w:pPr>
        <w:pStyle w:val="3"/>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leftChars="200" w:right="0" w:rightChars="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连平县</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交通运输局</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二楼</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规划基建股</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（元善镇南桥街2号）</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w:t>
      </w:r>
    </w:p>
    <w:p w14:paraId="469359FB">
      <w:pPr>
        <w:pStyle w:val="3"/>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报名</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方式</w:t>
      </w:r>
    </w:p>
    <w:p w14:paraId="1F5863E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向社会或单位公开选取的公众参加或听证旁听人，请于2026年</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11</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月1</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0</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日下午下班前向</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连平县</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交通运输局</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规划基建股</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办公室或通过粤政易联系人递交《〈</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连平县</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综合交通运输体系</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发展</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“十五五”</w:t>
      </w:r>
      <w:bookmarkStart w:id="0" w:name="_GoBack"/>
      <w:bookmarkEnd w:id="0"/>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规划〉听证会报名表》（见</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公告</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附件</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5</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），由</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连平县</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交通运输局按是否符合上述听证参加人员资格要求和报名时间先后顺序等情况审核确定最终听证参加人员名单。</w:t>
      </w:r>
    </w:p>
    <w:p w14:paraId="0BB4B4DD">
      <w:pPr>
        <w:pStyle w:val="3"/>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leftChars="200" w:right="0" w:rightChars="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联系</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人</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陈思芹，</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0762-4326181，邮箱：</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fldChar w:fldCharType="begin"/>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instrText xml:space="preserve"> HYPERLINK "mailto:lpjtjjg6181@163.com" </w:instrTex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fldChar w:fldCharType="separate"/>
      </w:r>
      <w:r>
        <w:rPr>
          <w:rStyle w:val="6"/>
          <w:rFonts w:hint="default" w:ascii="仿宋_GB2312" w:hAnsi="仿宋_GB2312" w:eastAsia="仿宋_GB2312" w:cs="仿宋_GB2312"/>
          <w:b w:val="0"/>
          <w:bCs w:val="0"/>
          <w:i w:val="0"/>
          <w:iCs w:val="0"/>
          <w:caps w:val="0"/>
          <w:spacing w:val="0"/>
          <w:sz w:val="32"/>
          <w:szCs w:val="32"/>
          <w:shd w:val="clear" w:fill="FFFFFF"/>
          <w:lang w:val="en-US" w:eastAsia="zh-CN"/>
        </w:rPr>
        <w:t>lpjtjjg6181@163.com</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fldChar w:fldCharType="end"/>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w:t>
      </w:r>
    </w:p>
    <w:p w14:paraId="02ADB1AE">
      <w:pPr>
        <w:pStyle w:val="3"/>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听证代表名单公示</w:t>
      </w:r>
    </w:p>
    <w:p w14:paraId="647AC1B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本次听证会最终参会代表名单确定后，将在</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连平县人民政府官网进行公示，</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接受社会监督。公示无异议后，正式确定听证参会人员，参会代表可提前查阅规划稿，广泛收集群众意见。</w:t>
      </w:r>
    </w:p>
    <w:p w14:paraId="0D179754">
      <w:pPr>
        <w:pStyle w:val="3"/>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听证程序</w:t>
      </w:r>
    </w:p>
    <w:p w14:paraId="4E5C525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（一）听证记录员核实听证陈述人和听证参加人到场情况。</w:t>
      </w:r>
    </w:p>
    <w:p w14:paraId="0259288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（二）听证主持人宣布听证会开始，宣布听证会参与人员名单、听证事项和听证会纪律。</w:t>
      </w:r>
    </w:p>
    <w:p w14:paraId="1884A2BA">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（三）听证陈述人陈述听证事项内容、依据、理由和有关背景。</w:t>
      </w:r>
    </w:p>
    <w:p w14:paraId="589EE27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（四）听证参加人对听证事项发表意见和建议，进行询问、质证，必要时可以由听证陈述人或者有关专家进行解释说明。</w:t>
      </w:r>
    </w:p>
    <w:p w14:paraId="12F6A38F">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（五）听证陈述人和听证参加人就听证事项的主要事实和观点进行辩论。</w:t>
      </w:r>
    </w:p>
    <w:p w14:paraId="0C59ABC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（六）听证陈述人和听证参加人作最后陈述。</w:t>
      </w:r>
    </w:p>
    <w:p w14:paraId="185A09E9">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（七）听证主持人宣布听证会结束。</w:t>
      </w:r>
    </w:p>
    <w:p w14:paraId="1C3C25FE">
      <w:pPr>
        <w:pStyle w:val="3"/>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其他事项</w:t>
      </w:r>
    </w:p>
    <w:p w14:paraId="69FC8D59">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（一）报名人员应对所填信息的真实性负责，未按要求提交材料或填报虚假信息的，一经核实，取消参与资格。</w:t>
      </w:r>
    </w:p>
    <w:p w14:paraId="2DDDA72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（二）听证参加人凭听证通知书参加听证会，届时须准时出席，逾期不到场且无正当理由的，视为放弃本次听证。</w:t>
      </w:r>
    </w:p>
    <w:p w14:paraId="4E07259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t>（三）未尽事宜按《广东省重大行政决策听证规定》的有关规定执行。</w:t>
      </w:r>
    </w:p>
    <w:p w14:paraId="7FA853B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5506" w:leftChars="2622" w:right="0" w:firstLine="0" w:firstLineChars="0"/>
        <w:textAlignment w:val="auto"/>
        <w:rPr>
          <w:rFonts w:hint="eastAsia" w:ascii="仿宋_GB2312" w:hAnsi="仿宋_GB2312" w:eastAsia="仿宋_GB2312" w:cs="仿宋_GB2312"/>
          <w:sz w:val="32"/>
          <w:szCs w:val="32"/>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1" w:fontKey="{06C5AAC4-7950-4D77-A638-1F3B217B3587}"/>
  </w:font>
  <w:font w:name="仿宋_GB2312">
    <w:altName w:val="仿宋"/>
    <w:panose1 w:val="02010609030101010101"/>
    <w:charset w:val="86"/>
    <w:family w:val="auto"/>
    <w:pitch w:val="default"/>
    <w:sig w:usb0="00000000" w:usb1="00000000" w:usb2="00000000" w:usb3="00000000" w:csb0="00040000" w:csb1="00000000"/>
    <w:embedRegular r:id="rId2" w:fontKey="{22F8E13A-EA18-461D-B253-82F374635E08}"/>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D2954E"/>
    <w:multiLevelType w:val="singleLevel"/>
    <w:tmpl w:val="8AD2954E"/>
    <w:lvl w:ilvl="0" w:tentative="0">
      <w:start w:val="2"/>
      <w:numFmt w:val="chineseCounting"/>
      <w:suff w:val="nothing"/>
      <w:lvlText w:val="（%1）"/>
      <w:lvlJc w:val="left"/>
      <w:rPr>
        <w:rFonts w:hint="eastAsia"/>
      </w:rPr>
    </w:lvl>
  </w:abstractNum>
  <w:abstractNum w:abstractNumId="1">
    <w:nsid w:val="04B09B2A"/>
    <w:multiLevelType w:val="singleLevel"/>
    <w:tmpl w:val="04B09B2A"/>
    <w:lvl w:ilvl="0" w:tentative="0">
      <w:start w:val="1"/>
      <w:numFmt w:val="chineseCounting"/>
      <w:suff w:val="nothing"/>
      <w:lvlText w:val="（%1）"/>
      <w:lvlJc w:val="left"/>
      <w:rPr>
        <w:rFonts w:hint="eastAsia"/>
      </w:rPr>
    </w:lvl>
  </w:abstractNum>
  <w:abstractNum w:abstractNumId="2">
    <w:nsid w:val="6D0C5AE4"/>
    <w:multiLevelType w:val="singleLevel"/>
    <w:tmpl w:val="6D0C5AE4"/>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F2FBE"/>
    <w:rsid w:val="05E15557"/>
    <w:rsid w:val="07A50D69"/>
    <w:rsid w:val="09F63266"/>
    <w:rsid w:val="0E230C39"/>
    <w:rsid w:val="111B6540"/>
    <w:rsid w:val="13D91FDD"/>
    <w:rsid w:val="15DD1AF1"/>
    <w:rsid w:val="17EC02EE"/>
    <w:rsid w:val="2A8169CD"/>
    <w:rsid w:val="39C45102"/>
    <w:rsid w:val="3A8B592D"/>
    <w:rsid w:val="3D3879AE"/>
    <w:rsid w:val="40464D02"/>
    <w:rsid w:val="4AC26B09"/>
    <w:rsid w:val="4C9D3D4D"/>
    <w:rsid w:val="4E76513F"/>
    <w:rsid w:val="504C55A9"/>
    <w:rsid w:val="52D00360"/>
    <w:rsid w:val="53487DC7"/>
    <w:rsid w:val="54F74DC1"/>
    <w:rsid w:val="56B0015D"/>
    <w:rsid w:val="56F8519D"/>
    <w:rsid w:val="6171498D"/>
    <w:rsid w:val="63D27965"/>
    <w:rsid w:val="64552344"/>
    <w:rsid w:val="668365B8"/>
    <w:rsid w:val="67516203"/>
    <w:rsid w:val="6ACF2E50"/>
    <w:rsid w:val="6C9937EC"/>
    <w:rsid w:val="6F264A9E"/>
    <w:rsid w:val="739F2813"/>
    <w:rsid w:val="788F00C3"/>
    <w:rsid w:val="7A0470B7"/>
    <w:rsid w:val="7AFC3B68"/>
    <w:rsid w:val="7B7470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 w:type="character" w:styleId="6">
    <w:name w:val="Hyperlink"/>
    <w:basedOn w:val="5"/>
    <w:qFormat/>
    <w:uiPriority w:val="0"/>
    <w:rPr>
      <w:color w:val="0000FF"/>
      <w:u w:val="single"/>
    </w:rPr>
  </w:style>
  <w:style w:type="paragraph" w:customStyle="1" w:styleId="7">
    <w:name w:val="三级标题"/>
    <w:basedOn w:val="1"/>
    <w:qFormat/>
    <w:uiPriority w:val="0"/>
    <w:pPr>
      <w:spacing w:before="240" w:after="240"/>
      <w:ind w:right="0" w:rightChars="0" w:firstLine="363"/>
      <w:outlineLvl w:val="2"/>
    </w:pPr>
    <w:rPr>
      <w:rFonts w:eastAsia="黑体" w:asciiTheme="minorAscii" w:hAnsiTheme="minorAscii"/>
      <w:b/>
      <w:sz w:val="24"/>
      <w:szCs w:val="22"/>
      <w:lang w:eastAsia="zh-CN"/>
    </w:rPr>
  </w:style>
  <w:style w:type="paragraph" w:customStyle="1" w:styleId="8">
    <w:name w:val="论文正文"/>
    <w:basedOn w:val="1"/>
    <w:link w:val="11"/>
    <w:qFormat/>
    <w:uiPriority w:val="0"/>
    <w:pPr>
      <w:spacing w:line="360" w:lineRule="auto"/>
      <w:ind w:left="0" w:right="0" w:firstLine="120" w:firstLineChars="200"/>
      <w:jc w:val="both"/>
    </w:pPr>
    <w:rPr>
      <w:rFonts w:ascii="宋体" w:hAnsi="宋体" w:eastAsia="宋体"/>
      <w:spacing w:val="1"/>
      <w:sz w:val="24"/>
      <w:szCs w:val="24"/>
      <w:lang w:eastAsia="en-US"/>
    </w:rPr>
  </w:style>
  <w:style w:type="paragraph" w:customStyle="1" w:styleId="9">
    <w:name w:val="二级标题"/>
    <w:basedOn w:val="1"/>
    <w:link w:val="10"/>
    <w:qFormat/>
    <w:uiPriority w:val="0"/>
    <w:pPr>
      <w:spacing w:before="360" w:after="360" w:line="240" w:lineRule="auto"/>
      <w:ind w:left="0" w:firstLine="0" w:firstLineChars="0"/>
      <w:outlineLvl w:val="1"/>
    </w:pPr>
    <w:rPr>
      <w:rFonts w:ascii="黑体" w:hAnsi="黑体" w:eastAsia="黑体"/>
      <w:b/>
      <w:bCs/>
      <w:sz w:val="36"/>
      <w:szCs w:val="36"/>
      <w:lang w:eastAsia="en-US"/>
    </w:rPr>
  </w:style>
  <w:style w:type="character" w:customStyle="1" w:styleId="10">
    <w:name w:val="二级标题 Char"/>
    <w:link w:val="9"/>
    <w:qFormat/>
    <w:uiPriority w:val="0"/>
    <w:rPr>
      <w:rFonts w:ascii="黑体" w:hAnsi="黑体" w:eastAsia="黑体"/>
      <w:b/>
      <w:bCs/>
      <w:sz w:val="36"/>
      <w:szCs w:val="36"/>
      <w:lang w:eastAsia="en-US"/>
    </w:rPr>
  </w:style>
  <w:style w:type="character" w:customStyle="1" w:styleId="11">
    <w:name w:val="论文正文 Char"/>
    <w:link w:val="8"/>
    <w:qFormat/>
    <w:uiPriority w:val="0"/>
    <w:rPr>
      <w:rFonts w:ascii="宋体" w:hAnsi="宋体" w:eastAsia="宋体"/>
      <w:spacing w:val="1"/>
      <w:sz w:val="24"/>
      <w:szCs w:val="24"/>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1258</Words>
  <Characters>1305</Characters>
  <Lines>0</Lines>
  <Paragraphs>0</Paragraphs>
  <TotalTime>0</TotalTime>
  <ScaleCrop>false</ScaleCrop>
  <LinksUpToDate>false</LinksUpToDate>
  <CharactersWithSpaces>1308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2025-09-08T03:06:00Z</dcterms:created>
  <dc:creator>DELL</dc:creator>
  <cp:lastModifiedBy>谢一鸣</cp:lastModifiedBy>
  <dcterms:modified xsi:type="dcterms:W3CDTF">2026-10-30T03:04:32Z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D195781B8FF74BAA8FBE141B7AC1E8D0_13</vt:lpwstr>
  </property>
  <property fmtid="{D5CDD505-2E9C-101B-9397-08002B2CF9AE}" pid="4" name="KSOTemplateDocerSaveRecord">
    <vt:lpwstr>eyJoZGlkIjoiNjYyYmIxZDM3MjVjMWUyNTBlN2VlNTM0MTQ2YTdhOTQiLCJ1c2VySWQiOiIxNjA5NzM5OTYzIn0=</vt:lpwstr>
  </property>
</Properties>
</file>