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连平县省级电子商务进农村综合示范项目</w:t>
      </w:r>
      <w:r>
        <w:rPr>
          <w:rFonts w:hint="eastAsia" w:ascii="方正小标宋简体" w:hAnsi="方正小标宋简体" w:eastAsia="方正小标宋简体" w:cs="方正小标宋简体"/>
          <w:b w:val="0"/>
          <w:bCs/>
          <w:color w:val="auto"/>
          <w:sz w:val="44"/>
          <w:szCs w:val="44"/>
        </w:rPr>
        <w:br w:type="textWrapping"/>
      </w:r>
      <w:r>
        <w:rPr>
          <w:rFonts w:hint="eastAsia" w:ascii="方正小标宋简体" w:hAnsi="方正小标宋简体" w:eastAsia="方正小标宋简体" w:cs="方正小标宋简体"/>
          <w:b w:val="0"/>
          <w:bCs/>
          <w:color w:val="auto"/>
          <w:sz w:val="44"/>
          <w:szCs w:val="44"/>
        </w:rPr>
        <w:t>资金使用管理办法</w:t>
      </w:r>
    </w:p>
    <w:p>
      <w:pPr>
        <w:pStyle w:val="5"/>
        <w:spacing w:before="315" w:beforeLines="100" w:beforeAutospacing="0" w:after="0" w:afterAutospacing="0" w:line="240" w:lineRule="auto"/>
        <w:jc w:val="center"/>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第一章  总则</w:t>
      </w:r>
    </w:p>
    <w:p>
      <w:pPr>
        <w:pStyle w:val="5"/>
        <w:spacing w:before="0" w:beforeAutospacing="0" w:after="0" w:afterAutospacing="0" w:line="240" w:lineRule="auto"/>
        <w:ind w:firstLine="640" w:firstLineChars="200"/>
        <w:jc w:val="both"/>
        <w:rPr>
          <w:rFonts w:ascii="仿宋" w:hAnsi="仿宋" w:eastAsia="仿宋"/>
          <w:color w:val="auto"/>
          <w:sz w:val="32"/>
          <w:szCs w:val="32"/>
        </w:rPr>
      </w:pPr>
      <w:r>
        <w:rPr>
          <w:rFonts w:ascii="仿宋" w:hAnsi="仿宋" w:eastAsia="仿宋"/>
          <w:color w:val="auto"/>
          <w:sz w:val="32"/>
          <w:szCs w:val="32"/>
        </w:rPr>
        <w:t>第一条</w:t>
      </w:r>
      <w:r>
        <w:rPr>
          <w:rFonts w:hint="eastAsia" w:ascii="仿宋" w:hAnsi="仿宋" w:eastAsia="仿宋"/>
          <w:color w:val="auto"/>
          <w:sz w:val="32"/>
          <w:szCs w:val="32"/>
        </w:rPr>
        <w:t xml:space="preserve"> 为促进我县省级电子商务进农村综合示范工作更好、更快地发展，规范和完善电子商务进农村综合示范专项资金管理，</w:t>
      </w:r>
      <w:bookmarkStart w:id="0" w:name="_Hlk22826845"/>
      <w:r>
        <w:rPr>
          <w:rFonts w:hint="eastAsia" w:ascii="仿宋" w:hAnsi="仿宋" w:eastAsia="仿宋"/>
          <w:color w:val="auto"/>
          <w:sz w:val="32"/>
          <w:szCs w:val="32"/>
        </w:rPr>
        <w:t>根据《广东省商务厅关于开展</w:t>
      </w:r>
      <w:r>
        <w:rPr>
          <w:rFonts w:ascii="仿宋" w:hAnsi="仿宋" w:eastAsia="仿宋"/>
          <w:color w:val="auto"/>
          <w:sz w:val="32"/>
          <w:szCs w:val="32"/>
        </w:rPr>
        <w:t>2020年省级电子商务进农村综合示范工作的通知》（粤商务电函〔2019〕72号）、《广东省商务厅关于下达2020年促进经济高质量发展专项资金（内贸方向省级电子商务进农村综合示范）项目计划的通知》（粤商务电函〔2020〕23号）、《河源市商务局关于下达2020年促进经济高质量发展专项资金（内贸方向省级电子商务进农村综合示范）项目计划的通知》（河商务函〔2020〕10号）</w:t>
      </w:r>
      <w:r>
        <w:rPr>
          <w:rFonts w:hint="eastAsia" w:ascii="仿宋" w:hAnsi="仿宋" w:eastAsia="仿宋"/>
          <w:color w:val="auto"/>
          <w:sz w:val="32"/>
          <w:szCs w:val="32"/>
        </w:rPr>
        <w:t>等文件精神，结合我县实际情况，特制定本办法。</w:t>
      </w:r>
      <w:bookmarkEnd w:id="0"/>
    </w:p>
    <w:p>
      <w:pPr>
        <w:pStyle w:val="5"/>
        <w:spacing w:before="0" w:beforeAutospacing="0" w:after="0" w:afterAutospacing="0" w:line="240" w:lineRule="auto"/>
        <w:ind w:firstLine="640" w:firstLineChars="200"/>
        <w:jc w:val="both"/>
        <w:rPr>
          <w:rFonts w:ascii="仿宋" w:hAnsi="仿宋" w:eastAsia="仿宋"/>
          <w:color w:val="auto"/>
          <w:sz w:val="32"/>
          <w:szCs w:val="32"/>
        </w:rPr>
      </w:pPr>
      <w:r>
        <w:rPr>
          <w:rFonts w:ascii="仿宋" w:hAnsi="仿宋" w:eastAsia="仿宋"/>
          <w:color w:val="auto"/>
          <w:sz w:val="32"/>
          <w:szCs w:val="32"/>
        </w:rPr>
        <w:t>第二条</w:t>
      </w:r>
      <w:r>
        <w:rPr>
          <w:rFonts w:hint="eastAsia" w:ascii="仿宋" w:hAnsi="仿宋" w:eastAsia="仿宋"/>
          <w:color w:val="auto"/>
          <w:sz w:val="32"/>
          <w:szCs w:val="32"/>
        </w:rPr>
        <w:t xml:space="preserve"> 本办法中的电子商务进农村综合示范专项资金（以下简称：专项资金），是指省级财政和县级财政预算安排用于我县电子商务进农村综合示范项目建设、加快电子商务在我县推广应用的专项支持资金。</w:t>
      </w:r>
    </w:p>
    <w:p>
      <w:pPr>
        <w:pStyle w:val="5"/>
        <w:spacing w:before="0" w:beforeAutospacing="0" w:after="0" w:afterAutospacing="0" w:line="240" w:lineRule="auto"/>
        <w:ind w:firstLine="640" w:firstLineChars="200"/>
        <w:jc w:val="both"/>
        <w:rPr>
          <w:rFonts w:ascii="仿宋" w:hAnsi="仿宋" w:eastAsia="仿宋"/>
          <w:color w:val="auto"/>
          <w:sz w:val="32"/>
          <w:szCs w:val="32"/>
        </w:rPr>
      </w:pPr>
      <w:r>
        <w:rPr>
          <w:rFonts w:ascii="仿宋" w:hAnsi="仿宋" w:eastAsia="仿宋"/>
          <w:color w:val="auto"/>
          <w:sz w:val="32"/>
          <w:szCs w:val="32"/>
        </w:rPr>
        <w:t>第三条 专项资金</w:t>
      </w:r>
      <w:r>
        <w:rPr>
          <w:rFonts w:hint="eastAsia" w:ascii="仿宋" w:hAnsi="仿宋" w:eastAsia="仿宋"/>
          <w:color w:val="auto"/>
          <w:sz w:val="32"/>
          <w:szCs w:val="32"/>
        </w:rPr>
        <w:t>由</w:t>
      </w:r>
      <w:r>
        <w:rPr>
          <w:rFonts w:hint="eastAsia" w:ascii="仿宋" w:hAnsi="仿宋" w:eastAsia="仿宋"/>
          <w:color w:val="auto"/>
          <w:sz w:val="32"/>
          <w:szCs w:val="32"/>
          <w:lang w:eastAsia="zh-CN"/>
        </w:rPr>
        <w:t>县工商信局</w:t>
      </w:r>
      <w:r>
        <w:rPr>
          <w:rFonts w:hint="eastAsia" w:ascii="仿宋" w:hAnsi="仿宋" w:eastAsia="仿宋"/>
          <w:color w:val="auto"/>
          <w:sz w:val="32"/>
          <w:szCs w:val="32"/>
        </w:rPr>
        <w:t>、县财政局共同管理，专款专用，资金分配和使用情况向社会公开，接受上级有关部门的专项检查、审计及社会监督。</w:t>
      </w:r>
    </w:p>
    <w:p>
      <w:pPr>
        <w:pStyle w:val="5"/>
        <w:spacing w:before="0" w:beforeAutospacing="0" w:after="0" w:afterAutospacing="0" w:line="240" w:lineRule="auto"/>
        <w:ind w:firstLine="640" w:firstLineChars="200"/>
        <w:jc w:val="both"/>
        <w:rPr>
          <w:rFonts w:ascii="仿宋" w:hAnsi="仿宋" w:eastAsia="仿宋"/>
          <w:color w:val="auto"/>
          <w:sz w:val="32"/>
          <w:szCs w:val="32"/>
        </w:rPr>
      </w:pPr>
      <w:r>
        <w:rPr>
          <w:rFonts w:hint="eastAsia" w:ascii="仿宋" w:hAnsi="仿宋" w:eastAsia="仿宋"/>
          <w:color w:val="auto"/>
          <w:sz w:val="32"/>
          <w:szCs w:val="32"/>
        </w:rPr>
        <w:t>第四条 专项资金使用和管理遵循以下原则</w:t>
      </w:r>
    </w:p>
    <w:p>
      <w:pPr>
        <w:pStyle w:val="5"/>
        <w:spacing w:before="0" w:beforeAutospacing="0" w:after="0" w:afterAutospacing="0" w:line="240" w:lineRule="auto"/>
        <w:ind w:firstLine="640" w:firstLineChars="200"/>
        <w:jc w:val="both"/>
        <w:rPr>
          <w:rFonts w:ascii="仿宋" w:hAnsi="仿宋" w:eastAsia="仿宋"/>
          <w:color w:val="auto"/>
          <w:sz w:val="32"/>
          <w:szCs w:val="32"/>
        </w:rPr>
      </w:pPr>
      <w:r>
        <w:rPr>
          <w:rFonts w:hint="eastAsia" w:ascii="仿宋" w:hAnsi="仿宋" w:eastAsia="仿宋"/>
          <w:color w:val="auto"/>
          <w:sz w:val="32"/>
          <w:szCs w:val="32"/>
        </w:rPr>
        <w:t>（一）公平竞争，公开透明。专项资金使用必须严格遵守有关法律、法规和相关规章制度。资金分配通过规范的项目遴选机制，公开项目申报、评审、评估等环节的工作，广泛接受社会监督。</w:t>
      </w:r>
    </w:p>
    <w:p>
      <w:pPr>
        <w:pStyle w:val="5"/>
        <w:spacing w:before="0" w:beforeAutospacing="0" w:after="0" w:afterAutospacing="0" w:line="240" w:lineRule="auto"/>
        <w:ind w:firstLine="640" w:firstLineChars="200"/>
        <w:jc w:val="both"/>
        <w:rPr>
          <w:rFonts w:ascii="仿宋" w:hAnsi="仿宋" w:eastAsia="仿宋"/>
          <w:color w:val="auto"/>
          <w:sz w:val="32"/>
          <w:szCs w:val="32"/>
        </w:rPr>
      </w:pPr>
      <w:r>
        <w:rPr>
          <w:rFonts w:hint="eastAsia" w:ascii="仿宋" w:hAnsi="仿宋" w:eastAsia="仿宋"/>
          <w:color w:val="auto"/>
          <w:sz w:val="32"/>
          <w:szCs w:val="32"/>
        </w:rPr>
        <w:t>（二）政府引导，示范带动。专项资金的使用管理应符合省、市和县相关规定，充分发挥财政资金的引导作用，吸引社会资本投入，调动企业和社会发展电子商务进农村的积极性。</w:t>
      </w:r>
    </w:p>
    <w:p>
      <w:pPr>
        <w:pStyle w:val="5"/>
        <w:spacing w:before="0" w:beforeAutospacing="0" w:after="0" w:afterAutospacing="0" w:line="240" w:lineRule="auto"/>
        <w:ind w:firstLine="640" w:firstLineChars="200"/>
        <w:jc w:val="both"/>
        <w:rPr>
          <w:rFonts w:ascii="仿宋" w:hAnsi="仿宋" w:eastAsia="仿宋"/>
          <w:color w:val="auto"/>
          <w:sz w:val="32"/>
          <w:szCs w:val="32"/>
        </w:rPr>
      </w:pPr>
      <w:r>
        <w:rPr>
          <w:rFonts w:hint="eastAsia" w:ascii="仿宋" w:hAnsi="仿宋" w:eastAsia="仿宋"/>
          <w:color w:val="auto"/>
          <w:sz w:val="32"/>
          <w:szCs w:val="32"/>
        </w:rPr>
        <w:t>（三）把握精准、助力扶贫。充分发挥农村电子商务助力脱贫攻坚作用，注重培育带动贫困人口的电商主体，加大对建档立卡贫困户帮扶力度和资金倾斜，切实增强电子商务精准扶贫的作用。</w:t>
      </w:r>
    </w:p>
    <w:p>
      <w:pPr>
        <w:pStyle w:val="5"/>
        <w:spacing w:before="0" w:beforeAutospacing="0" w:after="0" w:afterAutospacing="0" w:line="240" w:lineRule="auto"/>
        <w:ind w:firstLine="640" w:firstLineChars="200"/>
        <w:rPr>
          <w:rFonts w:ascii="仿宋" w:hAnsi="仿宋" w:eastAsia="仿宋"/>
          <w:color w:val="auto"/>
          <w:sz w:val="32"/>
          <w:szCs w:val="32"/>
        </w:rPr>
      </w:pPr>
      <w:r>
        <w:rPr>
          <w:rFonts w:hint="eastAsia" w:ascii="仿宋" w:hAnsi="仿宋" w:eastAsia="仿宋"/>
          <w:color w:val="auto"/>
          <w:sz w:val="32"/>
          <w:szCs w:val="32"/>
        </w:rPr>
        <w:t>（四）开放共享，高效利用。凡是使用专项资金建设的公共服务中心（站点）、促进农产品上行体系基础设施等公共服务类项目，必须开放、共享，向社会提供市场化服务，严禁仅向特定企业提供服务。</w:t>
      </w:r>
    </w:p>
    <w:p>
      <w:pPr>
        <w:pStyle w:val="5"/>
        <w:spacing w:before="0" w:beforeAutospacing="0" w:after="0" w:afterAutospacing="0" w:line="240" w:lineRule="auto"/>
        <w:jc w:val="center"/>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第二章  资金使用范围</w:t>
      </w:r>
    </w:p>
    <w:p>
      <w:pPr>
        <w:pStyle w:val="5"/>
        <w:spacing w:before="0" w:beforeAutospacing="0" w:after="0" w:afterAutospacing="0" w:line="240" w:lineRule="auto"/>
        <w:ind w:firstLine="640" w:firstLineChars="200"/>
        <w:jc w:val="both"/>
        <w:rPr>
          <w:rFonts w:ascii="仿宋" w:hAnsi="仿宋" w:eastAsia="仿宋"/>
          <w:color w:val="auto"/>
          <w:sz w:val="32"/>
          <w:szCs w:val="32"/>
        </w:rPr>
      </w:pPr>
      <w:r>
        <w:rPr>
          <w:rFonts w:hint="eastAsia" w:ascii="仿宋" w:hAnsi="仿宋" w:eastAsia="仿宋"/>
          <w:color w:val="auto"/>
          <w:sz w:val="32"/>
          <w:szCs w:val="32"/>
        </w:rPr>
        <w:t>第五条 专项资金严格按照上级部门确定的资金支持方向，重点支持如下内容。</w:t>
      </w:r>
    </w:p>
    <w:p>
      <w:pPr>
        <w:pStyle w:val="5"/>
        <w:spacing w:before="0" w:beforeAutospacing="0" w:after="0" w:afterAutospacing="0" w:line="240" w:lineRule="auto"/>
        <w:ind w:firstLine="640" w:firstLineChars="200"/>
        <w:jc w:val="both"/>
        <w:rPr>
          <w:rFonts w:ascii="仿宋" w:hAnsi="仿宋" w:eastAsia="仿宋"/>
          <w:color w:val="auto"/>
          <w:sz w:val="32"/>
          <w:szCs w:val="32"/>
        </w:rPr>
      </w:pPr>
      <w:r>
        <w:rPr>
          <w:rFonts w:hint="eastAsia" w:ascii="仿宋" w:hAnsi="仿宋" w:eastAsia="仿宋"/>
          <w:color w:val="auto"/>
          <w:sz w:val="32"/>
          <w:szCs w:val="32"/>
        </w:rPr>
        <w:t>（一）促进农村产品上行体系建设。主要包括：质量检测基础设施建设及运行支撑、溯源体系基础建设及运行支撑、品牌推广与展示基础设施建设、电商进农村业务宣传、上行农产品品牌建设、物流配送体系建设，以及对电商孵化、电商产业领域先进集体（个人）、地方特色典型项目等进行奖补，提供电商创业人员贷款担保金等。其中，省级财政资金支持比例为3</w:t>
      </w:r>
      <w:r>
        <w:rPr>
          <w:rFonts w:ascii="仿宋" w:hAnsi="仿宋" w:eastAsia="仿宋"/>
          <w:color w:val="auto"/>
          <w:sz w:val="32"/>
          <w:szCs w:val="32"/>
        </w:rPr>
        <w:t>0</w:t>
      </w:r>
      <w:r>
        <w:rPr>
          <w:rFonts w:hint="eastAsia" w:ascii="仿宋" w:hAnsi="仿宋" w:eastAsia="仿宋"/>
          <w:color w:val="auto"/>
          <w:sz w:val="32"/>
          <w:szCs w:val="32"/>
        </w:rPr>
        <w:t>%。</w:t>
      </w:r>
    </w:p>
    <w:p>
      <w:pPr>
        <w:pStyle w:val="5"/>
        <w:spacing w:before="0" w:beforeAutospacing="0" w:after="0" w:afterAutospacing="0" w:line="240" w:lineRule="auto"/>
        <w:ind w:firstLine="640" w:firstLineChars="200"/>
        <w:jc w:val="both"/>
        <w:rPr>
          <w:rFonts w:ascii="仿宋" w:hAnsi="仿宋" w:eastAsia="仿宋"/>
          <w:color w:val="auto"/>
          <w:sz w:val="32"/>
          <w:szCs w:val="32"/>
        </w:rPr>
      </w:pPr>
      <w:r>
        <w:rPr>
          <w:rFonts w:hint="eastAsia" w:ascii="仿宋" w:hAnsi="仿宋" w:eastAsia="仿宋"/>
          <w:color w:val="auto"/>
          <w:sz w:val="32"/>
          <w:szCs w:val="32"/>
        </w:rPr>
        <w:t>（二）三级电子商务公共服务体系建设。主要包括：建设县级电子商务公共服务中心1个，镇级电商服务站1</w:t>
      </w:r>
      <w:r>
        <w:rPr>
          <w:rFonts w:ascii="仿宋" w:hAnsi="仿宋" w:eastAsia="仿宋"/>
          <w:color w:val="auto"/>
          <w:sz w:val="32"/>
          <w:szCs w:val="32"/>
        </w:rPr>
        <w:t>3</w:t>
      </w:r>
      <w:r>
        <w:rPr>
          <w:rFonts w:hint="eastAsia" w:ascii="仿宋" w:hAnsi="仿宋" w:eastAsia="仿宋"/>
          <w:color w:val="auto"/>
          <w:sz w:val="32"/>
          <w:szCs w:val="32"/>
        </w:rPr>
        <w:t>个，村级电商服务点1</w:t>
      </w:r>
      <w:r>
        <w:rPr>
          <w:rFonts w:ascii="仿宋" w:hAnsi="仿宋" w:eastAsia="仿宋"/>
          <w:color w:val="auto"/>
          <w:sz w:val="32"/>
          <w:szCs w:val="32"/>
        </w:rPr>
        <w:t>12</w:t>
      </w:r>
      <w:r>
        <w:rPr>
          <w:rFonts w:hint="eastAsia" w:ascii="仿宋" w:hAnsi="仿宋" w:eastAsia="仿宋"/>
          <w:color w:val="auto"/>
          <w:sz w:val="32"/>
          <w:szCs w:val="32"/>
        </w:rPr>
        <w:t>个（7</w:t>
      </w:r>
      <w:r>
        <w:rPr>
          <w:rFonts w:ascii="仿宋" w:hAnsi="仿宋" w:eastAsia="仿宋"/>
          <w:color w:val="auto"/>
          <w:sz w:val="32"/>
          <w:szCs w:val="32"/>
        </w:rPr>
        <w:t>0</w:t>
      </w:r>
      <w:r>
        <w:rPr>
          <w:rFonts w:hint="eastAsia" w:ascii="仿宋" w:hAnsi="仿宋" w:eastAsia="仿宋"/>
          <w:color w:val="auto"/>
          <w:sz w:val="32"/>
          <w:szCs w:val="32"/>
        </w:rPr>
        <w:t>%村级覆盖率，贫困村全覆盖）。其中，省级财政资金支持比例为5</w:t>
      </w:r>
      <w:r>
        <w:rPr>
          <w:rFonts w:ascii="仿宋" w:hAnsi="仿宋" w:eastAsia="仿宋"/>
          <w:color w:val="auto"/>
          <w:sz w:val="32"/>
          <w:szCs w:val="32"/>
        </w:rPr>
        <w:t>0</w:t>
      </w:r>
      <w:r>
        <w:rPr>
          <w:rFonts w:hint="eastAsia" w:ascii="仿宋" w:hAnsi="仿宋" w:eastAsia="仿宋"/>
          <w:color w:val="auto"/>
          <w:sz w:val="32"/>
          <w:szCs w:val="32"/>
        </w:rPr>
        <w:t>%。</w:t>
      </w:r>
    </w:p>
    <w:p>
      <w:pPr>
        <w:pStyle w:val="5"/>
        <w:spacing w:before="0" w:beforeAutospacing="0" w:after="0" w:afterAutospacing="0" w:line="240" w:lineRule="auto"/>
        <w:ind w:firstLine="640" w:firstLineChars="200"/>
        <w:jc w:val="both"/>
        <w:rPr>
          <w:rFonts w:ascii="仿宋" w:hAnsi="仿宋" w:eastAsia="仿宋"/>
          <w:color w:val="auto"/>
          <w:sz w:val="32"/>
          <w:szCs w:val="32"/>
        </w:rPr>
      </w:pPr>
      <w:r>
        <w:rPr>
          <w:rFonts w:hint="eastAsia" w:ascii="仿宋" w:hAnsi="仿宋" w:eastAsia="仿宋"/>
          <w:color w:val="auto"/>
          <w:sz w:val="32"/>
          <w:szCs w:val="32"/>
        </w:rPr>
        <w:t>（三）电子商务进农村培训体系建设。通过有规划、有步骤的培训，为农村电商各级各类参与者提供系统化的培训支持，计划完成不少于</w:t>
      </w:r>
      <w:r>
        <w:rPr>
          <w:rFonts w:ascii="仿宋" w:hAnsi="仿宋" w:eastAsia="仿宋"/>
          <w:color w:val="auto"/>
          <w:sz w:val="32"/>
          <w:szCs w:val="32"/>
        </w:rPr>
        <w:t>4000人次的各类电商从业人员培训，其中有劳动能力的建档立卡贫困人口培训率达到50%</w:t>
      </w:r>
      <w:r>
        <w:rPr>
          <w:rFonts w:hint="eastAsia" w:ascii="仿宋" w:hAnsi="仿宋" w:eastAsia="仿宋"/>
          <w:color w:val="auto"/>
          <w:sz w:val="32"/>
          <w:szCs w:val="32"/>
        </w:rPr>
        <w:t>。其中，省级财政资金支持比例为2</w:t>
      </w:r>
      <w:r>
        <w:rPr>
          <w:rFonts w:ascii="仿宋" w:hAnsi="仿宋" w:eastAsia="仿宋"/>
          <w:color w:val="auto"/>
          <w:sz w:val="32"/>
          <w:szCs w:val="32"/>
        </w:rPr>
        <w:t>0</w:t>
      </w:r>
      <w:r>
        <w:rPr>
          <w:rFonts w:hint="eastAsia" w:ascii="仿宋" w:hAnsi="仿宋" w:eastAsia="仿宋"/>
          <w:color w:val="auto"/>
          <w:sz w:val="32"/>
          <w:szCs w:val="32"/>
        </w:rPr>
        <w:t>%。</w:t>
      </w:r>
    </w:p>
    <w:p>
      <w:pPr>
        <w:pStyle w:val="5"/>
        <w:spacing w:before="0" w:beforeAutospacing="0" w:after="0" w:afterAutospacing="0" w:line="240" w:lineRule="auto"/>
        <w:ind w:firstLine="640" w:firstLineChars="200"/>
        <w:jc w:val="both"/>
        <w:rPr>
          <w:rFonts w:ascii="仿宋" w:hAnsi="仿宋" w:eastAsia="仿宋"/>
          <w:color w:val="auto"/>
          <w:sz w:val="32"/>
          <w:szCs w:val="32"/>
        </w:rPr>
      </w:pPr>
      <w:r>
        <w:rPr>
          <w:rFonts w:hint="eastAsia" w:ascii="仿宋" w:hAnsi="仿宋" w:eastAsia="仿宋"/>
          <w:color w:val="auto"/>
          <w:sz w:val="32"/>
          <w:szCs w:val="32"/>
        </w:rPr>
        <w:t>第六条 省级财政资金不得用于网络交易平台和楼堂馆所建设、日常工作经费及购买流量等支出。</w:t>
      </w:r>
    </w:p>
    <w:p>
      <w:pPr>
        <w:pStyle w:val="5"/>
        <w:spacing w:before="0" w:beforeAutospacing="0" w:after="0" w:afterAutospacing="0" w:line="240" w:lineRule="auto"/>
        <w:jc w:val="center"/>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第三章  资金的审批和拨付</w:t>
      </w:r>
    </w:p>
    <w:p>
      <w:pPr>
        <w:pStyle w:val="5"/>
        <w:spacing w:before="0" w:beforeAutospacing="0" w:after="0" w:afterAutospacing="0" w:line="240" w:lineRule="auto"/>
        <w:ind w:firstLine="640" w:firstLineChars="200"/>
        <w:jc w:val="both"/>
        <w:rPr>
          <w:rFonts w:ascii="仿宋" w:hAnsi="仿宋" w:eastAsia="仿宋"/>
          <w:color w:val="auto"/>
          <w:sz w:val="32"/>
          <w:szCs w:val="32"/>
        </w:rPr>
      </w:pPr>
      <w:r>
        <w:rPr>
          <w:rFonts w:ascii="仿宋" w:hAnsi="仿宋" w:eastAsia="仿宋"/>
          <w:color w:val="auto"/>
          <w:sz w:val="32"/>
          <w:szCs w:val="32"/>
        </w:rPr>
        <w:t>第</w:t>
      </w:r>
      <w:r>
        <w:rPr>
          <w:rFonts w:hint="eastAsia" w:ascii="仿宋" w:hAnsi="仿宋" w:eastAsia="仿宋"/>
          <w:color w:val="auto"/>
          <w:sz w:val="32"/>
          <w:szCs w:val="32"/>
        </w:rPr>
        <w:t>七</w:t>
      </w:r>
      <w:r>
        <w:rPr>
          <w:rFonts w:ascii="仿宋" w:hAnsi="仿宋" w:eastAsia="仿宋"/>
          <w:color w:val="auto"/>
          <w:sz w:val="32"/>
          <w:szCs w:val="32"/>
        </w:rPr>
        <w:t>条 通过公开招标</w:t>
      </w:r>
      <w:r>
        <w:rPr>
          <w:rFonts w:hint="eastAsia" w:ascii="仿宋" w:hAnsi="仿宋" w:eastAsia="仿宋"/>
          <w:color w:val="auto"/>
          <w:sz w:val="32"/>
          <w:szCs w:val="32"/>
        </w:rPr>
        <w:t>的</w:t>
      </w:r>
      <w:r>
        <w:rPr>
          <w:rFonts w:ascii="仿宋" w:hAnsi="仿宋" w:eastAsia="仿宋"/>
          <w:color w:val="auto"/>
          <w:sz w:val="32"/>
          <w:szCs w:val="32"/>
        </w:rPr>
        <w:t>形式选择具备实施经验与能力的企业</w:t>
      </w:r>
      <w:r>
        <w:rPr>
          <w:rFonts w:hint="eastAsia" w:ascii="仿宋" w:hAnsi="仿宋" w:eastAsia="仿宋"/>
          <w:color w:val="auto"/>
          <w:sz w:val="32"/>
          <w:szCs w:val="32"/>
        </w:rPr>
        <w:t>作为项目承办企业，招标信息、中标结果在广东省政府采购网站和连平县政府门户网站公示。</w:t>
      </w:r>
    </w:p>
    <w:p>
      <w:pPr>
        <w:pStyle w:val="5"/>
        <w:spacing w:before="0" w:beforeAutospacing="0" w:after="0" w:afterAutospacing="0" w:line="240" w:lineRule="auto"/>
        <w:ind w:firstLine="640" w:firstLineChars="200"/>
        <w:jc w:val="both"/>
        <w:rPr>
          <w:rFonts w:ascii="仿宋" w:hAnsi="仿宋" w:eastAsia="仿宋"/>
          <w:color w:val="auto"/>
          <w:sz w:val="32"/>
          <w:szCs w:val="32"/>
        </w:rPr>
      </w:pPr>
      <w:r>
        <w:rPr>
          <w:rFonts w:ascii="仿宋" w:hAnsi="仿宋" w:eastAsia="仿宋"/>
          <w:color w:val="auto"/>
          <w:sz w:val="32"/>
          <w:szCs w:val="32"/>
        </w:rPr>
        <w:t>第</w:t>
      </w:r>
      <w:r>
        <w:rPr>
          <w:rFonts w:hint="eastAsia" w:ascii="仿宋" w:hAnsi="仿宋" w:eastAsia="仿宋"/>
          <w:color w:val="auto"/>
          <w:sz w:val="32"/>
          <w:szCs w:val="32"/>
        </w:rPr>
        <w:t>八</w:t>
      </w:r>
      <w:r>
        <w:rPr>
          <w:rFonts w:ascii="仿宋" w:hAnsi="仿宋" w:eastAsia="仿宋"/>
          <w:color w:val="auto"/>
          <w:sz w:val="32"/>
          <w:szCs w:val="32"/>
        </w:rPr>
        <w:t>条</w:t>
      </w:r>
      <w:r>
        <w:rPr>
          <w:rFonts w:hint="eastAsia" w:ascii="仿宋" w:hAnsi="仿宋" w:eastAsia="仿宋"/>
          <w:color w:val="auto"/>
          <w:sz w:val="32"/>
          <w:szCs w:val="32"/>
        </w:rPr>
        <w:t xml:space="preserve"> 专项资金按照项目合同及工程进度拨付（具体进度及拨付比例按招标文件及正式签订的项目服务合同执行）。</w:t>
      </w:r>
    </w:p>
    <w:p>
      <w:pPr>
        <w:pStyle w:val="5"/>
        <w:spacing w:before="0" w:beforeAutospacing="0" w:after="0" w:afterAutospacing="0" w:line="240" w:lineRule="auto"/>
        <w:jc w:val="center"/>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第四章 资金的管理和监督</w:t>
      </w:r>
    </w:p>
    <w:p>
      <w:pPr>
        <w:pStyle w:val="5"/>
        <w:spacing w:before="0" w:beforeAutospacing="0" w:after="0" w:afterAutospacing="0" w:line="240" w:lineRule="auto"/>
        <w:ind w:firstLine="640" w:firstLineChars="200"/>
        <w:jc w:val="both"/>
        <w:rPr>
          <w:rFonts w:ascii="仿宋" w:hAnsi="仿宋" w:eastAsia="仿宋"/>
          <w:color w:val="auto"/>
          <w:sz w:val="32"/>
          <w:szCs w:val="32"/>
        </w:rPr>
      </w:pPr>
      <w:r>
        <w:rPr>
          <w:rFonts w:ascii="仿宋" w:hAnsi="仿宋" w:eastAsia="仿宋"/>
          <w:color w:val="auto"/>
          <w:sz w:val="32"/>
          <w:szCs w:val="32"/>
        </w:rPr>
        <w:t>第</w:t>
      </w:r>
      <w:r>
        <w:rPr>
          <w:rFonts w:hint="eastAsia" w:ascii="仿宋" w:hAnsi="仿宋" w:eastAsia="仿宋"/>
          <w:color w:val="auto"/>
          <w:sz w:val="32"/>
          <w:szCs w:val="32"/>
        </w:rPr>
        <w:t>九</w:t>
      </w:r>
      <w:r>
        <w:rPr>
          <w:rFonts w:ascii="仿宋" w:hAnsi="仿宋" w:eastAsia="仿宋"/>
          <w:color w:val="auto"/>
          <w:sz w:val="32"/>
          <w:szCs w:val="32"/>
        </w:rPr>
        <w:t>条</w:t>
      </w:r>
      <w:r>
        <w:rPr>
          <w:rFonts w:hint="eastAsia" w:ascii="仿宋" w:hAnsi="仿宋" w:eastAsia="仿宋"/>
          <w:color w:val="auto"/>
          <w:sz w:val="32"/>
          <w:szCs w:val="32"/>
        </w:rPr>
        <w:t xml:space="preserve"> </w:t>
      </w:r>
      <w:r>
        <w:rPr>
          <w:rFonts w:hint="eastAsia" w:ascii="仿宋" w:hAnsi="仿宋" w:eastAsia="仿宋"/>
          <w:color w:val="auto"/>
          <w:sz w:val="32"/>
          <w:szCs w:val="32"/>
          <w:lang w:eastAsia="zh-CN"/>
        </w:rPr>
        <w:t>县工商信局</w:t>
      </w:r>
      <w:r>
        <w:rPr>
          <w:rFonts w:hint="eastAsia" w:ascii="仿宋" w:hAnsi="仿宋" w:eastAsia="仿宋"/>
          <w:color w:val="auto"/>
          <w:sz w:val="32"/>
          <w:szCs w:val="32"/>
        </w:rPr>
        <w:t>、县财政局作为专项资金的管理单位，分别履行以下管理职责。</w:t>
      </w:r>
    </w:p>
    <w:p>
      <w:pPr>
        <w:pStyle w:val="5"/>
        <w:spacing w:before="0" w:beforeAutospacing="0" w:after="0" w:afterAutospacing="0" w:line="240" w:lineRule="auto"/>
        <w:ind w:firstLine="640" w:firstLineChars="200"/>
        <w:rPr>
          <w:rFonts w:ascii="仿宋" w:hAnsi="仿宋" w:eastAsia="仿宋"/>
          <w:color w:val="auto"/>
          <w:sz w:val="32"/>
          <w:szCs w:val="32"/>
        </w:rPr>
      </w:pPr>
      <w:r>
        <w:rPr>
          <w:rFonts w:hint="eastAsia" w:ascii="仿宋" w:hAnsi="仿宋" w:eastAsia="仿宋"/>
          <w:color w:val="auto"/>
          <w:sz w:val="32"/>
          <w:szCs w:val="32"/>
        </w:rPr>
        <w:t>（一）</w:t>
      </w:r>
      <w:r>
        <w:rPr>
          <w:rFonts w:hint="eastAsia" w:ascii="仿宋" w:hAnsi="仿宋" w:eastAsia="仿宋"/>
          <w:color w:val="auto"/>
          <w:sz w:val="32"/>
          <w:szCs w:val="32"/>
          <w:lang w:eastAsia="zh-CN"/>
        </w:rPr>
        <w:t>县工商信局</w:t>
      </w:r>
      <w:r>
        <w:rPr>
          <w:rFonts w:hint="eastAsia" w:ascii="仿宋" w:hAnsi="仿宋" w:eastAsia="仿宋"/>
          <w:color w:val="auto"/>
          <w:sz w:val="32"/>
          <w:szCs w:val="32"/>
        </w:rPr>
        <w:t>负责提出具体工作方案及预算初步建议，组织项目公开招标、实施、管理、验收等工作，执行上级有关部门的指导。</w:t>
      </w:r>
    </w:p>
    <w:p>
      <w:pPr>
        <w:pStyle w:val="5"/>
        <w:spacing w:before="0" w:beforeAutospacing="0" w:after="0" w:afterAutospacing="0" w:line="240" w:lineRule="auto"/>
        <w:ind w:firstLine="640" w:firstLineChars="200"/>
        <w:jc w:val="both"/>
        <w:rPr>
          <w:rFonts w:ascii="仿宋" w:hAnsi="仿宋" w:eastAsia="仿宋"/>
          <w:color w:val="auto"/>
          <w:sz w:val="32"/>
          <w:szCs w:val="32"/>
        </w:rPr>
      </w:pPr>
      <w:r>
        <w:rPr>
          <w:rFonts w:hint="eastAsia" w:ascii="仿宋" w:hAnsi="仿宋" w:eastAsia="仿宋"/>
          <w:color w:val="auto"/>
          <w:sz w:val="32"/>
          <w:szCs w:val="32"/>
        </w:rPr>
        <w:t>（二）县财政局负责审核</w:t>
      </w:r>
      <w:r>
        <w:rPr>
          <w:rFonts w:hint="eastAsia" w:ascii="仿宋" w:hAnsi="仿宋" w:eastAsia="仿宋"/>
          <w:color w:val="auto"/>
          <w:sz w:val="32"/>
          <w:szCs w:val="32"/>
          <w:lang w:eastAsia="zh-CN"/>
        </w:rPr>
        <w:t>县工商信局</w:t>
      </w:r>
      <w:r>
        <w:rPr>
          <w:rFonts w:hint="eastAsia" w:ascii="仿宋" w:hAnsi="仿宋" w:eastAsia="仿宋"/>
          <w:color w:val="auto"/>
          <w:sz w:val="32"/>
          <w:szCs w:val="32"/>
        </w:rPr>
        <w:t>提出的工作方案及预算初步建议，下达预算及拨付资金，对资金的使用及绩效情况进行监督检查。</w:t>
      </w:r>
    </w:p>
    <w:p>
      <w:pPr>
        <w:pStyle w:val="5"/>
        <w:spacing w:before="0" w:beforeAutospacing="0" w:after="0" w:afterAutospacing="0" w:line="240" w:lineRule="auto"/>
        <w:ind w:firstLine="640" w:firstLineChars="200"/>
        <w:jc w:val="both"/>
        <w:rPr>
          <w:rFonts w:ascii="仿宋" w:hAnsi="仿宋" w:eastAsia="仿宋"/>
          <w:color w:val="auto"/>
          <w:sz w:val="32"/>
          <w:szCs w:val="32"/>
        </w:rPr>
      </w:pPr>
      <w:r>
        <w:rPr>
          <w:rFonts w:hint="eastAsia" w:ascii="仿宋" w:hAnsi="仿宋" w:eastAsia="仿宋"/>
          <w:color w:val="auto"/>
          <w:sz w:val="32"/>
          <w:szCs w:val="32"/>
        </w:rPr>
        <w:t xml:space="preserve">第十条 </w:t>
      </w:r>
      <w:r>
        <w:rPr>
          <w:rFonts w:hint="eastAsia" w:ascii="仿宋" w:hAnsi="仿宋" w:eastAsia="仿宋"/>
          <w:color w:val="auto"/>
          <w:sz w:val="32"/>
          <w:szCs w:val="32"/>
          <w:lang w:eastAsia="zh-CN"/>
        </w:rPr>
        <w:t>县工商信局</w:t>
      </w:r>
      <w:r>
        <w:rPr>
          <w:rFonts w:hint="eastAsia" w:ascii="仿宋" w:hAnsi="仿宋" w:eastAsia="仿宋"/>
          <w:color w:val="auto"/>
          <w:sz w:val="32"/>
          <w:szCs w:val="32"/>
        </w:rPr>
        <w:t>、县财政局</w:t>
      </w:r>
      <w:r>
        <w:rPr>
          <w:rFonts w:ascii="仿宋" w:hAnsi="仿宋" w:eastAsia="仿宋"/>
          <w:color w:val="auto"/>
          <w:sz w:val="32"/>
          <w:szCs w:val="32"/>
        </w:rPr>
        <w:t>应</w:t>
      </w:r>
      <w:r>
        <w:rPr>
          <w:rFonts w:hint="eastAsia" w:ascii="仿宋" w:hAnsi="仿宋" w:eastAsia="仿宋"/>
          <w:color w:val="auto"/>
          <w:sz w:val="32"/>
          <w:szCs w:val="32"/>
        </w:rPr>
        <w:t>加强对项目实施、资金使用情况的监督管理，分阶段对项目进度、完成效果等进行评估和考核，发现问题及时纠正处理。承办企业按时限、按标准完成建设任务的，分阶段拨付项目建设经费；承办企业不能按时按标准完成项目建设任务的，限时督办完成，对经督办仍不能完成项目建设任务的，由</w:t>
      </w:r>
      <w:r>
        <w:rPr>
          <w:rFonts w:hint="eastAsia" w:ascii="仿宋" w:hAnsi="仿宋" w:eastAsia="仿宋"/>
          <w:color w:val="auto"/>
          <w:sz w:val="32"/>
          <w:szCs w:val="32"/>
          <w:lang w:eastAsia="zh-CN"/>
        </w:rPr>
        <w:t>县工商信局</w:t>
      </w:r>
      <w:r>
        <w:rPr>
          <w:rFonts w:hint="eastAsia" w:ascii="仿宋" w:hAnsi="仿宋" w:eastAsia="仿宋"/>
          <w:color w:val="auto"/>
          <w:sz w:val="32"/>
          <w:szCs w:val="32"/>
        </w:rPr>
        <w:t>终止相关承办协议，另行选定项目承办企业，并按相关协议依法追究承办企业的违约责任。</w:t>
      </w:r>
    </w:p>
    <w:p>
      <w:pPr>
        <w:pStyle w:val="5"/>
        <w:spacing w:before="0" w:beforeAutospacing="0" w:after="0" w:afterAutospacing="0" w:line="240" w:lineRule="auto"/>
        <w:ind w:firstLine="640" w:firstLineChars="200"/>
        <w:jc w:val="both"/>
        <w:rPr>
          <w:rFonts w:ascii="仿宋" w:hAnsi="仿宋" w:eastAsia="仿宋"/>
          <w:color w:val="auto"/>
          <w:sz w:val="32"/>
          <w:szCs w:val="32"/>
        </w:rPr>
      </w:pPr>
      <w:r>
        <w:rPr>
          <w:rFonts w:hint="eastAsia" w:ascii="仿宋" w:hAnsi="仿宋" w:eastAsia="仿宋"/>
          <w:color w:val="auto"/>
          <w:sz w:val="32"/>
          <w:szCs w:val="32"/>
        </w:rPr>
        <w:t>第十一条 承办企业要加强财务基础管理工作，建立健全专项资金使用台账，规范财务核算工作，及时、全面、客观反映专项资金收支情况，按要求做好财务决算。加强档案资料管理，确保与专项资金申请、使用相关的凭证、票据、合同、资料等按规定保管。</w:t>
      </w:r>
    </w:p>
    <w:p>
      <w:pPr>
        <w:pStyle w:val="5"/>
        <w:spacing w:before="0" w:beforeAutospacing="0" w:after="0" w:afterAutospacing="0" w:line="240" w:lineRule="auto"/>
        <w:ind w:firstLine="640" w:firstLineChars="200"/>
        <w:jc w:val="both"/>
        <w:rPr>
          <w:rFonts w:ascii="仿宋" w:hAnsi="仿宋" w:eastAsia="仿宋"/>
          <w:color w:val="auto"/>
          <w:sz w:val="32"/>
          <w:szCs w:val="32"/>
        </w:rPr>
      </w:pPr>
      <w:r>
        <w:rPr>
          <w:rFonts w:ascii="仿宋" w:hAnsi="仿宋" w:eastAsia="仿宋"/>
          <w:color w:val="auto"/>
          <w:sz w:val="32"/>
          <w:szCs w:val="32"/>
        </w:rPr>
        <w:t>第</w:t>
      </w:r>
      <w:r>
        <w:rPr>
          <w:rFonts w:hint="eastAsia" w:ascii="仿宋" w:hAnsi="仿宋" w:eastAsia="仿宋"/>
          <w:color w:val="auto"/>
          <w:sz w:val="32"/>
          <w:szCs w:val="32"/>
        </w:rPr>
        <w:t>十二</w:t>
      </w:r>
      <w:r>
        <w:rPr>
          <w:rFonts w:ascii="仿宋" w:hAnsi="仿宋" w:eastAsia="仿宋"/>
          <w:color w:val="auto"/>
          <w:sz w:val="32"/>
          <w:szCs w:val="32"/>
        </w:rPr>
        <w:t>条</w:t>
      </w:r>
      <w:r>
        <w:rPr>
          <w:rFonts w:hint="eastAsia" w:ascii="仿宋" w:hAnsi="仿宋" w:eastAsia="仿宋"/>
          <w:color w:val="auto"/>
          <w:sz w:val="32"/>
          <w:szCs w:val="32"/>
        </w:rPr>
        <w:t xml:space="preserve"> 承办企业对专项资金进行专款专用，并每月定期向</w:t>
      </w:r>
      <w:r>
        <w:rPr>
          <w:rFonts w:hint="eastAsia" w:ascii="仿宋" w:hAnsi="仿宋" w:eastAsia="仿宋"/>
          <w:color w:val="auto"/>
          <w:sz w:val="32"/>
          <w:szCs w:val="32"/>
          <w:lang w:eastAsia="zh-CN"/>
        </w:rPr>
        <w:t>县工商信局</w:t>
      </w:r>
      <w:r>
        <w:rPr>
          <w:rFonts w:hint="eastAsia" w:ascii="仿宋" w:hAnsi="仿宋" w:eastAsia="仿宋"/>
          <w:color w:val="auto"/>
          <w:sz w:val="32"/>
          <w:szCs w:val="32"/>
        </w:rPr>
        <w:t>提交书面材料，及时报告项目建设进度及资金使用情况。对违反规定使用专项资金的承办企业，一经查实，将全额追回已拨付的款项，并取消该承办企业的项目实施资格，</w:t>
      </w:r>
      <w:r>
        <w:rPr>
          <w:rFonts w:ascii="仿宋" w:hAnsi="仿宋" w:eastAsia="仿宋"/>
          <w:color w:val="auto"/>
          <w:sz w:val="32"/>
          <w:szCs w:val="32"/>
        </w:rPr>
        <w:t>3年内不得申报本县范围内其他任何电子商务扶持资金项目。对弄虚作假、截留、挪用、挤占专项资金等行为，一经查实，将根据有关法律法规依法进行严肃处理。构成犯罪的，将依法追究刑事责任。</w:t>
      </w:r>
    </w:p>
    <w:p>
      <w:pPr>
        <w:pStyle w:val="5"/>
        <w:spacing w:before="0" w:beforeAutospacing="0" w:after="0" w:afterAutospacing="0" w:line="240" w:lineRule="auto"/>
        <w:ind w:firstLine="640" w:firstLineChars="200"/>
        <w:jc w:val="both"/>
        <w:rPr>
          <w:rFonts w:ascii="仿宋" w:hAnsi="仿宋" w:eastAsia="仿宋"/>
          <w:color w:val="auto"/>
          <w:sz w:val="32"/>
          <w:szCs w:val="32"/>
        </w:rPr>
      </w:pPr>
      <w:r>
        <w:rPr>
          <w:rFonts w:hint="eastAsia" w:ascii="仿宋" w:hAnsi="仿宋" w:eastAsia="仿宋"/>
          <w:color w:val="auto"/>
          <w:sz w:val="32"/>
          <w:szCs w:val="32"/>
        </w:rPr>
        <w:t xml:space="preserve">第十三条 </w:t>
      </w:r>
      <w:r>
        <w:rPr>
          <w:rFonts w:hint="eastAsia" w:ascii="仿宋" w:hAnsi="仿宋" w:eastAsia="仿宋"/>
          <w:color w:val="auto"/>
          <w:sz w:val="32"/>
          <w:szCs w:val="32"/>
          <w:lang w:eastAsia="zh-CN"/>
        </w:rPr>
        <w:t>县工商信局</w:t>
      </w:r>
      <w:r>
        <w:rPr>
          <w:rFonts w:hint="eastAsia" w:ascii="仿宋" w:hAnsi="仿宋" w:eastAsia="仿宋"/>
          <w:color w:val="auto"/>
          <w:sz w:val="32"/>
          <w:szCs w:val="32"/>
        </w:rPr>
        <w:t>会同县财政局按相关要求及时上报市商务局、省商务厅项目进展、资金到位和项目管理等相关情况，加强与上级部门联系，争取上级部门指导与支持。</w:t>
      </w:r>
    </w:p>
    <w:p>
      <w:pPr>
        <w:pStyle w:val="5"/>
        <w:spacing w:before="0" w:beforeAutospacing="0" w:after="0" w:afterAutospacing="0" w:line="240" w:lineRule="auto"/>
        <w:jc w:val="center"/>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第五章  附则</w:t>
      </w:r>
    </w:p>
    <w:p>
      <w:pPr>
        <w:pStyle w:val="5"/>
        <w:spacing w:before="0" w:beforeAutospacing="0" w:after="0" w:afterAutospacing="0" w:line="240" w:lineRule="auto"/>
        <w:ind w:firstLine="640" w:firstLineChars="200"/>
        <w:rPr>
          <w:rFonts w:ascii="仿宋" w:hAnsi="仿宋" w:eastAsia="仿宋"/>
          <w:color w:val="auto"/>
          <w:sz w:val="32"/>
          <w:szCs w:val="32"/>
        </w:rPr>
      </w:pPr>
      <w:r>
        <w:rPr>
          <w:rFonts w:ascii="仿宋" w:hAnsi="仿宋" w:eastAsia="仿宋"/>
          <w:color w:val="auto"/>
          <w:sz w:val="32"/>
          <w:szCs w:val="32"/>
        </w:rPr>
        <w:t>第十</w:t>
      </w:r>
      <w:r>
        <w:rPr>
          <w:rFonts w:hint="eastAsia" w:ascii="仿宋" w:hAnsi="仿宋" w:eastAsia="仿宋"/>
          <w:color w:val="auto"/>
          <w:sz w:val="32"/>
          <w:szCs w:val="32"/>
        </w:rPr>
        <w:t>四</w:t>
      </w:r>
      <w:r>
        <w:rPr>
          <w:rFonts w:ascii="仿宋" w:hAnsi="仿宋" w:eastAsia="仿宋"/>
          <w:color w:val="auto"/>
          <w:sz w:val="32"/>
          <w:szCs w:val="32"/>
        </w:rPr>
        <w:t>条</w:t>
      </w:r>
      <w:r>
        <w:rPr>
          <w:rFonts w:hint="eastAsia" w:ascii="仿宋" w:hAnsi="仿宋" w:eastAsia="仿宋"/>
          <w:color w:val="auto"/>
          <w:sz w:val="32"/>
          <w:szCs w:val="32"/>
        </w:rPr>
        <w:t xml:space="preserve"> 本办法由</w:t>
      </w:r>
      <w:bookmarkStart w:id="1" w:name="_GoBack"/>
      <w:r>
        <w:rPr>
          <w:rFonts w:hint="eastAsia" w:ascii="仿宋" w:hAnsi="仿宋" w:eastAsia="仿宋"/>
          <w:color w:val="auto"/>
          <w:sz w:val="32"/>
          <w:szCs w:val="32"/>
          <w:lang w:eastAsia="zh-CN"/>
        </w:rPr>
        <w:t>县工商信</w:t>
      </w:r>
      <w:bookmarkEnd w:id="1"/>
      <w:r>
        <w:rPr>
          <w:rFonts w:hint="eastAsia" w:ascii="仿宋" w:hAnsi="仿宋" w:eastAsia="仿宋"/>
          <w:color w:val="auto"/>
          <w:sz w:val="32"/>
          <w:szCs w:val="32"/>
          <w:lang w:eastAsia="zh-CN"/>
        </w:rPr>
        <w:t>局</w:t>
      </w:r>
      <w:r>
        <w:rPr>
          <w:rFonts w:hint="eastAsia" w:ascii="仿宋" w:hAnsi="仿宋" w:eastAsia="仿宋"/>
          <w:color w:val="auto"/>
          <w:sz w:val="32"/>
          <w:szCs w:val="32"/>
        </w:rPr>
        <w:t>会同县财政局负责解释。</w:t>
      </w:r>
    </w:p>
    <w:p>
      <w:pPr>
        <w:pStyle w:val="5"/>
        <w:spacing w:before="0" w:beforeAutospacing="0" w:after="0" w:afterAutospacing="0" w:line="240" w:lineRule="auto"/>
        <w:ind w:firstLine="640" w:firstLineChars="200"/>
        <w:jc w:val="both"/>
        <w:rPr>
          <w:rFonts w:ascii="仿宋" w:hAnsi="仿宋" w:eastAsia="仿宋"/>
          <w:color w:val="auto"/>
          <w:sz w:val="32"/>
          <w:szCs w:val="32"/>
        </w:rPr>
      </w:pPr>
      <w:r>
        <w:rPr>
          <w:rFonts w:hint="eastAsia" w:ascii="仿宋" w:hAnsi="仿宋" w:eastAsia="仿宋"/>
          <w:color w:val="auto"/>
          <w:sz w:val="32"/>
          <w:szCs w:val="32"/>
        </w:rPr>
        <w:t xml:space="preserve">第十五条 </w:t>
      </w:r>
      <w:r>
        <w:rPr>
          <w:rFonts w:ascii="仿宋" w:hAnsi="仿宋" w:eastAsia="仿宋"/>
          <w:color w:val="auto"/>
          <w:sz w:val="32"/>
          <w:szCs w:val="32"/>
        </w:rPr>
        <w:t>本办法自发布之日起实施，至项目</w:t>
      </w:r>
      <w:r>
        <w:rPr>
          <w:rFonts w:hint="eastAsia" w:ascii="仿宋" w:hAnsi="仿宋" w:eastAsia="仿宋"/>
          <w:color w:val="auto"/>
          <w:sz w:val="32"/>
          <w:szCs w:val="32"/>
        </w:rPr>
        <w:t>验收</w:t>
      </w:r>
      <w:r>
        <w:rPr>
          <w:rFonts w:ascii="仿宋" w:hAnsi="仿宋" w:eastAsia="仿宋"/>
          <w:color w:val="auto"/>
          <w:sz w:val="32"/>
          <w:szCs w:val="32"/>
        </w:rPr>
        <w:t>完毕止。如遇有关政策调整将作相应变更。</w:t>
      </w:r>
    </w:p>
    <w:sectPr>
      <w:footerReference r:id="rId3" w:type="default"/>
      <w:pgSz w:w="11906" w:h="16838"/>
      <w:pgMar w:top="1531"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大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144459"/>
      <w:docPartObj>
        <w:docPartGallery w:val="AutoText"/>
      </w:docPartObj>
    </w:sdtPr>
    <w:sdtContent>
      <w:p>
        <w:pPr>
          <w:pStyle w:val="3"/>
          <w:jc w:val="center"/>
          <w:rPr>
            <w:rFonts w:hint="eastAsia"/>
          </w:rPr>
        </w:pPr>
        <w:r>
          <w:fldChar w:fldCharType="begin"/>
        </w:r>
        <w:r>
          <w:instrText xml:space="preserve">PAGE   \* MERGEFORMAT</w:instrText>
        </w:r>
        <w:r>
          <w:fldChar w:fldCharType="separate"/>
        </w:r>
        <w:r>
          <w:rPr>
            <w:lang w:val="zh-CN"/>
          </w:rPr>
          <w:t>2</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B0"/>
    <w:rsid w:val="00036CDC"/>
    <w:rsid w:val="00050F10"/>
    <w:rsid w:val="00053AFE"/>
    <w:rsid w:val="000A67F2"/>
    <w:rsid w:val="000E20CE"/>
    <w:rsid w:val="00140013"/>
    <w:rsid w:val="00151326"/>
    <w:rsid w:val="00153CB7"/>
    <w:rsid w:val="001630FA"/>
    <w:rsid w:val="0018370B"/>
    <w:rsid w:val="001B30CC"/>
    <w:rsid w:val="001C747E"/>
    <w:rsid w:val="001C7486"/>
    <w:rsid w:val="002004B0"/>
    <w:rsid w:val="00201165"/>
    <w:rsid w:val="00203CB3"/>
    <w:rsid w:val="0022387D"/>
    <w:rsid w:val="00230568"/>
    <w:rsid w:val="002371F6"/>
    <w:rsid w:val="00237BD2"/>
    <w:rsid w:val="00265BF4"/>
    <w:rsid w:val="00273CFA"/>
    <w:rsid w:val="002A0A01"/>
    <w:rsid w:val="002B1411"/>
    <w:rsid w:val="002D792B"/>
    <w:rsid w:val="0030724E"/>
    <w:rsid w:val="00310324"/>
    <w:rsid w:val="003134EE"/>
    <w:rsid w:val="003144FA"/>
    <w:rsid w:val="00325A4D"/>
    <w:rsid w:val="003603E6"/>
    <w:rsid w:val="00362591"/>
    <w:rsid w:val="00384BE1"/>
    <w:rsid w:val="003C1978"/>
    <w:rsid w:val="003C2DF8"/>
    <w:rsid w:val="003E568F"/>
    <w:rsid w:val="00423A85"/>
    <w:rsid w:val="004261A6"/>
    <w:rsid w:val="00433D05"/>
    <w:rsid w:val="004416E2"/>
    <w:rsid w:val="00442EAF"/>
    <w:rsid w:val="00462A0C"/>
    <w:rsid w:val="00480A09"/>
    <w:rsid w:val="004A4305"/>
    <w:rsid w:val="004D44BB"/>
    <w:rsid w:val="004E6ADB"/>
    <w:rsid w:val="0052275E"/>
    <w:rsid w:val="005555C1"/>
    <w:rsid w:val="00564ADC"/>
    <w:rsid w:val="0056650C"/>
    <w:rsid w:val="0057046B"/>
    <w:rsid w:val="00576D86"/>
    <w:rsid w:val="00605C54"/>
    <w:rsid w:val="00627CEC"/>
    <w:rsid w:val="006518ED"/>
    <w:rsid w:val="006524D0"/>
    <w:rsid w:val="0065623E"/>
    <w:rsid w:val="00662C46"/>
    <w:rsid w:val="00674455"/>
    <w:rsid w:val="006A181B"/>
    <w:rsid w:val="006A6879"/>
    <w:rsid w:val="006B1182"/>
    <w:rsid w:val="006B1236"/>
    <w:rsid w:val="00735370"/>
    <w:rsid w:val="00736A30"/>
    <w:rsid w:val="007431DD"/>
    <w:rsid w:val="00756725"/>
    <w:rsid w:val="007635EB"/>
    <w:rsid w:val="007902B4"/>
    <w:rsid w:val="007950D0"/>
    <w:rsid w:val="007E3235"/>
    <w:rsid w:val="007E73E5"/>
    <w:rsid w:val="007F4519"/>
    <w:rsid w:val="008506EB"/>
    <w:rsid w:val="00865639"/>
    <w:rsid w:val="00873EB0"/>
    <w:rsid w:val="00874866"/>
    <w:rsid w:val="00896ED7"/>
    <w:rsid w:val="008B7F78"/>
    <w:rsid w:val="008F57CD"/>
    <w:rsid w:val="009028F0"/>
    <w:rsid w:val="009077AB"/>
    <w:rsid w:val="00907F7F"/>
    <w:rsid w:val="0092125D"/>
    <w:rsid w:val="00970813"/>
    <w:rsid w:val="009772A8"/>
    <w:rsid w:val="00991A1D"/>
    <w:rsid w:val="009947F7"/>
    <w:rsid w:val="009A2939"/>
    <w:rsid w:val="009A3EB3"/>
    <w:rsid w:val="009A5ACE"/>
    <w:rsid w:val="009A624B"/>
    <w:rsid w:val="009D1EF3"/>
    <w:rsid w:val="009E426F"/>
    <w:rsid w:val="00A017CA"/>
    <w:rsid w:val="00A05A5A"/>
    <w:rsid w:val="00A10126"/>
    <w:rsid w:val="00A30803"/>
    <w:rsid w:val="00A46197"/>
    <w:rsid w:val="00A6438C"/>
    <w:rsid w:val="00A75535"/>
    <w:rsid w:val="00AB0C3E"/>
    <w:rsid w:val="00AD27C8"/>
    <w:rsid w:val="00AD4514"/>
    <w:rsid w:val="00B23354"/>
    <w:rsid w:val="00B442E5"/>
    <w:rsid w:val="00B63793"/>
    <w:rsid w:val="00B72656"/>
    <w:rsid w:val="00BA4570"/>
    <w:rsid w:val="00BB03FF"/>
    <w:rsid w:val="00BE5225"/>
    <w:rsid w:val="00C01DE8"/>
    <w:rsid w:val="00C109B7"/>
    <w:rsid w:val="00C11687"/>
    <w:rsid w:val="00C469D5"/>
    <w:rsid w:val="00C64596"/>
    <w:rsid w:val="00C92D16"/>
    <w:rsid w:val="00CA17CE"/>
    <w:rsid w:val="00CB3C33"/>
    <w:rsid w:val="00CD04B4"/>
    <w:rsid w:val="00CD662D"/>
    <w:rsid w:val="00CD68C3"/>
    <w:rsid w:val="00D13DFD"/>
    <w:rsid w:val="00D262DE"/>
    <w:rsid w:val="00D34373"/>
    <w:rsid w:val="00DA0BCF"/>
    <w:rsid w:val="00DB5AB9"/>
    <w:rsid w:val="00DC34C8"/>
    <w:rsid w:val="00DE7A21"/>
    <w:rsid w:val="00E00BFB"/>
    <w:rsid w:val="00E02CBA"/>
    <w:rsid w:val="00E05A7B"/>
    <w:rsid w:val="00E11A86"/>
    <w:rsid w:val="00E4658F"/>
    <w:rsid w:val="00E83482"/>
    <w:rsid w:val="00EA37BC"/>
    <w:rsid w:val="00EB052B"/>
    <w:rsid w:val="00EE0FFA"/>
    <w:rsid w:val="00EF46B9"/>
    <w:rsid w:val="00F11BB3"/>
    <w:rsid w:val="00F3662E"/>
    <w:rsid w:val="00F41C35"/>
    <w:rsid w:val="00FA0926"/>
    <w:rsid w:val="00FC15EB"/>
    <w:rsid w:val="00FD4EBB"/>
    <w:rsid w:val="15267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页眉 字符"/>
    <w:basedOn w:val="7"/>
    <w:link w:val="4"/>
    <w:uiPriority w:val="99"/>
    <w:rPr>
      <w:sz w:val="18"/>
      <w:szCs w:val="18"/>
    </w:rPr>
  </w:style>
  <w:style w:type="character" w:customStyle="1" w:styleId="10">
    <w:name w:val="页脚 字符"/>
    <w:basedOn w:val="7"/>
    <w:link w:val="3"/>
    <w:uiPriority w:val="99"/>
    <w:rPr>
      <w:sz w:val="18"/>
      <w:szCs w:val="18"/>
    </w:rPr>
  </w:style>
  <w:style w:type="character" w:customStyle="1" w:styleId="11">
    <w:name w:val="批注框文本 字符"/>
    <w:basedOn w:val="7"/>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338</Words>
  <Characters>1930</Characters>
  <Lines>16</Lines>
  <Paragraphs>4</Paragraphs>
  <TotalTime>5</TotalTime>
  <ScaleCrop>false</ScaleCrop>
  <LinksUpToDate>false</LinksUpToDate>
  <CharactersWithSpaces>2264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2019-04-03T09:15:00Z</dcterms:created>
  <dc:creator>lanmengjie@nong.link</dc:creator>
  <cp:lastModifiedBy>HP</cp:lastModifiedBy>
  <dcterms:modified xsi:type="dcterms:W3CDTF">2020-08-10T09:07:29Z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