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A810" w14:textId="008B9751" w:rsidR="00D62FC1" w:rsidRDefault="00E27AC8" w:rsidP="00CE02C9">
      <w:pPr>
        <w:pStyle w:val="a3"/>
        <w:widowControl/>
        <w:shd w:val="clear" w:color="auto" w:fill="FFFFFF"/>
        <w:spacing w:beforeAutospacing="0" w:afterAutospacing="0"/>
        <w:jc w:val="center"/>
        <w:rPr>
          <w:rFonts w:asciiTheme="majorEastAsia" w:eastAsiaTheme="majorEastAsia" w:hAnsiTheme="majorEastAsia" w:cstheme="majorEastAsia"/>
          <w:b/>
          <w:bCs/>
          <w:color w:val="000000"/>
          <w:sz w:val="44"/>
          <w:szCs w:val="44"/>
        </w:rPr>
      </w:pPr>
      <w:r w:rsidRPr="00E27AC8">
        <w:rPr>
          <w:rFonts w:asciiTheme="majorEastAsia" w:eastAsiaTheme="majorEastAsia" w:hAnsiTheme="majorEastAsia" w:cstheme="majorEastAsia" w:hint="eastAsia"/>
          <w:b/>
          <w:bCs/>
          <w:color w:val="000000"/>
          <w:sz w:val="44"/>
          <w:szCs w:val="44"/>
          <w:shd w:val="clear" w:color="auto" w:fill="FFFFFF"/>
        </w:rPr>
        <w:t>连平县“房地一体”农村不动产登记发证</w:t>
      </w:r>
      <w:r w:rsidR="00E836F8">
        <w:rPr>
          <w:rFonts w:asciiTheme="majorEastAsia" w:eastAsiaTheme="majorEastAsia" w:hAnsiTheme="majorEastAsia" w:cstheme="majorEastAsia"/>
          <w:b/>
          <w:bCs/>
          <w:color w:val="000000"/>
          <w:sz w:val="44"/>
          <w:szCs w:val="44"/>
          <w:shd w:val="clear" w:color="auto" w:fill="FFFFFF"/>
        </w:rPr>
        <w:br/>
      </w:r>
      <w:r w:rsidRPr="00E27AC8">
        <w:rPr>
          <w:rFonts w:asciiTheme="majorEastAsia" w:eastAsiaTheme="majorEastAsia" w:hAnsiTheme="majorEastAsia" w:cstheme="majorEastAsia" w:hint="eastAsia"/>
          <w:b/>
          <w:bCs/>
          <w:color w:val="000000"/>
          <w:sz w:val="44"/>
          <w:szCs w:val="44"/>
          <w:shd w:val="clear" w:color="auto" w:fill="FFFFFF"/>
        </w:rPr>
        <w:t>工作方案</w:t>
      </w:r>
      <w:r w:rsidR="009C09DE">
        <w:rPr>
          <w:rFonts w:asciiTheme="majorEastAsia" w:eastAsiaTheme="majorEastAsia" w:hAnsiTheme="majorEastAsia" w:cstheme="majorEastAsia" w:hint="eastAsia"/>
          <w:b/>
          <w:bCs/>
          <w:color w:val="000000"/>
          <w:sz w:val="44"/>
          <w:szCs w:val="44"/>
          <w:shd w:val="clear" w:color="auto" w:fill="FFFFFF"/>
        </w:rPr>
        <w:t>（</w:t>
      </w:r>
      <w:r w:rsidR="00E836F8">
        <w:rPr>
          <w:rFonts w:asciiTheme="majorEastAsia" w:eastAsiaTheme="majorEastAsia" w:hAnsiTheme="majorEastAsia" w:cstheme="majorEastAsia" w:hint="eastAsia"/>
          <w:b/>
          <w:bCs/>
          <w:color w:val="000000"/>
          <w:sz w:val="44"/>
          <w:szCs w:val="44"/>
          <w:shd w:val="clear" w:color="auto" w:fill="FFFFFF"/>
        </w:rPr>
        <w:t>二次</w:t>
      </w:r>
      <w:r w:rsidR="00522769">
        <w:rPr>
          <w:rFonts w:asciiTheme="majorEastAsia" w:eastAsiaTheme="majorEastAsia" w:hAnsiTheme="majorEastAsia" w:cstheme="majorEastAsia" w:hint="eastAsia"/>
          <w:b/>
          <w:bCs/>
          <w:color w:val="000000"/>
          <w:sz w:val="44"/>
          <w:szCs w:val="44"/>
          <w:shd w:val="clear" w:color="auto" w:fill="FFFFFF"/>
        </w:rPr>
        <w:t>征求意见稿</w:t>
      </w:r>
      <w:r w:rsidR="009C09DE">
        <w:rPr>
          <w:rFonts w:asciiTheme="majorEastAsia" w:eastAsiaTheme="majorEastAsia" w:hAnsiTheme="majorEastAsia" w:cstheme="majorEastAsia" w:hint="eastAsia"/>
          <w:b/>
          <w:bCs/>
          <w:color w:val="000000"/>
          <w:sz w:val="44"/>
          <w:szCs w:val="44"/>
          <w:shd w:val="clear" w:color="auto" w:fill="FFFFFF"/>
        </w:rPr>
        <w:t>）</w:t>
      </w:r>
    </w:p>
    <w:p w14:paraId="139E542B" w14:textId="77777777" w:rsidR="00D62FC1" w:rsidRDefault="00D62FC1" w:rsidP="00CE02C9">
      <w:pPr>
        <w:pStyle w:val="a3"/>
        <w:widowControl/>
        <w:shd w:val="clear" w:color="auto" w:fill="FFFFFF"/>
        <w:spacing w:beforeAutospacing="0" w:afterAutospacing="0"/>
        <w:jc w:val="both"/>
        <w:rPr>
          <w:rFonts w:ascii="微软雅黑" w:eastAsia="微软雅黑" w:hAnsi="微软雅黑" w:cs="微软雅黑"/>
          <w:color w:val="000000"/>
          <w:sz w:val="27"/>
          <w:szCs w:val="27"/>
        </w:rPr>
      </w:pPr>
    </w:p>
    <w:p w14:paraId="3C0FADBE" w14:textId="77777777" w:rsidR="00D62FC1" w:rsidRDefault="000D21E4"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为贯彻落实</w:t>
      </w:r>
      <w:r w:rsidR="009C09DE">
        <w:rPr>
          <w:rFonts w:ascii="仿宋_GB2312" w:eastAsia="仿宋_GB2312" w:hAnsi="仿宋_GB2312" w:cs="仿宋_GB2312" w:hint="eastAsia"/>
          <w:color w:val="000000"/>
          <w:sz w:val="32"/>
          <w:szCs w:val="32"/>
          <w:shd w:val="clear" w:color="auto" w:fill="FFFFFF"/>
        </w:rPr>
        <w:t>《中共中央 国务院关于坚持农业农村优先发展做好“三农”工作的若干意见》《国土资源部关于进一步加快宅基地和集体建设用地确权登记发证有关问题的通知》《广东省自然资源厅关于印发广东省加快推进“房地一体”农村不动产登记发证工作方案的通知》</w:t>
      </w:r>
      <w:r w:rsidR="009C09DE" w:rsidRPr="00005E78">
        <w:rPr>
          <w:rFonts w:ascii="仿宋_GB2312" w:eastAsia="仿宋_GB2312" w:hAnsi="仿宋_GB2312" w:cs="仿宋_GB2312" w:hint="eastAsia"/>
          <w:color w:val="000000"/>
          <w:sz w:val="32"/>
          <w:szCs w:val="32"/>
          <w:shd w:val="clear" w:color="auto" w:fill="FFFFFF"/>
        </w:rPr>
        <w:t>《河源市“房地一体”农村不动产登记发证工作方案》</w:t>
      </w:r>
      <w:r w:rsidR="009C09DE">
        <w:rPr>
          <w:rFonts w:ascii="仿宋_GB2312" w:eastAsia="仿宋_GB2312" w:hAnsi="仿宋_GB2312" w:cs="仿宋_GB2312" w:hint="eastAsia"/>
          <w:color w:val="000000"/>
          <w:sz w:val="32"/>
          <w:szCs w:val="32"/>
          <w:shd w:val="clear" w:color="auto" w:fill="FFFFFF"/>
        </w:rPr>
        <w:t>等有关文件要求，加快推进全县宅基地使用权及其地上房屋所有权和集体建设用地使用权及其地上建筑物、构筑物所有权登记发证工作（以下称“房地一体”农村不动产登记发证工作），力争2020年底前基本完成登记发证任务，有效保障农民合法财产权益，特制定本方案。</w:t>
      </w:r>
    </w:p>
    <w:p w14:paraId="40892DBC" w14:textId="77777777" w:rsidR="00D62FC1" w:rsidRPr="009C09DE" w:rsidRDefault="009C09DE" w:rsidP="00CE02C9">
      <w:pPr>
        <w:pStyle w:val="a3"/>
        <w:widowControl/>
        <w:shd w:val="clear" w:color="auto" w:fill="FFFFFF"/>
        <w:spacing w:beforeAutospacing="0" w:afterAutospacing="0"/>
        <w:ind w:firstLineChars="200" w:firstLine="640"/>
        <w:jc w:val="both"/>
        <w:rPr>
          <w:rFonts w:ascii="黑体" w:eastAsia="黑体" w:hAnsi="黑体" w:cs="黑体"/>
          <w:color w:val="000000"/>
          <w:sz w:val="32"/>
          <w:szCs w:val="32"/>
        </w:rPr>
      </w:pPr>
      <w:r w:rsidRPr="009C09DE">
        <w:rPr>
          <w:rFonts w:ascii="黑体" w:eastAsia="黑体" w:hAnsi="黑体" w:cs="黑体" w:hint="eastAsia"/>
          <w:color w:val="000000"/>
          <w:sz w:val="32"/>
          <w:szCs w:val="32"/>
          <w:shd w:val="clear" w:color="auto" w:fill="FFFFFF"/>
        </w:rPr>
        <w:t xml:space="preserve"> 一、目标任务</w:t>
      </w:r>
    </w:p>
    <w:p w14:paraId="69AC6BB9"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以“总登记”方式对符合登记发证条件的宅基地使用权及其地上房屋所有权和集体建设用地使用权及其地上建筑物、构筑物所有权进行统一确权登记并颁发不动产权证书，确保2020年底前基本完成全县“房地一体”农村不动产登记发证工作。已分别合法颁发宅基地、集体建设用地使用权证书和房屋所有权证书或者已按“房地一体”原则登记颁发</w:t>
      </w:r>
      <w:r>
        <w:rPr>
          <w:rFonts w:ascii="仿宋_GB2312" w:eastAsia="仿宋_GB2312" w:hAnsi="仿宋_GB2312" w:cs="仿宋_GB2312" w:hint="eastAsia"/>
          <w:color w:val="000000"/>
          <w:sz w:val="32"/>
          <w:szCs w:val="32"/>
          <w:shd w:val="clear" w:color="auto" w:fill="FFFFFF"/>
        </w:rPr>
        <w:lastRenderedPageBreak/>
        <w:t>不动产权证书的，遵循“不变不换”的原则，原证书仍合法有效。</w:t>
      </w:r>
    </w:p>
    <w:p w14:paraId="16AD7DAA" w14:textId="77777777" w:rsidR="00D62FC1" w:rsidRDefault="009C09DE" w:rsidP="00CE02C9">
      <w:pPr>
        <w:pStyle w:val="a3"/>
        <w:widowControl/>
        <w:shd w:val="clear" w:color="auto" w:fill="FFFFFF"/>
        <w:spacing w:beforeAutospacing="0" w:afterAutospacing="0"/>
        <w:ind w:firstLineChars="200" w:firstLine="640"/>
        <w:jc w:val="both"/>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二、登记范围</w:t>
      </w:r>
    </w:p>
    <w:p w14:paraId="18BA93FD" w14:textId="6CEE04CD"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全县集体土地范围内符合登记发证条件的农村宅基地、集体建设用地及地上永久性存续的、结构完整的农村主要房屋，不包括简易房、棚房、农具房、圈舍、厕所等临时性建筑物和构筑物,</w:t>
      </w:r>
      <w:r>
        <w:rPr>
          <w:rFonts w:ascii="仿宋_GB2312" w:eastAsia="仿宋_GB2312" w:hAnsi="仿宋_GB2312" w:cs="仿宋_GB2312" w:hint="eastAsia"/>
          <w:color w:val="000000"/>
          <w:sz w:val="32"/>
          <w:szCs w:val="32"/>
        </w:rPr>
        <w:t>也不包括宗祠堂、</w:t>
      </w:r>
      <w:r w:rsidR="00DB0B19">
        <w:rPr>
          <w:rFonts w:ascii="仿宋_GB2312" w:eastAsia="仿宋_GB2312" w:hAnsi="仿宋_GB2312" w:cs="仿宋_GB2312" w:hint="eastAsia"/>
          <w:color w:val="000000"/>
          <w:sz w:val="32"/>
          <w:szCs w:val="32"/>
        </w:rPr>
        <w:t>未在批准范围内建设的独栋厨房的建筑物和构筑物</w:t>
      </w:r>
      <w:r>
        <w:rPr>
          <w:rFonts w:ascii="仿宋_GB2312" w:eastAsia="仿宋_GB2312" w:hAnsi="仿宋_GB2312" w:cs="仿宋_GB2312" w:hint="eastAsia"/>
          <w:color w:val="000000"/>
          <w:sz w:val="32"/>
          <w:szCs w:val="32"/>
          <w:shd w:val="clear" w:color="auto" w:fill="FFFFFF"/>
        </w:rPr>
        <w:t>。集体所有土地上开发的商品住房，一律不予确权登记。</w:t>
      </w:r>
    </w:p>
    <w:p w14:paraId="48CC1159" w14:textId="77777777" w:rsidR="00D62FC1" w:rsidRDefault="009C09DE" w:rsidP="00CE02C9">
      <w:pPr>
        <w:pStyle w:val="a3"/>
        <w:widowControl/>
        <w:shd w:val="clear" w:color="auto" w:fill="FFFFFF"/>
        <w:spacing w:beforeAutospacing="0" w:afterAutospacing="0"/>
        <w:ind w:firstLineChars="200" w:firstLine="640"/>
        <w:jc w:val="both"/>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三、申请登记主体</w:t>
      </w:r>
    </w:p>
    <w:p w14:paraId="57C26543"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（一）宅基地使用权及其地上房屋所有权申请登记发证的主体。</w:t>
      </w:r>
    </w:p>
    <w:p w14:paraId="57B3A4B0"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宅基地使用权及其地上房屋所有权申请登记发证的主体原则上为</w:t>
      </w:r>
      <w:proofErr w:type="gramStart"/>
      <w:r>
        <w:rPr>
          <w:rFonts w:ascii="仿宋_GB2312" w:eastAsia="仿宋_GB2312" w:hAnsi="仿宋_GB2312" w:cs="仿宋_GB2312" w:hint="eastAsia"/>
          <w:color w:val="000000"/>
          <w:sz w:val="32"/>
          <w:szCs w:val="32"/>
          <w:shd w:val="clear" w:color="auto" w:fill="FFFFFF"/>
        </w:rPr>
        <w:t>本农村</w:t>
      </w:r>
      <w:proofErr w:type="gramEnd"/>
      <w:r>
        <w:rPr>
          <w:rFonts w:ascii="仿宋_GB2312" w:eastAsia="仿宋_GB2312" w:hAnsi="仿宋_GB2312" w:cs="仿宋_GB2312" w:hint="eastAsia"/>
          <w:color w:val="000000"/>
          <w:sz w:val="32"/>
          <w:szCs w:val="32"/>
          <w:shd w:val="clear" w:color="auto" w:fill="FFFFFF"/>
        </w:rPr>
        <w:t>集体经济组织成员或本村村民，可以是户主或经全体家庭成员同意的年满18周岁的家庭成员。有下列情形之一且经该村集体经济组织或村民委员会认定的，也可按规定申请登记发证：本村原村民合法取得宅基地使用权或房屋所有权，因婚姻、就业、投靠等原因将户口迁出的；非本村村民</w:t>
      </w:r>
      <w:proofErr w:type="gramStart"/>
      <w:r>
        <w:rPr>
          <w:rFonts w:ascii="仿宋_GB2312" w:eastAsia="仿宋_GB2312" w:hAnsi="仿宋_GB2312" w:cs="仿宋_GB2312" w:hint="eastAsia"/>
          <w:color w:val="000000"/>
          <w:sz w:val="32"/>
          <w:szCs w:val="32"/>
          <w:shd w:val="clear" w:color="auto" w:fill="FFFFFF"/>
        </w:rPr>
        <w:t>因扶贫</w:t>
      </w:r>
      <w:proofErr w:type="gramEnd"/>
      <w:r>
        <w:rPr>
          <w:rFonts w:ascii="仿宋_GB2312" w:eastAsia="仿宋_GB2312" w:hAnsi="仿宋_GB2312" w:cs="仿宋_GB2312" w:hint="eastAsia"/>
          <w:color w:val="000000"/>
          <w:sz w:val="32"/>
          <w:szCs w:val="32"/>
          <w:shd w:val="clear" w:color="auto" w:fill="FFFFFF"/>
        </w:rPr>
        <w:t>搬迁、地质灾害防治、新农村建设、移民安置等按照政府统一规划和批准使用宅基地建房的；已拥有一处宅基地的</w:t>
      </w:r>
      <w:proofErr w:type="gramStart"/>
      <w:r>
        <w:rPr>
          <w:rFonts w:ascii="仿宋_GB2312" w:eastAsia="仿宋_GB2312" w:hAnsi="仿宋_GB2312" w:cs="仿宋_GB2312" w:hint="eastAsia"/>
          <w:color w:val="000000"/>
          <w:sz w:val="32"/>
          <w:szCs w:val="32"/>
          <w:shd w:val="clear" w:color="auto" w:fill="FFFFFF"/>
        </w:rPr>
        <w:t>本农村</w:t>
      </w:r>
      <w:proofErr w:type="gramEnd"/>
      <w:r>
        <w:rPr>
          <w:rFonts w:ascii="仿宋_GB2312" w:eastAsia="仿宋_GB2312" w:hAnsi="仿宋_GB2312" w:cs="仿宋_GB2312" w:hint="eastAsia"/>
          <w:color w:val="000000"/>
          <w:sz w:val="32"/>
          <w:szCs w:val="32"/>
          <w:shd w:val="clear" w:color="auto" w:fill="FFFFFF"/>
        </w:rPr>
        <w:t>集体经济组织成员或本村村民、非</w:t>
      </w:r>
      <w:proofErr w:type="gramStart"/>
      <w:r>
        <w:rPr>
          <w:rFonts w:ascii="仿宋_GB2312" w:eastAsia="仿宋_GB2312" w:hAnsi="仿宋_GB2312" w:cs="仿宋_GB2312" w:hint="eastAsia"/>
          <w:color w:val="000000"/>
          <w:sz w:val="32"/>
          <w:szCs w:val="32"/>
          <w:shd w:val="clear" w:color="auto" w:fill="FFFFFF"/>
        </w:rPr>
        <w:t>本农村</w:t>
      </w:r>
      <w:proofErr w:type="gramEnd"/>
      <w:r>
        <w:rPr>
          <w:rFonts w:ascii="仿宋_GB2312" w:eastAsia="仿宋_GB2312" w:hAnsi="仿宋_GB2312" w:cs="仿宋_GB2312" w:hint="eastAsia"/>
          <w:color w:val="000000"/>
          <w:sz w:val="32"/>
          <w:szCs w:val="32"/>
          <w:shd w:val="clear" w:color="auto" w:fill="FFFFFF"/>
        </w:rPr>
        <w:t>集体经济组织成员或非本村村民的农村或城镇居民，因继</w:t>
      </w:r>
      <w:r>
        <w:rPr>
          <w:rFonts w:ascii="仿宋_GB2312" w:eastAsia="仿宋_GB2312" w:hAnsi="仿宋_GB2312" w:cs="仿宋_GB2312" w:hint="eastAsia"/>
          <w:color w:val="000000"/>
          <w:sz w:val="32"/>
          <w:szCs w:val="32"/>
          <w:shd w:val="clear" w:color="auto" w:fill="FFFFFF"/>
        </w:rPr>
        <w:lastRenderedPageBreak/>
        <w:t>承房屋占用农村宅基地的；非农业户口居民（含华侨）在1999年1月1日前合法取得宅基地使用权及其地上房屋所有权且</w:t>
      </w:r>
      <w:proofErr w:type="gramStart"/>
      <w:r>
        <w:rPr>
          <w:rFonts w:ascii="仿宋_GB2312" w:eastAsia="仿宋_GB2312" w:hAnsi="仿宋_GB2312" w:cs="仿宋_GB2312" w:hint="eastAsia"/>
          <w:color w:val="000000"/>
          <w:sz w:val="32"/>
          <w:szCs w:val="32"/>
          <w:shd w:val="clear" w:color="auto" w:fill="FFFFFF"/>
        </w:rPr>
        <w:t>权属未</w:t>
      </w:r>
      <w:proofErr w:type="gramEnd"/>
      <w:r>
        <w:rPr>
          <w:rFonts w:ascii="仿宋_GB2312" w:eastAsia="仿宋_GB2312" w:hAnsi="仿宋_GB2312" w:cs="仿宋_GB2312" w:hint="eastAsia"/>
          <w:color w:val="000000"/>
          <w:sz w:val="32"/>
          <w:szCs w:val="32"/>
          <w:shd w:val="clear" w:color="auto" w:fill="FFFFFF"/>
        </w:rPr>
        <w:t>发生变化的。城镇居民非法购买农村宅基地及地上房屋的，一律不予确权登记。</w:t>
      </w:r>
    </w:p>
    <w:p w14:paraId="21C1DC9D"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（二）集体建设用地使用权及其地上建筑物、构筑物所有权申请登记发证的主体。</w:t>
      </w:r>
    </w:p>
    <w:p w14:paraId="2539435C"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经批准使用集体土地兴办乡（镇）村公益事业和公共设施的乡（镇）村办企业事业单位、农村集体经济组织、村民委员会；经批准使用集体土地兴办各类工商企业（包括国有、集体、私营企业，个体工商户，外商投资企业，股份制企业，联营企业等）的主体；经批准使用集体土地兴办公共设施和公益事业的主体；相关国家试点改革政策批准的集体建设用地使用权及其地上建筑物、构筑物所有权主体。</w:t>
      </w:r>
    </w:p>
    <w:p w14:paraId="20D9EF79" w14:textId="77777777" w:rsidR="00D62FC1" w:rsidRDefault="009C09DE" w:rsidP="00CE02C9">
      <w:pPr>
        <w:pStyle w:val="a3"/>
        <w:widowControl/>
        <w:numPr>
          <w:ilvl w:val="0"/>
          <w:numId w:val="1"/>
        </w:numPr>
        <w:shd w:val="clear" w:color="auto" w:fill="FFFFFF"/>
        <w:spacing w:beforeAutospacing="0" w:afterAutospacing="0"/>
        <w:ind w:firstLineChars="200" w:firstLine="640"/>
        <w:jc w:val="both"/>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确权登记原则</w:t>
      </w:r>
    </w:p>
    <w:p w14:paraId="63C4C0A2"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按照有关法律法规政策规定，坚持“依法依规、尊重历史、为民利民”的原则，加快开展“房地一体”农村不动产登记发证工作。</w:t>
      </w:r>
    </w:p>
    <w:p w14:paraId="0E1EF23A" w14:textId="4CF67F42" w:rsidR="00D62FC1" w:rsidRDefault="009C09DE" w:rsidP="00CE02C9">
      <w:pPr>
        <w:pStyle w:val="a3"/>
        <w:widowControl/>
        <w:numPr>
          <w:ilvl w:val="0"/>
          <w:numId w:val="2"/>
        </w:numPr>
        <w:shd w:val="clear" w:color="auto" w:fill="FFFFFF"/>
        <w:spacing w:beforeAutospacing="0" w:afterAutospacing="0"/>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农村宅基地、集体建设用地使用权及地上房屋所有权确权登记必须符合</w:t>
      </w:r>
      <w:r w:rsidR="005114CB">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不占用永久基本农田”的规定。</w:t>
      </w:r>
    </w:p>
    <w:p w14:paraId="543F59B6" w14:textId="01A87B65" w:rsidR="00D62FC1" w:rsidRDefault="009C09DE" w:rsidP="00CE02C9">
      <w:pPr>
        <w:pStyle w:val="a3"/>
        <w:widowControl/>
        <w:numPr>
          <w:ilvl w:val="0"/>
          <w:numId w:val="2"/>
        </w:numPr>
        <w:shd w:val="clear" w:color="auto" w:fill="FFFFFF"/>
        <w:spacing w:beforeAutospacing="0" w:afterAutospacing="0"/>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农村宅基地、集体建设用地使用权及地上房屋所有权确权登记遵循“以房屋建成正在使用的现状为基础，以村小组、村委会、镇人民政府三级认定为依据”原则。</w:t>
      </w:r>
    </w:p>
    <w:p w14:paraId="1D616F44"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（三）有合法的宅基地使用权来</w:t>
      </w:r>
      <w:proofErr w:type="gramStart"/>
      <w:r>
        <w:rPr>
          <w:rFonts w:ascii="仿宋_GB2312" w:eastAsia="仿宋_GB2312" w:hAnsi="仿宋_GB2312" w:cs="仿宋_GB2312" w:hint="eastAsia"/>
          <w:color w:val="000000"/>
          <w:sz w:val="32"/>
          <w:szCs w:val="32"/>
          <w:shd w:val="clear" w:color="auto" w:fill="FFFFFF"/>
        </w:rPr>
        <w:t>源材料</w:t>
      </w:r>
      <w:proofErr w:type="gramEnd"/>
      <w:r>
        <w:rPr>
          <w:rFonts w:ascii="仿宋_GB2312" w:eastAsia="仿宋_GB2312" w:hAnsi="仿宋_GB2312" w:cs="仿宋_GB2312" w:hint="eastAsia"/>
          <w:color w:val="000000"/>
          <w:sz w:val="32"/>
          <w:szCs w:val="32"/>
          <w:shd w:val="clear" w:color="auto" w:fill="FFFFFF"/>
        </w:rPr>
        <w:t>，地上房屋已办理村镇（庄）规划审批手续且竣工的，依法予以确权登记。</w:t>
      </w:r>
    </w:p>
    <w:p w14:paraId="3DF63681"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（四）有合法的宅基地使用权来</w:t>
      </w:r>
      <w:proofErr w:type="gramStart"/>
      <w:r>
        <w:rPr>
          <w:rFonts w:ascii="仿宋_GB2312" w:eastAsia="仿宋_GB2312" w:hAnsi="仿宋_GB2312" w:cs="仿宋_GB2312" w:hint="eastAsia"/>
          <w:color w:val="000000"/>
          <w:sz w:val="32"/>
          <w:szCs w:val="32"/>
          <w:shd w:val="clear" w:color="auto" w:fill="FFFFFF"/>
        </w:rPr>
        <w:t>源材料</w:t>
      </w:r>
      <w:proofErr w:type="gramEnd"/>
      <w:r>
        <w:rPr>
          <w:rFonts w:ascii="仿宋_GB2312" w:eastAsia="仿宋_GB2312" w:hAnsi="仿宋_GB2312" w:cs="仿宋_GB2312" w:hint="eastAsia"/>
          <w:color w:val="000000"/>
          <w:sz w:val="32"/>
          <w:szCs w:val="32"/>
          <w:shd w:val="clear" w:color="auto" w:fill="FFFFFF"/>
        </w:rPr>
        <w:t>，地上房屋未办理村镇（庄）规划审批手续，已经竣工的，按以下原则办理：</w:t>
      </w:r>
    </w:p>
    <w:p w14:paraId="2995D28C"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1993年11月1日《村庄和集镇规划建设管理条例》实施前，占用宅基地建房且至今未扩建，按权属来源确定的宅基地使用面积和房屋实际建筑面积予以确权登记。</w:t>
      </w:r>
    </w:p>
    <w:p w14:paraId="73BB1CF9"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1993年11月1日《村庄和集镇规划建设管理条例》实施后，占用宅基地建房，补办村镇（庄）规划审批手续后按批准面积予以确权登记。宅基地实际使用面积和房屋实际建筑面积超过权属来源确定和补办村镇（庄）规划审批的部分，在登记簿和权属证书附记栏中注明。</w:t>
      </w:r>
    </w:p>
    <w:p w14:paraId="6C536DAC"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（五）无合法的宅基地使用权来</w:t>
      </w:r>
      <w:proofErr w:type="gramStart"/>
      <w:r>
        <w:rPr>
          <w:rFonts w:ascii="仿宋_GB2312" w:eastAsia="仿宋_GB2312" w:hAnsi="仿宋_GB2312" w:cs="仿宋_GB2312" w:hint="eastAsia"/>
          <w:color w:val="000000"/>
          <w:sz w:val="32"/>
          <w:szCs w:val="32"/>
          <w:shd w:val="clear" w:color="auto" w:fill="FFFFFF"/>
        </w:rPr>
        <w:t>源材料</w:t>
      </w:r>
      <w:proofErr w:type="gramEnd"/>
      <w:r>
        <w:rPr>
          <w:rFonts w:ascii="仿宋_GB2312" w:eastAsia="仿宋_GB2312" w:hAnsi="仿宋_GB2312" w:cs="仿宋_GB2312" w:hint="eastAsia"/>
          <w:color w:val="000000"/>
          <w:sz w:val="32"/>
          <w:szCs w:val="32"/>
          <w:shd w:val="clear" w:color="auto" w:fill="FFFFFF"/>
        </w:rPr>
        <w:t>，地上房屋已经竣工的，按以下原则办理：</w:t>
      </w:r>
    </w:p>
    <w:p w14:paraId="57A34B01"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1982年2月13日《村镇建房用地管理条例》实施前占用宅基地建房且至今未扩建，无论是否超过其后当地规定面积标准，由村集体经济组织或村民委员会出具证明并公告30天无异议，经乡（镇、街道）人民政府（办事处）审核后，均按照实际使用面积予以确权登记。</w:t>
      </w:r>
    </w:p>
    <w:p w14:paraId="2E815861"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1982年2月13日《村镇建房用地管理条例》实施时起至1987年1月1日《中华人民共和国土地管理法》实施时止，占用宅基地建房且至今未扩建，由村集体经济组织或村</w:t>
      </w:r>
      <w:r>
        <w:rPr>
          <w:rFonts w:ascii="仿宋_GB2312" w:eastAsia="仿宋_GB2312" w:hAnsi="仿宋_GB2312" w:cs="仿宋_GB2312" w:hint="eastAsia"/>
          <w:color w:val="000000"/>
          <w:sz w:val="32"/>
          <w:szCs w:val="32"/>
          <w:shd w:val="clear" w:color="auto" w:fill="FFFFFF"/>
        </w:rPr>
        <w:lastRenderedPageBreak/>
        <w:t>民委员会出具证明并公告30天无异议，经乡（镇、街道）人民政府（办事处）审核后，按审核确认的宅基地使用面积和房屋实际建筑面积予以确权登记。</w:t>
      </w:r>
    </w:p>
    <w:p w14:paraId="3328541C"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1987年1月1日《中华人民共和国土地管理法》实施时起至1993年11月1日《村庄和集镇规划建设管理条例》实施时止，未经批准占用宅基地建房且至今未扩建，符合建房资格且经村集体经济组织或村民委员会同意并公告30天无异议的，按规定报县级以上人民政府补办用地审批手续，根据批准面积确定宅基地使用权面积，房屋所有权按照实际建筑面积予以确权登记。宅基地实际使用面积超过审批确认的部分，在登记簿和权属证书附记栏中注明。</w:t>
      </w:r>
    </w:p>
    <w:p w14:paraId="2D2F8BF7"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1993年11月1日《村庄和集镇规划建设管理条例》实施后，未经批准占用宅基地建房，符合建房资格且经村集体经济组织或村民委员会同意并公告30天无异议的，按规定报县级以上人民政府补办用地审批手续，根据批准的面积确定宅基地使用权面积，予以确权登记；对批准的宅基地使用权范围的房屋，未办理房屋村镇（庄）规划审批手续的，补办房屋村镇（庄）规划审批手续后，按照批准的建筑面积确定房屋所有权。宅基地实际使用面积和房屋实际建筑面积超过审批确认的部分，在登记簿和权属证书附记栏中注明。</w:t>
      </w:r>
    </w:p>
    <w:p w14:paraId="14195BC0"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涉及扩建的，由各地根据实际情况自行确定处理原则。</w:t>
      </w:r>
    </w:p>
    <w:p w14:paraId="2BE18023"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（六）农村集体经济组织成员或农村村民经批准建房的，按照批准面积予以确权登记，建房实际占地面积少于批准面积的，按批准占地面积确权登记。</w:t>
      </w:r>
    </w:p>
    <w:p w14:paraId="04FD78B7"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（七）县级以上人民政府要对未覆盖村镇（庄）规划的乡村及未覆盖的时间界限</w:t>
      </w:r>
      <w:proofErr w:type="gramStart"/>
      <w:r>
        <w:rPr>
          <w:rFonts w:ascii="仿宋_GB2312" w:eastAsia="仿宋_GB2312" w:hAnsi="仿宋_GB2312" w:cs="仿宋_GB2312" w:hint="eastAsia"/>
          <w:color w:val="000000"/>
          <w:sz w:val="32"/>
          <w:szCs w:val="32"/>
          <w:shd w:val="clear" w:color="auto" w:fill="FFFFFF"/>
        </w:rPr>
        <w:t>作出</w:t>
      </w:r>
      <w:proofErr w:type="gramEnd"/>
      <w:r>
        <w:rPr>
          <w:rFonts w:ascii="仿宋_GB2312" w:eastAsia="仿宋_GB2312" w:hAnsi="仿宋_GB2312" w:cs="仿宋_GB2312" w:hint="eastAsia"/>
          <w:color w:val="000000"/>
          <w:sz w:val="32"/>
          <w:szCs w:val="32"/>
          <w:shd w:val="clear" w:color="auto" w:fill="FFFFFF"/>
        </w:rPr>
        <w:t>认定。房屋建造时所在乡村未覆盖村镇（庄）规划的地区，当事人申请宅基地使用权及其地上房屋所有权登记时，可不提供房屋符合村镇（庄）规划的审批手续。</w:t>
      </w:r>
    </w:p>
    <w:p w14:paraId="0B0CA83A"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（八）宅基地使用权应按照“一户一宅”要求确权登记到户。其中，每名已成年子女可单独视为宅基地确权登记条件中的</w:t>
      </w:r>
      <w:proofErr w:type="gramStart"/>
      <w:r>
        <w:rPr>
          <w:rFonts w:ascii="仿宋_GB2312" w:eastAsia="仿宋_GB2312" w:hAnsi="仿宋_GB2312" w:cs="仿宋_GB2312" w:hint="eastAsia"/>
          <w:color w:val="000000"/>
          <w:sz w:val="32"/>
          <w:szCs w:val="32"/>
          <w:shd w:val="clear" w:color="auto" w:fill="FFFFFF"/>
        </w:rPr>
        <w:t>一</w:t>
      </w:r>
      <w:proofErr w:type="gramEnd"/>
      <w:r>
        <w:rPr>
          <w:rFonts w:ascii="仿宋_GB2312" w:eastAsia="仿宋_GB2312" w:hAnsi="仿宋_GB2312" w:cs="仿宋_GB2312" w:hint="eastAsia"/>
          <w:color w:val="000000"/>
          <w:sz w:val="32"/>
          <w:szCs w:val="32"/>
          <w:shd w:val="clear" w:color="auto" w:fill="FFFFFF"/>
        </w:rPr>
        <w:t>“户”。</w:t>
      </w:r>
    </w:p>
    <w:p w14:paraId="7F9E5ED5"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九）因继承、交换、分家析产等造成宅基地使用权与其地上房屋权利人不一致的，可由村集体经济组织或村民委员会出具证明或提供调解协商证明材料，明确房地统一登记的权利主体。农村妇女作为家庭成员，其宅基地权益应记载到不动产登记簿及权属证书上；农村妇女因婚嫁离开原农村集体经济组织，取得新家庭宅基地使用权的，应予以确权登记，同时不动产登记部门应根据原不动产所在地的村集体经济组织或村民委员会依法收回的证明文件注销其原拥有的宅基地使用权。</w:t>
      </w:r>
    </w:p>
    <w:p w14:paraId="79A90032"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（十）集体建设用地使用权确权登记按以下原则办理：  </w:t>
      </w:r>
    </w:p>
    <w:p w14:paraId="637970E1"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1987年1月1日《中华人民共和国土地管理法》实施前，使用集体土地兴办乡（镇）村公益事业和公共设施，经所在乡（镇、街道）人民政府（办事处）审核后，可依法对集体建设用地使用权予以确权登记。乡镇企业用地和其他经依法批准用于非住宅建设的集体土地，至今仍继续使用的，经所在村集体经济组织或村民委员会同意，报乡（镇、街道）人民政府（办事处）审核后，依法对使用单位的集体建设用地使用权予以确权登记。</w:t>
      </w:r>
    </w:p>
    <w:p w14:paraId="44EC452D"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1987年1月1日《中华人民共和国土地管理法》实施后，乡（镇）村公益事业和公共设施用地、乡镇企业用地和其他经依法批准用于非住宅建设的集体土地，应当依据县级以上人民政府批准文件，对使用单位的集体建设用地使用权予以确权登记。</w:t>
      </w:r>
    </w:p>
    <w:p w14:paraId="3726963B"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对于没有权属来</w:t>
      </w:r>
      <w:proofErr w:type="gramStart"/>
      <w:r>
        <w:rPr>
          <w:rFonts w:ascii="仿宋_GB2312" w:eastAsia="仿宋_GB2312" w:hAnsi="仿宋_GB2312" w:cs="仿宋_GB2312" w:hint="eastAsia"/>
          <w:color w:val="000000"/>
          <w:sz w:val="32"/>
          <w:szCs w:val="32"/>
          <w:shd w:val="clear" w:color="auto" w:fill="FFFFFF"/>
        </w:rPr>
        <w:t>源材料</w:t>
      </w:r>
      <w:proofErr w:type="gramEnd"/>
      <w:r>
        <w:rPr>
          <w:rFonts w:ascii="仿宋_GB2312" w:eastAsia="仿宋_GB2312" w:hAnsi="仿宋_GB2312" w:cs="仿宋_GB2312" w:hint="eastAsia"/>
          <w:color w:val="000000"/>
          <w:sz w:val="32"/>
          <w:szCs w:val="32"/>
          <w:shd w:val="clear" w:color="auto" w:fill="FFFFFF"/>
        </w:rPr>
        <w:t>的集体建设用地，应当查明土地历史使用情况和现状，认定属于合法使用的，经所在村集体经济组织或村民委员会同意，并公告30天无异议，经乡（镇、街道）人民政府（办事处）审核，报县级以上人民政府批准，予以确权登记。</w:t>
      </w:r>
    </w:p>
    <w:p w14:paraId="5E5E28D4"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集体建设用地上的建筑物、构筑物所有权依照有关法律法规规定办理。</w:t>
      </w:r>
    </w:p>
    <w:p w14:paraId="5D512D39"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（十一）对宅基地使用权及其地上房屋所有权和集体建设用地使用权及其地上建筑物、构筑物所有权权属存在争议</w:t>
      </w:r>
      <w:r>
        <w:rPr>
          <w:rFonts w:ascii="仿宋_GB2312" w:eastAsia="仿宋_GB2312" w:hAnsi="仿宋_GB2312" w:cs="仿宋_GB2312" w:hint="eastAsia"/>
          <w:color w:val="000000"/>
          <w:sz w:val="32"/>
          <w:szCs w:val="32"/>
          <w:shd w:val="clear" w:color="auto" w:fill="FFFFFF"/>
        </w:rPr>
        <w:lastRenderedPageBreak/>
        <w:t>的，各地要加大争议调处力度，待权属明晰后再予以确权登记。</w:t>
      </w:r>
    </w:p>
    <w:p w14:paraId="0E40C63E"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五、工作要求</w:t>
      </w:r>
    </w:p>
    <w:p w14:paraId="6601E687"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（一）明确组织方式。本次登记发证工作由县人民政府以“总登记”形式组织实施，统一开展权籍调查、登记发证和成果上报等工作。</w:t>
      </w:r>
    </w:p>
    <w:p w14:paraId="71F5B71C"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（二）做好权籍调查。</w:t>
      </w:r>
      <w:r w:rsidR="007968AE">
        <w:rPr>
          <w:rFonts w:ascii="仿宋_GB2312" w:eastAsia="仿宋_GB2312" w:hAnsi="仿宋_GB2312" w:cs="仿宋_GB2312" w:hint="eastAsia"/>
          <w:color w:val="000000"/>
          <w:sz w:val="32"/>
          <w:szCs w:val="32"/>
          <w:shd w:val="clear" w:color="auto" w:fill="FFFFFF"/>
        </w:rPr>
        <w:t>由</w:t>
      </w:r>
      <w:r>
        <w:rPr>
          <w:rFonts w:ascii="仿宋_GB2312" w:eastAsia="仿宋_GB2312" w:hAnsi="仿宋_GB2312" w:cs="仿宋_GB2312" w:hint="eastAsia"/>
          <w:color w:val="000000"/>
          <w:sz w:val="32"/>
          <w:szCs w:val="32"/>
          <w:shd w:val="clear" w:color="auto" w:fill="FFFFFF"/>
        </w:rPr>
        <w:t>县</w:t>
      </w:r>
      <w:r w:rsidR="007968AE">
        <w:rPr>
          <w:rFonts w:ascii="仿宋_GB2312" w:eastAsia="仿宋_GB2312" w:hAnsi="仿宋_GB2312" w:cs="仿宋_GB2312" w:hint="eastAsia"/>
          <w:color w:val="000000"/>
          <w:sz w:val="32"/>
          <w:szCs w:val="32"/>
          <w:shd w:val="clear" w:color="auto" w:fill="FFFFFF"/>
        </w:rPr>
        <w:t>人民政府</w:t>
      </w:r>
      <w:r>
        <w:rPr>
          <w:rFonts w:ascii="仿宋_GB2312" w:eastAsia="仿宋_GB2312" w:hAnsi="仿宋_GB2312" w:cs="仿宋_GB2312" w:hint="eastAsia"/>
          <w:color w:val="000000"/>
          <w:sz w:val="32"/>
          <w:szCs w:val="32"/>
          <w:shd w:val="clear" w:color="auto" w:fill="FFFFFF"/>
        </w:rPr>
        <w:t>统一开展“房地一体”</w:t>
      </w:r>
      <w:proofErr w:type="gramStart"/>
      <w:r>
        <w:rPr>
          <w:rFonts w:ascii="仿宋_GB2312" w:eastAsia="仿宋_GB2312" w:hAnsi="仿宋_GB2312" w:cs="仿宋_GB2312" w:hint="eastAsia"/>
          <w:color w:val="000000"/>
          <w:sz w:val="32"/>
          <w:szCs w:val="32"/>
          <w:shd w:val="clear" w:color="auto" w:fill="FFFFFF"/>
        </w:rPr>
        <w:t>农村权籍</w:t>
      </w:r>
      <w:proofErr w:type="gramEnd"/>
      <w:r>
        <w:rPr>
          <w:rFonts w:ascii="仿宋_GB2312" w:eastAsia="仿宋_GB2312" w:hAnsi="仿宋_GB2312" w:cs="仿宋_GB2312" w:hint="eastAsia"/>
          <w:color w:val="000000"/>
          <w:sz w:val="32"/>
          <w:szCs w:val="32"/>
          <w:shd w:val="clear" w:color="auto" w:fill="FFFFFF"/>
        </w:rPr>
        <w:t>调查，充分利用农村地籍调查成果，补充开展房屋调查，形成满足登记要求的权籍调查成果。根据我</w:t>
      </w:r>
      <w:r w:rsidR="007968AE">
        <w:rPr>
          <w:rFonts w:ascii="仿宋_GB2312" w:eastAsia="仿宋_GB2312" w:hAnsi="仿宋_GB2312" w:cs="仿宋_GB2312" w:hint="eastAsia"/>
          <w:color w:val="000000"/>
          <w:sz w:val="32"/>
          <w:szCs w:val="32"/>
          <w:shd w:val="clear" w:color="auto" w:fill="FFFFFF"/>
        </w:rPr>
        <w:t>县</w:t>
      </w:r>
      <w:r>
        <w:rPr>
          <w:rFonts w:ascii="仿宋_GB2312" w:eastAsia="仿宋_GB2312" w:hAnsi="仿宋_GB2312" w:cs="仿宋_GB2312" w:hint="eastAsia"/>
          <w:color w:val="000000"/>
          <w:sz w:val="32"/>
          <w:szCs w:val="32"/>
          <w:shd w:val="clear" w:color="auto" w:fill="FFFFFF"/>
        </w:rPr>
        <w:t>实际情况，采用解析法和图解法结合，即在</w:t>
      </w:r>
      <w:r w:rsidR="007968AE">
        <w:rPr>
          <w:rFonts w:ascii="仿宋_GB2312" w:eastAsia="仿宋_GB2312" w:hAnsi="仿宋_GB2312" w:cs="仿宋_GB2312" w:hint="eastAsia"/>
          <w:color w:val="000000"/>
          <w:sz w:val="32"/>
          <w:szCs w:val="32"/>
          <w:shd w:val="clear" w:color="auto" w:fill="FFFFFF"/>
        </w:rPr>
        <w:t>城镇</w:t>
      </w:r>
      <w:r>
        <w:rPr>
          <w:rFonts w:ascii="仿宋_GB2312" w:eastAsia="仿宋_GB2312" w:hAnsi="仿宋_GB2312" w:cs="仿宋_GB2312" w:hint="eastAsia"/>
          <w:color w:val="000000"/>
          <w:sz w:val="32"/>
          <w:szCs w:val="32"/>
          <w:shd w:val="clear" w:color="auto" w:fill="FFFFFF"/>
        </w:rPr>
        <w:t>周边或者需要高精度测量的少部分农村地区范围，根据《农村地籍和房屋调查技术方案（试行）》等技术规范要求，采用全解析法或部分解析法开展房屋测量。在不需要高精度的大部分农村地区，采取简易法，以农村地籍调查成果为基础，先通过外业调查补充三年内农房的变化状况，完善地形图后，通过转绘图形补充房屋调查成果，在登记簿和权属证书附记栏中注明“今后若有更高精度的测量成果，以高精度数据为准”。申请人要求进行高精度测量并自行提供高精度测量成果的，成果经审核通过后予以采用。本次权属调查采用双边或</w:t>
      </w:r>
      <w:proofErr w:type="gramStart"/>
      <w:r>
        <w:rPr>
          <w:rFonts w:ascii="仿宋_GB2312" w:eastAsia="仿宋_GB2312" w:hAnsi="仿宋_GB2312" w:cs="仿宋_GB2312" w:hint="eastAsia"/>
          <w:color w:val="000000"/>
          <w:sz w:val="32"/>
          <w:szCs w:val="32"/>
          <w:shd w:val="clear" w:color="auto" w:fill="FFFFFF"/>
        </w:rPr>
        <w:t>单边指</w:t>
      </w:r>
      <w:proofErr w:type="gramEnd"/>
      <w:r>
        <w:rPr>
          <w:rFonts w:ascii="仿宋_GB2312" w:eastAsia="仿宋_GB2312" w:hAnsi="仿宋_GB2312" w:cs="仿宋_GB2312" w:hint="eastAsia"/>
          <w:color w:val="000000"/>
          <w:sz w:val="32"/>
          <w:szCs w:val="32"/>
          <w:shd w:val="clear" w:color="auto" w:fill="FFFFFF"/>
        </w:rPr>
        <w:t>界的方式进行，由村民委员会统一组织权利人对本宗地</w:t>
      </w:r>
      <w:proofErr w:type="gramStart"/>
      <w:r>
        <w:rPr>
          <w:rFonts w:ascii="仿宋_GB2312" w:eastAsia="仿宋_GB2312" w:hAnsi="仿宋_GB2312" w:cs="仿宋_GB2312" w:hint="eastAsia"/>
          <w:color w:val="000000"/>
          <w:sz w:val="32"/>
          <w:szCs w:val="32"/>
          <w:shd w:val="clear" w:color="auto" w:fill="FFFFFF"/>
        </w:rPr>
        <w:t>或邻宗地</w:t>
      </w:r>
      <w:proofErr w:type="gramEnd"/>
      <w:r>
        <w:rPr>
          <w:rFonts w:ascii="仿宋_GB2312" w:eastAsia="仿宋_GB2312" w:hAnsi="仿宋_GB2312" w:cs="仿宋_GB2312" w:hint="eastAsia"/>
          <w:color w:val="000000"/>
          <w:sz w:val="32"/>
          <w:szCs w:val="32"/>
          <w:shd w:val="clear" w:color="auto" w:fill="FFFFFF"/>
        </w:rPr>
        <w:t>进行指界，确认权属界线，指</w:t>
      </w:r>
      <w:proofErr w:type="gramStart"/>
      <w:r>
        <w:rPr>
          <w:rFonts w:ascii="仿宋_GB2312" w:eastAsia="仿宋_GB2312" w:hAnsi="仿宋_GB2312" w:cs="仿宋_GB2312" w:hint="eastAsia"/>
          <w:color w:val="000000"/>
          <w:sz w:val="32"/>
          <w:szCs w:val="32"/>
          <w:shd w:val="clear" w:color="auto" w:fill="FFFFFF"/>
        </w:rPr>
        <w:t>界完成</w:t>
      </w:r>
      <w:proofErr w:type="gramEnd"/>
      <w:r>
        <w:rPr>
          <w:rFonts w:ascii="仿宋_GB2312" w:eastAsia="仿宋_GB2312" w:hAnsi="仿宋_GB2312" w:cs="仿宋_GB2312" w:hint="eastAsia"/>
          <w:color w:val="000000"/>
          <w:sz w:val="32"/>
          <w:szCs w:val="32"/>
          <w:shd w:val="clear" w:color="auto" w:fill="FFFFFF"/>
        </w:rPr>
        <w:t>后以行政村为单位统一进行审查。</w:t>
      </w:r>
    </w:p>
    <w:p w14:paraId="7A7EA6DA"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（三）简化登记程序。村民委员会要协助收集不动产登记申请、有效身份证明及合法权属来源等材料，也可在指</w:t>
      </w:r>
      <w:proofErr w:type="gramStart"/>
      <w:r>
        <w:rPr>
          <w:rFonts w:ascii="仿宋_GB2312" w:eastAsia="仿宋_GB2312" w:hAnsi="仿宋_GB2312" w:cs="仿宋_GB2312" w:hint="eastAsia"/>
          <w:color w:val="000000"/>
          <w:sz w:val="32"/>
          <w:szCs w:val="32"/>
          <w:shd w:val="clear" w:color="auto" w:fill="FFFFFF"/>
        </w:rPr>
        <w:t>界阶段</w:t>
      </w:r>
      <w:proofErr w:type="gramEnd"/>
      <w:r>
        <w:rPr>
          <w:rFonts w:ascii="仿宋_GB2312" w:eastAsia="仿宋_GB2312" w:hAnsi="仿宋_GB2312" w:cs="仿宋_GB2312" w:hint="eastAsia"/>
          <w:color w:val="000000"/>
          <w:sz w:val="32"/>
          <w:szCs w:val="32"/>
          <w:shd w:val="clear" w:color="auto" w:fill="FFFFFF"/>
        </w:rPr>
        <w:t>一并引导权利人申请宅基地和房屋所有权首次登记。权籍调查初步成果形成后，由不动产登记机构对不动产权利人信息、权籍调查成果、登记事项等内容进行公告，公告期不少于15个工作日（公告所需时间不计算在登记办理期限内），公告无异议且经权利人签字确认后，不动产登记机构对申请材料进行审核，符合登记条件的予以确权登记并颁发不动产权证书。涉及设立抵押权、地役权或者办理预告登记、异议登记的，依法颁发不动产登记证明。</w:t>
      </w:r>
    </w:p>
    <w:p w14:paraId="67D3F8CC"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四）完成成果上报。各地要同步建立权籍调查成果数据库，在现有的不动产登记信息平台中办理农村宅基地、集体建设用地使用权和房屋、建筑物、构筑物所有权登记，做好权籍调查和登记发证成果数据上报，建立成果信息动态更新机制，实现登记发证成果的数字化管理和信息化应用。</w:t>
      </w:r>
    </w:p>
    <w:p w14:paraId="49FC90D6" w14:textId="77777777" w:rsidR="00D62FC1" w:rsidRDefault="009C09DE" w:rsidP="00CE02C9">
      <w:pPr>
        <w:pStyle w:val="a3"/>
        <w:widowControl/>
        <w:shd w:val="clear" w:color="auto" w:fill="FFFFFF"/>
        <w:spacing w:beforeAutospacing="0" w:afterAutospacing="0"/>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六、工作步骤</w:t>
      </w:r>
    </w:p>
    <w:p w14:paraId="794D3CB4" w14:textId="5B5A94B2"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（一）前期准备阶段（2020年</w:t>
      </w:r>
      <w:r w:rsidR="000D29E2">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sidR="000D29E2">
        <w:rPr>
          <w:rFonts w:ascii="仿宋_GB2312" w:eastAsia="仿宋_GB2312" w:hAnsi="仿宋_GB2312" w:cs="仿宋_GB2312" w:hint="eastAsia"/>
          <w:color w:val="000000"/>
          <w:sz w:val="32"/>
          <w:szCs w:val="32"/>
          <w:shd w:val="clear" w:color="auto" w:fill="FFFFFF"/>
        </w:rPr>
        <w:t>至</w:t>
      </w:r>
      <w:r w:rsidR="00F725C1">
        <w:rPr>
          <w:rFonts w:ascii="仿宋_GB2312" w:eastAsia="仿宋_GB2312" w:hAnsi="仿宋_GB2312" w:cs="仿宋_GB2312"/>
          <w:color w:val="000000"/>
          <w:sz w:val="32"/>
          <w:szCs w:val="32"/>
          <w:shd w:val="clear" w:color="auto" w:fill="FFFFFF"/>
        </w:rPr>
        <w:t>7</w:t>
      </w:r>
      <w:r w:rsidR="000D29E2">
        <w:rPr>
          <w:rFonts w:ascii="仿宋_GB2312" w:eastAsia="仿宋_GB2312" w:hAnsi="仿宋_GB2312" w:cs="仿宋_GB2312" w:hint="eastAsia"/>
          <w:color w:val="000000"/>
          <w:sz w:val="32"/>
          <w:szCs w:val="32"/>
          <w:shd w:val="clear" w:color="auto" w:fill="FFFFFF"/>
        </w:rPr>
        <w:t>月</w:t>
      </w:r>
      <w:r w:rsidR="00F725C1">
        <w:rPr>
          <w:rFonts w:ascii="仿宋_GB2312" w:eastAsia="仿宋_GB2312" w:hAnsi="仿宋_GB2312" w:cs="仿宋_GB2312" w:hint="eastAsia"/>
          <w:color w:val="000000"/>
          <w:sz w:val="32"/>
          <w:szCs w:val="32"/>
          <w:shd w:val="clear" w:color="auto" w:fill="FFFFFF"/>
        </w:rPr>
        <w:t>上旬</w:t>
      </w:r>
      <w:r>
        <w:rPr>
          <w:rFonts w:ascii="仿宋_GB2312" w:eastAsia="仿宋_GB2312" w:hAnsi="仿宋_GB2312" w:cs="仿宋_GB2312" w:hint="eastAsia"/>
          <w:color w:val="000000"/>
          <w:sz w:val="32"/>
          <w:szCs w:val="32"/>
          <w:shd w:val="clear" w:color="auto" w:fill="FFFFFF"/>
        </w:rPr>
        <w:t>）。</w:t>
      </w:r>
    </w:p>
    <w:p w14:paraId="34278252" w14:textId="1B9A7B82" w:rsidR="0052423B" w:rsidRDefault="0052423B"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制定实施方案，发布政府通告，建立工作协调机制，开展前期情况摸查和资料收集，落实工作经费。</w:t>
      </w:r>
    </w:p>
    <w:p w14:paraId="6BC08A4B" w14:textId="159913C9"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（二）组织实施阶段（2020年</w:t>
      </w:r>
      <w:r w:rsidR="00625A64">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sidR="00625A64">
        <w:rPr>
          <w:rFonts w:ascii="仿宋_GB2312" w:eastAsia="仿宋_GB2312" w:hAnsi="仿宋_GB2312" w:cs="仿宋_GB2312" w:hint="eastAsia"/>
          <w:color w:val="000000"/>
          <w:sz w:val="32"/>
          <w:szCs w:val="32"/>
          <w:shd w:val="clear" w:color="auto" w:fill="FFFFFF"/>
        </w:rPr>
        <w:t>上旬</w:t>
      </w:r>
      <w:r>
        <w:rPr>
          <w:rFonts w:ascii="仿宋_GB2312" w:eastAsia="仿宋_GB2312" w:hAnsi="仿宋_GB2312" w:cs="仿宋_GB2312" w:hint="eastAsia"/>
          <w:color w:val="000000"/>
          <w:sz w:val="32"/>
          <w:szCs w:val="32"/>
          <w:shd w:val="clear" w:color="auto" w:fill="FFFFFF"/>
        </w:rPr>
        <w:t>至11月）。</w:t>
      </w:r>
    </w:p>
    <w:p w14:paraId="5486606C" w14:textId="296E102B"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以招投标方式选取有资质的农村权籍调查作业队伍，开展农村权籍调查，建立农村不动产权籍调查数据库，完成确</w:t>
      </w:r>
      <w:r>
        <w:rPr>
          <w:rFonts w:ascii="仿宋_GB2312" w:eastAsia="仿宋_GB2312" w:hAnsi="仿宋_GB2312" w:cs="仿宋_GB2312" w:hint="eastAsia"/>
          <w:color w:val="000000"/>
          <w:sz w:val="32"/>
          <w:szCs w:val="32"/>
          <w:shd w:val="clear" w:color="auto" w:fill="FFFFFF"/>
        </w:rPr>
        <w:lastRenderedPageBreak/>
        <w:t>权登记。</w:t>
      </w:r>
      <w:r w:rsidR="006D0D52">
        <w:rPr>
          <w:rFonts w:ascii="仿宋_GB2312" w:eastAsia="仿宋_GB2312" w:hAnsi="仿宋_GB2312" w:cs="仿宋_GB2312" w:hint="eastAsia"/>
          <w:color w:val="000000"/>
          <w:sz w:val="32"/>
          <w:szCs w:val="32"/>
          <w:shd w:val="clear" w:color="auto" w:fill="FFFFFF"/>
        </w:rPr>
        <w:t>按省厅技术方案明确权籍调查流程，做好内业和外业作业队伍的分工与职责。</w:t>
      </w:r>
    </w:p>
    <w:p w14:paraId="422DEEC5"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（三）成果验收阶段（2020年11月至12月）。</w:t>
      </w:r>
    </w:p>
    <w:p w14:paraId="772DC5BE"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完成县级调查和登记成果资料整理、检查和数据上报以及自验工作。</w:t>
      </w:r>
    </w:p>
    <w:p w14:paraId="3208037C" w14:textId="77777777" w:rsidR="00D62FC1" w:rsidRDefault="009C09DE" w:rsidP="00CE02C9">
      <w:pPr>
        <w:pStyle w:val="a3"/>
        <w:widowControl/>
        <w:shd w:val="clear" w:color="auto" w:fill="FFFFFF"/>
        <w:spacing w:beforeAutospacing="0" w:afterAutospacing="0"/>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七、保障措施</w:t>
      </w:r>
    </w:p>
    <w:p w14:paraId="787A7074" w14:textId="2F9CDAB4"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（一）组织保障。</w:t>
      </w:r>
      <w:r w:rsidR="00741995">
        <w:rPr>
          <w:rFonts w:ascii="仿宋_GB2312" w:eastAsia="仿宋_GB2312" w:hAnsi="仿宋_GB2312" w:cs="仿宋_GB2312" w:hint="eastAsia"/>
          <w:color w:val="000000"/>
          <w:sz w:val="32"/>
          <w:szCs w:val="32"/>
          <w:shd w:val="clear" w:color="auto" w:fill="FFFFFF"/>
        </w:rPr>
        <w:t>各镇要切实加强组织领导，明确目标任务、职责分工、方法步骤、时间安排和工作要求，确保工作落实到位。按省、市的统一部署，成立连平县“房地一体”农村不动产登记发证工作领导小组</w:t>
      </w:r>
      <w:r w:rsidR="00FA44A3">
        <w:rPr>
          <w:rFonts w:ascii="仿宋_GB2312" w:eastAsia="仿宋_GB2312" w:hAnsi="仿宋_GB2312" w:cs="仿宋_GB2312" w:hint="eastAsia"/>
          <w:color w:val="000000"/>
          <w:sz w:val="32"/>
          <w:szCs w:val="32"/>
          <w:shd w:val="clear" w:color="auto" w:fill="FFFFFF"/>
        </w:rPr>
        <w:t>，由县分管自然资源工作的领导任组长，县府办分管负责人、县自然资源局主要负责人为副组长，县财政局、县住房和城乡建设局、县自然资源局、县农业农村局、县公安局分管负责人和各镇镇长为成员。领导小组下设办公室（设在县自然资源局），由</w:t>
      </w:r>
      <w:r w:rsidR="00403D9A">
        <w:rPr>
          <w:rFonts w:ascii="仿宋_GB2312" w:eastAsia="仿宋_GB2312" w:hAnsi="仿宋_GB2312" w:cs="仿宋_GB2312" w:hint="eastAsia"/>
          <w:color w:val="000000"/>
          <w:sz w:val="32"/>
          <w:szCs w:val="32"/>
          <w:shd w:val="clear" w:color="auto" w:fill="FFFFFF"/>
        </w:rPr>
        <w:t>县自然资源局分管领导</w:t>
      </w:r>
      <w:r w:rsidR="00186379">
        <w:rPr>
          <w:rFonts w:ascii="仿宋_GB2312" w:eastAsia="仿宋_GB2312" w:hAnsi="仿宋_GB2312" w:cs="仿宋_GB2312" w:hint="eastAsia"/>
          <w:color w:val="000000"/>
          <w:sz w:val="32"/>
          <w:szCs w:val="32"/>
          <w:shd w:val="clear" w:color="auto" w:fill="FFFFFF"/>
        </w:rPr>
        <w:t>兼任办公室主任，具体负责本次工作的实施推进。各镇参照成立工作领导小组，切实加强对本辖区“房地一体”农村不动产登记发证工作的领导，并具体负责组织实施“房地一体”农村不动产登记发证工作。同时，各镇行政村要成立“房地一体”农村不动产登记发证工作联络协调组，村支书（主任）任组长，村民小组负责人和村民代表为成员，负责联络协调村民小组开展“房地一体”工作。</w:t>
      </w:r>
      <w:r w:rsidR="00FE7824">
        <w:rPr>
          <w:rFonts w:ascii="仿宋_GB2312" w:eastAsia="仿宋_GB2312" w:hAnsi="仿宋_GB2312" w:cs="仿宋_GB2312" w:hint="eastAsia"/>
          <w:color w:val="000000"/>
          <w:sz w:val="32"/>
          <w:szCs w:val="32"/>
          <w:shd w:val="clear" w:color="auto" w:fill="FFFFFF"/>
        </w:rPr>
        <w:t>村民小组成立由村民小组组长和若干村民代表组成的“房地一体”工作</w:t>
      </w:r>
      <w:r w:rsidR="00FE7824">
        <w:rPr>
          <w:rFonts w:ascii="仿宋_GB2312" w:eastAsia="仿宋_GB2312" w:hAnsi="仿宋_GB2312" w:cs="仿宋_GB2312" w:hint="eastAsia"/>
          <w:color w:val="000000"/>
          <w:sz w:val="32"/>
          <w:szCs w:val="32"/>
          <w:shd w:val="clear" w:color="auto" w:fill="FFFFFF"/>
        </w:rPr>
        <w:lastRenderedPageBreak/>
        <w:t>协查组，参与资料收集、</w:t>
      </w:r>
      <w:proofErr w:type="gramStart"/>
      <w:r w:rsidR="00FE7824">
        <w:rPr>
          <w:rFonts w:ascii="仿宋_GB2312" w:eastAsia="仿宋_GB2312" w:hAnsi="仿宋_GB2312" w:cs="仿宋_GB2312" w:hint="eastAsia"/>
          <w:color w:val="000000"/>
          <w:sz w:val="32"/>
          <w:szCs w:val="32"/>
          <w:shd w:val="clear" w:color="auto" w:fill="FFFFFF"/>
        </w:rPr>
        <w:t>权属指</w:t>
      </w:r>
      <w:proofErr w:type="gramEnd"/>
      <w:r w:rsidR="00FE7824">
        <w:rPr>
          <w:rFonts w:ascii="仿宋_GB2312" w:eastAsia="仿宋_GB2312" w:hAnsi="仿宋_GB2312" w:cs="仿宋_GB2312" w:hint="eastAsia"/>
          <w:color w:val="000000"/>
          <w:sz w:val="32"/>
          <w:szCs w:val="32"/>
          <w:shd w:val="clear" w:color="auto" w:fill="FFFFFF"/>
        </w:rPr>
        <w:t>界、矛盾纠纷调处等工作。各相关部门应各司其职，各负其责，通力协作，密切配合</w:t>
      </w:r>
      <w:r w:rsidR="00783EBE">
        <w:rPr>
          <w:rFonts w:ascii="仿宋_GB2312" w:eastAsia="仿宋_GB2312" w:hAnsi="仿宋_GB2312" w:cs="仿宋_GB2312" w:hint="eastAsia"/>
          <w:color w:val="000000"/>
          <w:sz w:val="32"/>
          <w:szCs w:val="32"/>
          <w:shd w:val="clear" w:color="auto" w:fill="FFFFFF"/>
        </w:rPr>
        <w:t>，</w:t>
      </w:r>
      <w:r w:rsidR="00FE7824">
        <w:rPr>
          <w:rFonts w:ascii="仿宋_GB2312" w:eastAsia="仿宋_GB2312" w:hAnsi="仿宋_GB2312" w:cs="仿宋_GB2312" w:hint="eastAsia"/>
          <w:color w:val="000000"/>
          <w:sz w:val="32"/>
          <w:szCs w:val="32"/>
          <w:shd w:val="clear" w:color="auto" w:fill="FFFFFF"/>
        </w:rPr>
        <w:t>全力推进。</w:t>
      </w:r>
      <w:r w:rsidR="00783EBE">
        <w:rPr>
          <w:rFonts w:ascii="仿宋_GB2312" w:eastAsia="仿宋_GB2312" w:hAnsi="仿宋_GB2312" w:cs="仿宋_GB2312" w:hint="eastAsia"/>
          <w:color w:val="000000"/>
          <w:sz w:val="32"/>
          <w:szCs w:val="32"/>
          <w:shd w:val="clear" w:color="auto" w:fill="FFFFFF"/>
        </w:rPr>
        <w:t>具体职责分工是</w:t>
      </w:r>
      <w:r w:rsidR="001C1560">
        <w:rPr>
          <w:rFonts w:ascii="仿宋_GB2312" w:eastAsia="仿宋_GB2312" w:hAnsi="仿宋_GB2312" w:cs="仿宋_GB2312" w:hint="eastAsia"/>
          <w:color w:val="000000"/>
          <w:sz w:val="32"/>
          <w:szCs w:val="32"/>
          <w:shd w:val="clear" w:color="auto" w:fill="FFFFFF"/>
        </w:rPr>
        <w:t>：</w:t>
      </w:r>
      <w:r w:rsidRPr="00A84EF4">
        <w:rPr>
          <w:rFonts w:ascii="仿宋_GB2312" w:eastAsia="仿宋_GB2312" w:hAnsi="仿宋_GB2312" w:cs="仿宋_GB2312" w:hint="eastAsia"/>
          <w:color w:val="000000"/>
          <w:sz w:val="32"/>
          <w:szCs w:val="32"/>
          <w:shd w:val="clear" w:color="auto" w:fill="FFFFFF"/>
        </w:rPr>
        <w:t>自然资源部门负责统筹协调，具体负责相关方案制定、技术指导、业务培训、成果汇总等工作。</w:t>
      </w:r>
      <w:r w:rsidR="00A84EF4" w:rsidRPr="00A84EF4">
        <w:rPr>
          <w:rFonts w:ascii="仿宋_GB2312" w:eastAsia="仿宋_GB2312" w:hAnsi="仿宋_GB2312" w:cs="仿宋_GB2312" w:hint="eastAsia"/>
          <w:color w:val="000000"/>
          <w:sz w:val="32"/>
          <w:szCs w:val="32"/>
          <w:shd w:val="clear" w:color="auto" w:fill="FFFFFF"/>
        </w:rPr>
        <w:t>财政部门负责将工作经费纳入预算，确保资金落实到位。</w:t>
      </w:r>
      <w:r w:rsidRPr="00A84EF4">
        <w:rPr>
          <w:rFonts w:ascii="仿宋_GB2312" w:eastAsia="仿宋_GB2312" w:hAnsi="仿宋_GB2312" w:cs="仿宋_GB2312" w:hint="eastAsia"/>
          <w:color w:val="000000"/>
          <w:sz w:val="32"/>
          <w:szCs w:val="32"/>
          <w:shd w:val="clear" w:color="auto" w:fill="FFFFFF"/>
        </w:rPr>
        <w:t>住房城乡建设部门负责指导农村房屋建设。农业农村部门负责指导农村宅基地分配、使用管理工作。</w:t>
      </w:r>
      <w:r w:rsidR="000B2A6A">
        <w:rPr>
          <w:rFonts w:ascii="仿宋_GB2312" w:eastAsia="仿宋_GB2312" w:hAnsi="仿宋_GB2312" w:cs="仿宋_GB2312" w:hint="eastAsia"/>
          <w:color w:val="000000"/>
          <w:sz w:val="32"/>
          <w:szCs w:val="32"/>
          <w:shd w:val="clear" w:color="auto" w:fill="FFFFFF"/>
        </w:rPr>
        <w:t>公安部门负责指导农村宅基地（房屋）门牌编号、提供权利人户籍信息等工作。各镇人民政府负责依法审批审核农村宅基地，并负责农村宅基地违法查处以及辖区内的村（居）委会协助做好权属调查指认等相关工作。</w:t>
      </w:r>
    </w:p>
    <w:p w14:paraId="0C390C21"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（二）政策保障。积极主动作为，因地制宜制定符合本</w:t>
      </w:r>
      <w:r w:rsidR="00F820A8">
        <w:rPr>
          <w:rFonts w:ascii="仿宋_GB2312" w:eastAsia="仿宋_GB2312" w:hAnsi="仿宋_GB2312" w:cs="仿宋_GB2312" w:hint="eastAsia"/>
          <w:color w:val="000000"/>
          <w:sz w:val="32"/>
          <w:szCs w:val="32"/>
          <w:shd w:val="clear" w:color="auto" w:fill="FFFFFF"/>
        </w:rPr>
        <w:t>县</w:t>
      </w:r>
      <w:r>
        <w:rPr>
          <w:rFonts w:ascii="仿宋_GB2312" w:eastAsia="仿宋_GB2312" w:hAnsi="仿宋_GB2312" w:cs="仿宋_GB2312" w:hint="eastAsia"/>
          <w:color w:val="000000"/>
          <w:sz w:val="32"/>
          <w:szCs w:val="32"/>
          <w:shd w:val="clear" w:color="auto" w:fill="FFFFFF"/>
        </w:rPr>
        <w:t>实际的确权登记政策，出台操作细则，确定符合建房资格的具体内容，明确补办相关手续的具体流程，对宅基地使用面积及地上房屋建筑面积的标准</w:t>
      </w:r>
      <w:proofErr w:type="gramStart"/>
      <w:r>
        <w:rPr>
          <w:rFonts w:ascii="仿宋_GB2312" w:eastAsia="仿宋_GB2312" w:hAnsi="仿宋_GB2312" w:cs="仿宋_GB2312" w:hint="eastAsia"/>
          <w:color w:val="000000"/>
          <w:sz w:val="32"/>
          <w:szCs w:val="32"/>
          <w:shd w:val="clear" w:color="auto" w:fill="FFFFFF"/>
        </w:rPr>
        <w:t>作出</w:t>
      </w:r>
      <w:proofErr w:type="gramEnd"/>
      <w:r>
        <w:rPr>
          <w:rFonts w:ascii="仿宋_GB2312" w:eastAsia="仿宋_GB2312" w:hAnsi="仿宋_GB2312" w:cs="仿宋_GB2312" w:hint="eastAsia"/>
          <w:color w:val="000000"/>
          <w:sz w:val="32"/>
          <w:szCs w:val="32"/>
          <w:shd w:val="clear" w:color="auto" w:fill="FFFFFF"/>
        </w:rPr>
        <w:t>限定。</w:t>
      </w:r>
    </w:p>
    <w:p w14:paraId="0392F661" w14:textId="77777777" w:rsidR="00005E78"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（三）经费保障。除申请人自行提供高精度权籍调查成果产生的费用外，由政府统一组织的农村权籍调查不得向申请人收费。</w:t>
      </w:r>
    </w:p>
    <w:p w14:paraId="3802970B" w14:textId="77777777" w:rsidR="00D62FC1" w:rsidRDefault="009C09DE" w:rsidP="00CE02C9">
      <w:pPr>
        <w:pStyle w:val="a3"/>
        <w:widowControl/>
        <w:shd w:val="clear" w:color="auto" w:fill="FFFFFF"/>
        <w:spacing w:beforeAutospacing="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（四）宣传动员。要加强宣传动员，做好舆论引导，充分发挥农村基层自治组织作用，调动农民群众积极参与权籍调查指界确认、登记申请等工作。</w:t>
      </w:r>
    </w:p>
    <w:p w14:paraId="2227DCEB" w14:textId="01EF9A3E" w:rsidR="00D62FC1" w:rsidRDefault="009C09DE" w:rsidP="00FE19B6">
      <w:pPr>
        <w:pStyle w:val="a3"/>
        <w:widowControl/>
        <w:shd w:val="clear" w:color="auto" w:fill="FFFFFF"/>
        <w:spacing w:beforeAutospacing="0" w:afterAutospacing="0"/>
        <w:ind w:firstLineChars="200" w:firstLine="640"/>
        <w:jc w:val="both"/>
      </w:pPr>
      <w:r>
        <w:rPr>
          <w:rFonts w:ascii="仿宋_GB2312" w:eastAsia="仿宋_GB2312" w:hAnsi="仿宋_GB2312" w:cs="仿宋_GB2312" w:hint="eastAsia"/>
          <w:color w:val="000000"/>
          <w:sz w:val="32"/>
          <w:szCs w:val="32"/>
          <w:shd w:val="clear" w:color="auto" w:fill="FFFFFF"/>
        </w:rPr>
        <w:t>本方案自发文之日起施行，有效期3年。</w:t>
      </w:r>
    </w:p>
    <w:sectPr w:rsidR="00D62F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5341" w14:textId="77777777" w:rsidR="003C2366" w:rsidRDefault="003C2366" w:rsidP="00005E78">
      <w:r>
        <w:separator/>
      </w:r>
    </w:p>
  </w:endnote>
  <w:endnote w:type="continuationSeparator" w:id="0">
    <w:p w14:paraId="3A475A13" w14:textId="77777777" w:rsidR="003C2366" w:rsidRDefault="003C2366" w:rsidP="0000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807484"/>
      <w:docPartObj>
        <w:docPartGallery w:val="Page Numbers (Bottom of Page)"/>
        <w:docPartUnique/>
      </w:docPartObj>
    </w:sdtPr>
    <w:sdtEndPr/>
    <w:sdtContent>
      <w:p w14:paraId="15104779" w14:textId="77777777" w:rsidR="00005E78" w:rsidRDefault="00005E78">
        <w:pPr>
          <w:pStyle w:val="a6"/>
          <w:jc w:val="center"/>
        </w:pPr>
        <w:r>
          <w:fldChar w:fldCharType="begin"/>
        </w:r>
        <w:r>
          <w:instrText>PAGE   \* MERGEFORMAT</w:instrText>
        </w:r>
        <w:r>
          <w:fldChar w:fldCharType="separate"/>
        </w:r>
        <w:r w:rsidRPr="00005E78">
          <w:rPr>
            <w:noProof/>
            <w:lang w:val="zh-CN"/>
          </w:rPr>
          <w:t>9</w:t>
        </w:r>
        <w:r>
          <w:fldChar w:fldCharType="end"/>
        </w:r>
      </w:p>
    </w:sdtContent>
  </w:sdt>
  <w:p w14:paraId="2C92A3E2" w14:textId="77777777" w:rsidR="00005E78" w:rsidRDefault="00005E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8A91" w14:textId="77777777" w:rsidR="003C2366" w:rsidRDefault="003C2366" w:rsidP="00005E78">
      <w:r>
        <w:separator/>
      </w:r>
    </w:p>
  </w:footnote>
  <w:footnote w:type="continuationSeparator" w:id="0">
    <w:p w14:paraId="456BC60E" w14:textId="77777777" w:rsidR="003C2366" w:rsidRDefault="003C2366" w:rsidP="00005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4B296"/>
    <w:multiLevelType w:val="singleLevel"/>
    <w:tmpl w:val="5E44B296"/>
    <w:lvl w:ilvl="0">
      <w:start w:val="4"/>
      <w:numFmt w:val="chineseCounting"/>
      <w:suff w:val="nothing"/>
      <w:lvlText w:val="%1、"/>
      <w:lvlJc w:val="left"/>
    </w:lvl>
  </w:abstractNum>
  <w:abstractNum w:abstractNumId="1" w15:restartNumberingAfterBreak="0">
    <w:nsid w:val="5E44B36B"/>
    <w:multiLevelType w:val="singleLevel"/>
    <w:tmpl w:val="5E44B36B"/>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F25323C"/>
    <w:rsid w:val="00005E78"/>
    <w:rsid w:val="000155A6"/>
    <w:rsid w:val="000B2A6A"/>
    <w:rsid w:val="000D21E4"/>
    <w:rsid w:val="000D29E2"/>
    <w:rsid w:val="0017260B"/>
    <w:rsid w:val="00186379"/>
    <w:rsid w:val="00190E16"/>
    <w:rsid w:val="001C1560"/>
    <w:rsid w:val="00316EC6"/>
    <w:rsid w:val="003C2366"/>
    <w:rsid w:val="00403D9A"/>
    <w:rsid w:val="00407FA1"/>
    <w:rsid w:val="004466D6"/>
    <w:rsid w:val="004A19BD"/>
    <w:rsid w:val="005114CB"/>
    <w:rsid w:val="00522769"/>
    <w:rsid w:val="0052423B"/>
    <w:rsid w:val="005A3AA3"/>
    <w:rsid w:val="005D1C1D"/>
    <w:rsid w:val="005F6597"/>
    <w:rsid w:val="00625A64"/>
    <w:rsid w:val="006D0D52"/>
    <w:rsid w:val="007318EC"/>
    <w:rsid w:val="00741995"/>
    <w:rsid w:val="00783EBE"/>
    <w:rsid w:val="007968AE"/>
    <w:rsid w:val="007F66AC"/>
    <w:rsid w:val="00971F64"/>
    <w:rsid w:val="009C09DE"/>
    <w:rsid w:val="00A7480A"/>
    <w:rsid w:val="00A84EF4"/>
    <w:rsid w:val="00B16FF0"/>
    <w:rsid w:val="00C4259F"/>
    <w:rsid w:val="00C7581A"/>
    <w:rsid w:val="00C77776"/>
    <w:rsid w:val="00CE02C9"/>
    <w:rsid w:val="00D62FC1"/>
    <w:rsid w:val="00DB0B19"/>
    <w:rsid w:val="00E26814"/>
    <w:rsid w:val="00E27AC8"/>
    <w:rsid w:val="00E36227"/>
    <w:rsid w:val="00E777BA"/>
    <w:rsid w:val="00E836F8"/>
    <w:rsid w:val="00F725C1"/>
    <w:rsid w:val="00F820A8"/>
    <w:rsid w:val="00FA44A3"/>
    <w:rsid w:val="00FB02B4"/>
    <w:rsid w:val="00FC588B"/>
    <w:rsid w:val="00FE19B6"/>
    <w:rsid w:val="00FE7824"/>
    <w:rsid w:val="0D6D16E8"/>
    <w:rsid w:val="0F7F3EF2"/>
    <w:rsid w:val="11325610"/>
    <w:rsid w:val="123A5698"/>
    <w:rsid w:val="172B1C4A"/>
    <w:rsid w:val="17370F18"/>
    <w:rsid w:val="17C555AF"/>
    <w:rsid w:val="1D0E5259"/>
    <w:rsid w:val="26741074"/>
    <w:rsid w:val="2E4F7BEF"/>
    <w:rsid w:val="34440E1B"/>
    <w:rsid w:val="35A90559"/>
    <w:rsid w:val="410925AF"/>
    <w:rsid w:val="4CF07EB8"/>
    <w:rsid w:val="5335054B"/>
    <w:rsid w:val="5AB050C7"/>
    <w:rsid w:val="5E2708D9"/>
    <w:rsid w:val="6482557C"/>
    <w:rsid w:val="6A574448"/>
    <w:rsid w:val="6F25323C"/>
    <w:rsid w:val="71C91153"/>
    <w:rsid w:val="7C926A30"/>
    <w:rsid w:val="7D14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CA54B"/>
  <w15:docId w15:val="{453EDA58-C194-4F5D-880C-A66B1212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005E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05E78"/>
    <w:rPr>
      <w:rFonts w:asciiTheme="minorHAnsi" w:eastAsiaTheme="minorEastAsia" w:hAnsiTheme="minorHAnsi" w:cstheme="minorBidi"/>
      <w:kern w:val="2"/>
      <w:sz w:val="18"/>
      <w:szCs w:val="18"/>
    </w:rPr>
  </w:style>
  <w:style w:type="paragraph" w:styleId="a6">
    <w:name w:val="footer"/>
    <w:basedOn w:val="a"/>
    <w:link w:val="a7"/>
    <w:uiPriority w:val="99"/>
    <w:rsid w:val="00005E78"/>
    <w:pPr>
      <w:tabs>
        <w:tab w:val="center" w:pos="4153"/>
        <w:tab w:val="right" w:pos="8306"/>
      </w:tabs>
      <w:snapToGrid w:val="0"/>
      <w:jc w:val="left"/>
    </w:pPr>
    <w:rPr>
      <w:sz w:val="18"/>
      <w:szCs w:val="18"/>
    </w:rPr>
  </w:style>
  <w:style w:type="character" w:customStyle="1" w:styleId="a7">
    <w:name w:val="页脚 字符"/>
    <w:basedOn w:val="a0"/>
    <w:link w:val="a6"/>
    <w:uiPriority w:val="99"/>
    <w:rsid w:val="00005E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824</Words>
  <Characters>4701</Characters>
  <Application>Microsoft Office Word</Application>
  <DocSecurity>0</DocSecurity>
  <Lines>39</Lines>
  <Paragraphs>11</Paragraphs>
  <ScaleCrop>false</ScaleCrop>
  <Company>市国土资源局</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马耀青</dc:creator>
  <cp:lastModifiedBy>达豪</cp:lastModifiedBy>
  <cp:revision>38</cp:revision>
  <dcterms:created xsi:type="dcterms:W3CDTF">2020-01-13T08:06:00Z</dcterms:created>
  <dcterms:modified xsi:type="dcterms:W3CDTF">2020-09-24T07:37:00Z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