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连平县政府投资项目前期工作经费管理办法</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征求意见稿</w:t>
      </w:r>
      <w:r>
        <w:rPr>
          <w:rFonts w:hint="eastAsia" w:ascii="方正小标宋简体" w:hAnsi="方正小标宋简体" w:eastAsia="方正小标宋简体" w:cs="方正小标宋简体"/>
          <w:b w:val="0"/>
          <w:bCs w:val="0"/>
          <w:sz w:val="44"/>
          <w:szCs w:val="44"/>
          <w:lang w:eastAsia="zh-CN"/>
        </w:rPr>
        <w:t>）</w:t>
      </w:r>
    </w:p>
    <w:p>
      <w:pPr>
        <w:rPr>
          <w:rFonts w:hint="eastAsia"/>
          <w:lang w:eastAsia="zh-CN"/>
        </w:rPr>
      </w:pPr>
    </w:p>
    <w:p>
      <w:pPr>
        <w:pageBreakBefore w:val="0"/>
        <w:kinsoku/>
        <w:overflowPunct/>
        <w:topLinePunct w:val="0"/>
        <w:autoSpaceDE w:val="0"/>
        <w:autoSpaceDN/>
        <w:bidi w:val="0"/>
        <w:adjustRightInd/>
        <w:spacing w:line="240" w:lineRule="auto"/>
        <w:ind w:firstLine="632" w:firstLineChars="200"/>
        <w:jc w:val="both"/>
        <w:textAlignment w:val="auto"/>
        <w:rPr>
          <w:rFonts w:ascii="仿宋" w:hAnsi="仿宋" w:eastAsia="仿宋"/>
        </w:rPr>
      </w:pPr>
      <w:r>
        <w:rPr>
          <w:rFonts w:hint="eastAsia" w:ascii="黑体" w:hAnsi="黑体" w:eastAsia="黑体" w:cs="黑体"/>
          <w:b w:val="0"/>
          <w:bCs w:val="0"/>
        </w:rPr>
        <w:t>第一条</w:t>
      </w:r>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为</w:t>
      </w:r>
      <w:r>
        <w:rPr>
          <w:rFonts w:hint="eastAsia" w:ascii="仿宋" w:hAnsi="仿宋" w:eastAsia="仿宋"/>
          <w:lang w:eastAsia="zh-CN"/>
        </w:rPr>
        <w:t>全力推动“两个连平”建设，</w:t>
      </w:r>
      <w:r>
        <w:rPr>
          <w:rFonts w:hint="eastAsia" w:ascii="仿宋" w:hAnsi="仿宋" w:eastAsia="仿宋"/>
        </w:rPr>
        <w:t>保障政府投资项目顺利推进，根据《中</w:t>
      </w:r>
      <w:r>
        <w:rPr>
          <w:rFonts w:hint="eastAsia" w:ascii="仿宋" w:hAnsi="仿宋" w:eastAsia="仿宋"/>
          <w:kern w:val="0"/>
        </w:rPr>
        <w:t>华人民共和国预算法》《政府投资条例》《基本建设财务规则》，并参照《中央预算内基建投资项目前期工作经费管理暂行办法》，结合本县实际，制定本办法。</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第二条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本办法所称政府投资项目前期工作，是指从建设项目的规划谋划、立项审批、勘察设计、图审到项目具备招标条件前所进行的一系列工作。</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第三条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项目前期工作经费的安排坚持突出重点、统筹兼顾、勤俭节约、公开透明、规范管理的原则。</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第四条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项目前期工作经费的支持范围：</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（一）</w:t>
      </w:r>
      <w:r>
        <w:rPr>
          <w:rFonts w:hint="eastAsia" w:ascii="仿宋" w:hAnsi="仿宋" w:eastAsia="仿宋"/>
          <w:sz w:val="32"/>
          <w:szCs w:val="32"/>
        </w:rPr>
        <w:t>纳入国家、省、市中长期规划的项目或已获得上级相关部门批准同意开展前期工作的项目；</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（二）</w:t>
      </w:r>
      <w:r>
        <w:rPr>
          <w:rFonts w:hint="eastAsia" w:ascii="仿宋" w:hAnsi="仿宋" w:eastAsia="仿宋"/>
          <w:sz w:val="32"/>
          <w:szCs w:val="32"/>
        </w:rPr>
        <w:t>纳入县级年度投资计划的政府投资重点、亮点项目；</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（三）</w:t>
      </w:r>
      <w:r>
        <w:rPr>
          <w:rFonts w:hint="eastAsia" w:ascii="仿宋" w:hAnsi="仿宋" w:eastAsia="仿宋"/>
          <w:sz w:val="32"/>
          <w:szCs w:val="32"/>
        </w:rPr>
        <w:t>为争资立项需完成前期工作的项目；</w:t>
      </w:r>
    </w:p>
    <w:p>
      <w:pPr>
        <w:keepNext w:val="0"/>
        <w:keepLines w:val="0"/>
        <w:pageBreakBefore w:val="0"/>
        <w:widowControl w:val="0"/>
        <w:tabs>
          <w:tab w:val="left" w:pos="787"/>
        </w:tabs>
        <w:kinsoku/>
        <w:wordWrap/>
        <w:overflowPunct/>
        <w:topLinePunct w:val="0"/>
        <w:autoSpaceDE/>
        <w:autoSpaceDN/>
        <w:bidi w:val="0"/>
        <w:adjustRightInd w:val="0"/>
        <w:snapToGrid/>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（四）</w:t>
      </w:r>
      <w:r>
        <w:rPr>
          <w:rFonts w:hint="eastAsia" w:ascii="仿宋" w:hAnsi="仿宋" w:eastAsia="仿宋"/>
          <w:sz w:val="32"/>
          <w:szCs w:val="32"/>
        </w:rPr>
        <w:t>符合国家政策和资金投向，对县域经济发展有重大促进或重大影响，需提前开展项目调查等前期工作</w:t>
      </w:r>
      <w:bookmarkStart w:id="0" w:name="_GoBack"/>
      <w:bookmarkEnd w:id="0"/>
      <w:r>
        <w:rPr>
          <w:rFonts w:hint="eastAsia" w:ascii="仿宋" w:hAnsi="仿宋" w:eastAsia="仿宋"/>
          <w:sz w:val="32"/>
          <w:szCs w:val="32"/>
        </w:rPr>
        <w:t>的项目(含争资立项和招商引资项目)；</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（五）</w:t>
      </w:r>
      <w:r>
        <w:rPr>
          <w:rFonts w:hint="eastAsia" w:ascii="仿宋" w:hAnsi="仿宋" w:eastAsia="仿宋"/>
          <w:sz w:val="32"/>
          <w:szCs w:val="32"/>
        </w:rPr>
        <w:t>经县委、县政府批准同意实施的项目。</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第五条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项目前期工作经费的使用范围：</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（一）</w:t>
      </w:r>
      <w:r>
        <w:rPr>
          <w:rFonts w:hint="eastAsia" w:ascii="仿宋" w:hAnsi="仿宋" w:eastAsia="仿宋"/>
          <w:sz w:val="32"/>
          <w:szCs w:val="32"/>
        </w:rPr>
        <w:t>项目建议书、可行性研究、规划、环评、节能、防洪评价、水土保持、文物调查、社会稳定风险等编制及评估费；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（二）</w:t>
      </w:r>
      <w:r>
        <w:rPr>
          <w:rFonts w:hint="eastAsia" w:ascii="仿宋" w:hAnsi="仿宋" w:eastAsia="仿宋"/>
        </w:rPr>
        <w:t>勘察、测量费；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（三）</w:t>
      </w:r>
      <w:r>
        <w:rPr>
          <w:rFonts w:hint="eastAsia" w:ascii="仿宋" w:hAnsi="仿宋" w:eastAsia="仿宋"/>
        </w:rPr>
        <w:t>初步设计费及评审费；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（四）</w:t>
      </w:r>
      <w:r>
        <w:rPr>
          <w:rFonts w:hint="eastAsia" w:ascii="仿宋" w:hAnsi="仿宋" w:eastAsia="仿宋"/>
        </w:rPr>
        <w:t>施工图设计费及审图费；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（五）</w:t>
      </w:r>
      <w:r>
        <w:rPr>
          <w:rFonts w:hint="eastAsia" w:ascii="仿宋" w:hAnsi="仿宋" w:eastAsia="仿宋"/>
        </w:rPr>
        <w:t>造价咨询费；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（六）</w:t>
      </w:r>
      <w:r>
        <w:rPr>
          <w:rFonts w:hint="eastAsia" w:ascii="仿宋" w:hAnsi="仿宋" w:eastAsia="仿宋"/>
        </w:rPr>
        <w:t>招标代理费；</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楷体" w:hAnsi="楷体" w:eastAsia="楷体" w:cs="楷体"/>
        </w:rPr>
        <w:t>（七）</w:t>
      </w:r>
      <w:r>
        <w:rPr>
          <w:rFonts w:hint="eastAsia" w:ascii="仿宋" w:hAnsi="仿宋" w:eastAsia="仿宋"/>
        </w:rPr>
        <w:t>经县发改部门、县财政部门审定与前期工作相关的其他费用。</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第六条</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sz w:val="32"/>
          <w:szCs w:val="32"/>
        </w:rPr>
        <w:t>项目前期工作经费的资金来源：</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（一）</w:t>
      </w:r>
      <w:r>
        <w:rPr>
          <w:rFonts w:hint="eastAsia" w:ascii="仿宋" w:hAnsi="仿宋" w:eastAsia="仿宋"/>
          <w:sz w:val="32"/>
          <w:szCs w:val="32"/>
        </w:rPr>
        <w:t>上级补助的项目前期工作经费；</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（二）</w:t>
      </w:r>
      <w:r>
        <w:rPr>
          <w:rFonts w:hint="eastAsia" w:ascii="仿宋" w:hAnsi="仿宋" w:eastAsia="仿宋"/>
          <w:sz w:val="32"/>
          <w:szCs w:val="32"/>
        </w:rPr>
        <w:t>县本级财政预算安排的资金；</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（三）</w:t>
      </w:r>
      <w:r>
        <w:rPr>
          <w:rFonts w:hint="eastAsia" w:ascii="仿宋" w:hAnsi="仿宋" w:eastAsia="仿宋"/>
          <w:sz w:val="32"/>
          <w:szCs w:val="32"/>
        </w:rPr>
        <w:t>根据有关规定，在上级专项资金中计提的项目前期工作经费；</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（四）</w:t>
      </w:r>
      <w:r>
        <w:rPr>
          <w:rFonts w:hint="eastAsia" w:ascii="仿宋" w:hAnsi="仿宋" w:eastAsia="仿宋"/>
          <w:sz w:val="32"/>
          <w:szCs w:val="32"/>
        </w:rPr>
        <w:t>县政府确定的其他资金。</w:t>
      </w:r>
    </w:p>
    <w:p>
      <w:pPr>
        <w:pageBreakBefore w:val="0"/>
        <w:kinsoku/>
        <w:overflowPunct/>
        <w:topLinePunct w:val="0"/>
        <w:autoSpaceDE w:val="0"/>
        <w:autoSpaceDN/>
        <w:bidi w:val="0"/>
        <w:adjustRightInd/>
        <w:spacing w:line="240" w:lineRule="auto"/>
        <w:ind w:firstLine="632" w:firstLineChars="200"/>
        <w:jc w:val="both"/>
        <w:textAlignment w:val="auto"/>
        <w:rPr>
          <w:rFonts w:hint="eastAsia" w:ascii="仿宋" w:hAnsi="仿宋" w:eastAsia="仿宋"/>
        </w:rPr>
      </w:pPr>
      <w:r>
        <w:rPr>
          <w:rFonts w:hint="eastAsia" w:ascii="黑体" w:hAnsi="黑体" w:eastAsia="黑体" w:cs="黑体"/>
          <w:b w:val="0"/>
          <w:bCs w:val="0"/>
        </w:rPr>
        <w:t>第七条</w:t>
      </w:r>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项目前期工作经费的标准、申报和审批流程。</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（一）</w:t>
      </w:r>
      <w:r>
        <w:rPr>
          <w:rFonts w:hint="eastAsia" w:ascii="仿宋" w:hAnsi="仿宋" w:eastAsia="仿宋"/>
          <w:sz w:val="32"/>
          <w:szCs w:val="32"/>
        </w:rPr>
        <w:t>项目前期工作经费标准。根据项目前期工作进度，按收费标准下浮一定比例核定前期工作经费（收费标准及下浮比例参考附件2）。项目前期工作经费总额不超过该项目县财政投资评审中心工程预算审核金额的6%。</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_GB2312" w:hAnsi="仿宋_GB2312" w:eastAsia="仿宋_GB2312" w:cs="仿宋_GB2312"/>
          <w:b w:val="0"/>
          <w:bCs w:val="0"/>
          <w:sz w:val="32"/>
          <w:szCs w:val="32"/>
        </w:rPr>
      </w:pPr>
      <w:r>
        <w:rPr>
          <w:rFonts w:hint="eastAsia" w:ascii="楷体" w:hAnsi="楷体" w:eastAsia="楷体" w:cs="楷体"/>
          <w:sz w:val="32"/>
          <w:szCs w:val="32"/>
        </w:rPr>
        <w:t>（二）</w:t>
      </w:r>
      <w:r>
        <w:rPr>
          <w:rFonts w:hint="eastAsia" w:ascii="仿宋" w:hAnsi="仿宋" w:eastAsia="仿宋"/>
          <w:sz w:val="32"/>
          <w:szCs w:val="32"/>
        </w:rPr>
        <w:t>项目前期工作经费申报和审批程序。项目前期工作经费的审批采取“一事一议”制，由使用单位填报《政府投资项目前期工作经费申</w:t>
      </w:r>
      <w:r>
        <w:rPr>
          <w:rFonts w:hint="eastAsia" w:ascii="仿宋" w:hAnsi="仿宋" w:eastAsia="仿宋"/>
          <w:sz w:val="32"/>
          <w:szCs w:val="32"/>
          <w:lang w:eastAsia="zh-CN"/>
        </w:rPr>
        <w:t>请</w:t>
      </w:r>
      <w:r>
        <w:rPr>
          <w:rFonts w:hint="eastAsia" w:ascii="仿宋" w:hAnsi="仿宋" w:eastAsia="仿宋"/>
          <w:sz w:val="32"/>
          <w:szCs w:val="32"/>
        </w:rPr>
        <w:t>表》（附件1）并附项目前期工作经费概算表，</w:t>
      </w:r>
      <w:r>
        <w:rPr>
          <w:rFonts w:hint="eastAsia" w:ascii="仿宋" w:hAnsi="仿宋" w:eastAsia="仿宋"/>
          <w:sz w:val="32"/>
          <w:szCs w:val="32"/>
          <w:lang w:eastAsia="zh-CN"/>
        </w:rPr>
        <w:t>按《连平县财政专项资金分配审批暂行规定》</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连</w:t>
      </w:r>
      <w:r>
        <w:rPr>
          <w:rFonts w:hint="eastAsia" w:ascii="仿宋_GB2312" w:hAnsi="仿宋_GB2312" w:eastAsia="仿宋_GB2312" w:cs="仿宋_GB2312"/>
          <w:b w:val="0"/>
          <w:bCs w:val="0"/>
          <w:sz w:val="32"/>
          <w:szCs w:val="32"/>
        </w:rPr>
        <w:t>府</w:t>
      </w:r>
      <w:r>
        <w:rPr>
          <w:rFonts w:hint="eastAsia" w:ascii="仿宋_GB2312" w:hAnsi="仿宋_GB2312" w:eastAsia="仿宋_GB2312" w:cs="仿宋_GB2312"/>
          <w:b w:val="0"/>
          <w:bCs w:val="0"/>
          <w:sz w:val="32"/>
          <w:szCs w:val="32"/>
          <w:lang w:eastAsia="zh-CN"/>
        </w:rPr>
        <w:t>办</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进行审批</w:t>
      </w:r>
      <w:r>
        <w:rPr>
          <w:rFonts w:hint="eastAsia" w:ascii="仿宋_GB2312" w:hAnsi="仿宋_GB2312" w:eastAsia="仿宋_GB2312" w:cs="仿宋_GB2312"/>
          <w:b w:val="0"/>
          <w:bCs w:val="0"/>
          <w:sz w:val="32"/>
          <w:szCs w:val="32"/>
        </w:rPr>
        <w:t>。</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（三）</w:t>
      </w:r>
      <w:r>
        <w:rPr>
          <w:rFonts w:hint="eastAsia" w:ascii="仿宋" w:hAnsi="仿宋" w:eastAsia="仿宋"/>
          <w:sz w:val="32"/>
          <w:szCs w:val="32"/>
        </w:rPr>
        <w:t>县财政部门根据县重点项目前期工作领导小组（经费审核保障专责组）审批意见或县政府常务会议意见，批复下达指标并按相关规定办理资金拨付。</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楷体" w:hAnsi="楷体" w:eastAsia="楷体" w:cs="楷体"/>
          <w:sz w:val="32"/>
          <w:szCs w:val="32"/>
        </w:rPr>
        <w:t>（四）</w:t>
      </w:r>
      <w:r>
        <w:rPr>
          <w:rFonts w:hint="eastAsia" w:ascii="仿宋" w:hAnsi="仿宋" w:eastAsia="仿宋"/>
          <w:sz w:val="32"/>
          <w:szCs w:val="32"/>
        </w:rPr>
        <w:t>各部门必须加强项目前期工作经费的使用和管理，有下列情形之一的，给予缓拨或停拨资金，并全额收回项目前期工作经费。</w:t>
      </w:r>
    </w:p>
    <w:p>
      <w:pPr>
        <w:pStyle w:val="5"/>
        <w:pageBreakBefore w:val="0"/>
        <w:widowControl/>
        <w:kinsoku/>
        <w:overflowPunct/>
        <w:topLinePunct w:val="0"/>
        <w:autoSpaceDE w:val="0"/>
        <w:autoSpaceDN/>
        <w:bidi w:val="0"/>
        <w:adjustRightInd/>
        <w:spacing w:before="0" w:beforeAutospacing="0" w:after="0" w:afterAutospacing="0" w:line="240" w:lineRule="auto"/>
        <w:ind w:left="622" w:leftChars="197" w:firstLine="104" w:firstLineChars="33"/>
        <w:jc w:val="both"/>
        <w:textAlignment w:val="auto"/>
        <w:rPr>
          <w:rFonts w:hint="eastAsia" w:ascii="仿宋" w:hAnsi="仿宋" w:eastAsia="仿宋"/>
          <w:sz w:val="32"/>
          <w:szCs w:val="32"/>
        </w:rPr>
      </w:pPr>
      <w:r>
        <w:rPr>
          <w:rFonts w:hint="eastAsia" w:ascii="仿宋" w:hAnsi="仿宋" w:eastAsia="仿宋"/>
          <w:sz w:val="32"/>
          <w:szCs w:val="32"/>
        </w:rPr>
        <w:t>1.项目前期工作经费使用不符合规定的；</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仿宋" w:hAnsi="仿宋" w:eastAsia="仿宋"/>
          <w:sz w:val="32"/>
          <w:szCs w:val="32"/>
        </w:rPr>
        <w:t>2.提供虚假信息，骗取项目前期工作经费的；</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仿宋" w:hAnsi="仿宋" w:eastAsia="仿宋"/>
          <w:sz w:val="32"/>
          <w:szCs w:val="32"/>
        </w:rPr>
        <w:t>3.项目建设前期费用使用单位未按有关规定进行招投标和政府采购的；</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仿宋" w:hAnsi="仿宋" w:eastAsia="仿宋"/>
          <w:sz w:val="32"/>
          <w:szCs w:val="32"/>
        </w:rPr>
        <w:t>4.项目前期工作经费下达后长期未使用的；</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仿宋" w:hAnsi="仿宋" w:eastAsia="仿宋"/>
          <w:sz w:val="32"/>
          <w:szCs w:val="32"/>
        </w:rPr>
        <w:t>5.其他违反本办法规定要求的行为。</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第八条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资金使用</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仿宋" w:hAnsi="仿宋" w:eastAsia="仿宋"/>
          <w:sz w:val="32"/>
          <w:szCs w:val="32"/>
        </w:rPr>
        <w:t>资金批复下达后，项目前期工作经费使用单位根据年度工作目标开展相关工作，并根据工作进度提出资金用款计划，按相关财务制度办理支付。项目前期工作经费当年未使用完毕的，资金由县财政统筹使用，不予结转。</w:t>
      </w:r>
    </w:p>
    <w:p>
      <w:pPr>
        <w:pStyle w:val="5"/>
        <w:pageBreakBefore w:val="0"/>
        <w:widowControl/>
        <w:kinsoku/>
        <w:overflowPunct/>
        <w:topLinePunct w:val="0"/>
        <w:autoSpaceDE w:val="0"/>
        <w:autoSpaceDN/>
        <w:bidi w:val="0"/>
        <w:adjustRightInd/>
        <w:spacing w:before="0" w:beforeAutospacing="0" w:after="0" w:afterAutospacing="0" w:line="240" w:lineRule="auto"/>
        <w:ind w:firstLine="730" w:firstLineChars="231"/>
        <w:jc w:val="both"/>
        <w:textAlignment w:val="auto"/>
        <w:rPr>
          <w:rFonts w:hint="eastAsia" w:ascii="仿宋" w:hAnsi="仿宋" w:eastAsia="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仿宋" w:hAnsi="仿宋" w:eastAsia="仿宋"/>
          <w:sz w:val="32"/>
          <w:szCs w:val="32"/>
        </w:rPr>
        <w:t>主管部门或项目建设单位应严格按照项目核算、账务完整清晰的原则，切实加强对项目前期工作经费的管理，确保资金绩效化、安全化使用。</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第九条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绩效评价。项目前期工作经费实行绩效评价制度。项目前期工作完成后，项目业主单位应对项目前期经费管理使用情况、目标实现程度、资金使用效益等进行绩效自评；县财政部门在项目业主单位绩效自评的基础上，抽取部分项目开展重点绩效评价，并向县人民政府报告绩效评价结果。县财政部门应当加强对绩效评价结果的应用，将绩效评价结果作为今后项目前期工作经费安排的重要依据。</w:t>
      </w:r>
    </w:p>
    <w:p>
      <w:pPr>
        <w:pageBreakBefore w:val="0"/>
        <w:kinsoku/>
        <w:overflowPunct/>
        <w:topLinePunct w:val="0"/>
        <w:autoSpaceDE w:val="0"/>
        <w:autoSpaceDN/>
        <w:bidi w:val="0"/>
        <w:adjustRightInd/>
        <w:spacing w:line="240" w:lineRule="auto"/>
        <w:ind w:firstLine="632" w:firstLineChars="200"/>
        <w:textAlignment w:val="auto"/>
        <w:rPr>
          <w:rFonts w:hint="eastAsia" w:ascii="仿宋" w:hAnsi="仿宋" w:eastAsia="仿宋"/>
        </w:rPr>
      </w:pPr>
      <w:r>
        <w:rPr>
          <w:rFonts w:hint="eastAsia" w:ascii="黑体" w:hAnsi="黑体" w:eastAsia="黑体" w:cs="黑体"/>
          <w:b w:val="0"/>
          <w:bCs w:val="0"/>
        </w:rPr>
        <w:t>第十条</w:t>
      </w:r>
      <w:r>
        <w:rPr>
          <w:rFonts w:hint="eastAsia" w:ascii="仿宋" w:hAnsi="仿宋" w:eastAsia="仿宋"/>
          <w:b/>
          <w:bCs/>
        </w:rPr>
        <w:t xml:space="preserve"> </w:t>
      </w:r>
      <w:r>
        <w:rPr>
          <w:rFonts w:hint="eastAsia" w:ascii="仿宋" w:hAnsi="仿宋" w:eastAsia="仿宋"/>
          <w:b/>
          <w:bCs/>
          <w:lang w:val="en-US" w:eastAsia="zh-CN"/>
        </w:rPr>
        <w:t xml:space="preserve"> </w:t>
      </w:r>
      <w:r>
        <w:rPr>
          <w:rFonts w:hint="eastAsia" w:ascii="仿宋" w:hAnsi="仿宋" w:eastAsia="仿宋"/>
        </w:rPr>
        <w:t>项目前期工作经费的使用和管理，应接受财政、审计、监察等部门的监督检查。如发现弄虚作假，骗取、截留、挤占、挪用前期</w:t>
      </w:r>
      <w:r>
        <w:rPr>
          <w:rFonts w:hint="eastAsia" w:ascii="仿宋" w:hAnsi="仿宋" w:eastAsia="仿宋"/>
          <w:lang w:val="en-US" w:eastAsia="zh-CN"/>
        </w:rPr>
        <w:t>工作经</w:t>
      </w:r>
      <w:r>
        <w:rPr>
          <w:rFonts w:hint="eastAsia" w:ascii="仿宋" w:hAnsi="仿宋" w:eastAsia="仿宋"/>
        </w:rPr>
        <w:t>费的行为，按程序移交县纪委监委依法处理。同时，县财政部门依法追回相关财政资金，无法追回的，从项目实施单位或业务主管部门年初预算经费予以扣回。</w:t>
      </w:r>
    </w:p>
    <w:p>
      <w:pPr>
        <w:pageBreakBefore w:val="0"/>
        <w:kinsoku/>
        <w:overflowPunct/>
        <w:topLinePunct w:val="0"/>
        <w:autoSpaceDE w:val="0"/>
        <w:autoSpaceDN/>
        <w:bidi w:val="0"/>
        <w:adjustRightInd/>
        <w:spacing w:line="240" w:lineRule="auto"/>
        <w:ind w:firstLine="632" w:firstLineChars="200"/>
        <w:textAlignment w:val="auto"/>
        <w:rPr>
          <w:rFonts w:hint="eastAsia" w:ascii="仿宋" w:hAnsi="仿宋" w:eastAsia="仿宋"/>
        </w:rPr>
      </w:pPr>
      <w:r>
        <w:rPr>
          <w:rFonts w:hint="eastAsia" w:ascii="黑体" w:hAnsi="黑体" w:eastAsia="黑体" w:cs="黑体"/>
          <w:b w:val="0"/>
          <w:bCs w:val="0"/>
        </w:rPr>
        <w:t>第十一条</w:t>
      </w:r>
      <w:r>
        <w:rPr>
          <w:rFonts w:hint="eastAsia" w:ascii="仿宋" w:hAnsi="仿宋" w:eastAsia="仿宋"/>
          <w:b/>
          <w:bCs/>
        </w:rPr>
        <w:t xml:space="preserve"> </w:t>
      </w:r>
      <w:r>
        <w:rPr>
          <w:rFonts w:hint="eastAsia" w:ascii="仿宋" w:hAnsi="仿宋" w:eastAsia="仿宋"/>
          <w:b/>
          <w:bCs/>
          <w:lang w:val="en-US" w:eastAsia="zh-CN"/>
        </w:rPr>
        <w:t xml:space="preserve"> </w:t>
      </w:r>
      <w:r>
        <w:rPr>
          <w:rFonts w:hint="eastAsia" w:ascii="仿宋" w:hAnsi="仿宋" w:eastAsia="仿宋"/>
        </w:rPr>
        <w:t>本办法由县财政局负责解释。</w:t>
      </w:r>
    </w:p>
    <w:p>
      <w:pPr>
        <w:pStyle w:val="5"/>
        <w:pageBreakBefore w:val="0"/>
        <w:widowControl/>
        <w:kinsoku/>
        <w:overflowPunct/>
        <w:topLinePunct w:val="0"/>
        <w:autoSpaceDE w:val="0"/>
        <w:autoSpaceDN/>
        <w:bidi w:val="0"/>
        <w:adjustRightInd/>
        <w:spacing w:before="0" w:beforeAutospacing="0" w:after="0" w:afterAutospacing="0" w:line="240" w:lineRule="auto"/>
        <w:ind w:firstLine="632" w:firstLineChars="200"/>
        <w:jc w:val="both"/>
        <w:textAlignment w:val="auto"/>
        <w:rPr>
          <w:rFonts w:hint="eastAsia" w:ascii="仿宋" w:hAnsi="仿宋" w:eastAsia="仿宋"/>
          <w:sz w:val="32"/>
          <w:szCs w:val="32"/>
        </w:rPr>
      </w:pPr>
      <w:r>
        <w:rPr>
          <w:rFonts w:hint="eastAsia" w:ascii="黑体" w:hAnsi="黑体" w:eastAsia="黑体" w:cs="黑体"/>
          <w:b w:val="0"/>
          <w:bCs w:val="0"/>
          <w:kern w:val="2"/>
          <w:sz w:val="32"/>
          <w:szCs w:val="32"/>
          <w:lang w:val="en-US" w:eastAsia="zh-CN" w:bidi="ar-SA"/>
        </w:rPr>
        <w:t>第十二条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县人民政府原有规定与本办法不一致的，按本办法执行。对中央、省、市有单独规定的项目前期工作经费资金管理要求的，从其规定。</w:t>
      </w:r>
    </w:p>
    <w:p>
      <w:pPr>
        <w:pageBreakBefore w:val="0"/>
        <w:kinsoku/>
        <w:overflowPunct/>
        <w:topLinePunct w:val="0"/>
        <w:autoSpaceDE w:val="0"/>
        <w:autoSpaceDN/>
        <w:bidi w:val="0"/>
        <w:adjustRightInd/>
        <w:spacing w:line="240" w:lineRule="auto"/>
        <w:ind w:firstLine="632" w:firstLineChars="200"/>
        <w:textAlignment w:val="auto"/>
        <w:rPr>
          <w:rFonts w:hint="eastAsia" w:ascii="仿宋" w:hAnsi="仿宋" w:eastAsia="仿宋"/>
        </w:rPr>
      </w:pPr>
      <w:r>
        <w:rPr>
          <w:rFonts w:hint="eastAsia" w:ascii="黑体" w:hAnsi="黑体" w:eastAsia="黑体" w:cs="黑体"/>
          <w:b w:val="0"/>
          <w:bCs w:val="0"/>
        </w:rPr>
        <w:t>第十三条</w:t>
      </w:r>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本办法自印发之日起施行，有效期2年。</w:t>
      </w:r>
    </w:p>
    <w:p>
      <w:pPr>
        <w:pageBreakBefore w:val="0"/>
        <w:kinsoku/>
        <w:overflowPunct/>
        <w:topLinePunct w:val="0"/>
        <w:autoSpaceDE w:val="0"/>
        <w:autoSpaceDN/>
        <w:bidi w:val="0"/>
        <w:adjustRightInd/>
        <w:spacing w:line="240" w:lineRule="auto"/>
        <w:ind w:firstLine="632" w:firstLineChars="200"/>
        <w:textAlignment w:val="auto"/>
        <w:rPr>
          <w:rFonts w:hint="eastAsia" w:ascii="仿宋" w:hAnsi="仿宋" w:eastAsia="仿宋"/>
        </w:rPr>
      </w:pPr>
    </w:p>
    <w:p>
      <w:pPr>
        <w:pageBreakBefore w:val="0"/>
        <w:kinsoku/>
        <w:overflowPunct/>
        <w:topLinePunct w:val="0"/>
        <w:autoSpaceDE w:val="0"/>
        <w:autoSpaceDN/>
        <w:bidi w:val="0"/>
        <w:adjustRightInd/>
        <w:spacing w:line="240" w:lineRule="auto"/>
        <w:ind w:firstLine="632" w:firstLineChars="200"/>
        <w:textAlignment w:val="auto"/>
        <w:rPr>
          <w:rFonts w:hint="eastAsia" w:ascii="仿宋" w:hAnsi="仿宋" w:eastAsia="仿宋"/>
        </w:rPr>
      </w:pPr>
    </w:p>
    <w:p>
      <w:pPr>
        <w:pageBreakBefore w:val="0"/>
        <w:kinsoku/>
        <w:overflowPunct/>
        <w:topLinePunct w:val="0"/>
        <w:autoSpaceDE w:val="0"/>
        <w:autoSpaceDN/>
        <w:bidi w:val="0"/>
        <w:adjustRightInd/>
        <w:spacing w:line="240" w:lineRule="auto"/>
        <w:textAlignment w:val="auto"/>
        <w:rPr>
          <w:rFonts w:ascii="黑体" w:hAnsi="黑体" w:eastAsia="黑体"/>
        </w:rPr>
      </w:pPr>
      <w:r>
        <w:rPr>
          <w:rFonts w:hint="eastAsia" w:ascii="黑体" w:hAnsi="黑体" w:eastAsia="黑体"/>
        </w:rPr>
        <w:t>附件1</w:t>
      </w:r>
    </w:p>
    <w:p>
      <w:pPr>
        <w:keepNext w:val="0"/>
        <w:keepLines w:val="0"/>
        <w:pageBreakBefore w:val="0"/>
        <w:widowControl w:val="0"/>
        <w:kinsoku/>
        <w:wordWrap/>
        <w:overflowPunct/>
        <w:topLinePunct w:val="0"/>
        <w:autoSpaceDE w:val="0"/>
        <w:autoSpaceDN/>
        <w:bidi w:val="0"/>
        <w:adjustRightInd/>
        <w:snapToGrid w:val="0"/>
        <w:spacing w:afterLines="50" w:line="240" w:lineRule="auto"/>
        <w:jc w:val="center"/>
        <w:textAlignment w:val="auto"/>
        <w:rPr>
          <w:rFonts w:hint="eastAsia" w:ascii="仿宋" w:hAnsi="仿宋" w:eastAsia="仿宋"/>
          <w:sz w:val="44"/>
          <w:szCs w:val="44"/>
        </w:rPr>
      </w:pPr>
      <w:r>
        <w:rPr>
          <w:rFonts w:hint="eastAsia" w:ascii="黑体" w:hAnsi="黑体" w:eastAsia="黑体"/>
          <w:sz w:val="44"/>
          <w:szCs w:val="44"/>
        </w:rPr>
        <w:t>政府投资项目前期工作经费申请表</w:t>
      </w:r>
    </w:p>
    <w:p>
      <w:pPr>
        <w:keepNext w:val="0"/>
        <w:keepLines w:val="0"/>
        <w:pageBreakBefore w:val="0"/>
        <w:widowControl w:val="0"/>
        <w:kinsoku/>
        <w:wordWrap/>
        <w:overflowPunct/>
        <w:topLinePunct w:val="0"/>
        <w:autoSpaceDN/>
        <w:bidi w:val="0"/>
        <w:adjustRightInd/>
        <w:snapToGrid w:val="0"/>
        <w:spacing w:line="240" w:lineRule="auto"/>
        <w:textAlignment w:val="auto"/>
        <w:rPr>
          <w:rFonts w:hint="eastAsia" w:ascii="仿宋_GB2312" w:hAnsi="仿宋_GB2312"/>
          <w:sz w:val="28"/>
          <w:szCs w:val="28"/>
        </w:rPr>
      </w:pPr>
      <w:r>
        <w:rPr>
          <w:rFonts w:hint="eastAsia" w:ascii="宋体" w:hAnsi="宋体" w:eastAsia="宋体" w:cs="宋体"/>
          <w:sz w:val="28"/>
          <w:szCs w:val="28"/>
        </w:rPr>
        <w:t>单位名称（盖章）：</w:t>
      </w:r>
      <w:r>
        <w:rPr>
          <w:rFonts w:ascii="仿宋_GB2312" w:hAnsi="仿宋_GB2312"/>
          <w:sz w:val="28"/>
          <w:szCs w:val="28"/>
        </w:rPr>
        <w:t xml:space="preserve">                             </w:t>
      </w:r>
      <w:r>
        <w:rPr>
          <w:rFonts w:hint="eastAsia" w:ascii="宋体" w:hAnsi="宋体" w:eastAsia="宋体" w:cs="宋体"/>
          <w:sz w:val="28"/>
          <w:szCs w:val="28"/>
        </w:rPr>
        <w:t>单位：元</w:t>
      </w:r>
    </w:p>
    <w:tbl>
      <w:tblPr>
        <w:tblStyle w:val="6"/>
        <w:tblW w:w="873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905"/>
        <w:gridCol w:w="1418"/>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项目名称</w:t>
            </w:r>
          </w:p>
        </w:tc>
        <w:tc>
          <w:tcPr>
            <w:tcW w:w="723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项目基本</w:t>
            </w:r>
          </w:p>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情况</w:t>
            </w:r>
          </w:p>
        </w:tc>
        <w:tc>
          <w:tcPr>
            <w:tcW w:w="723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textAlignment w:val="auto"/>
              <w:rPr>
                <w:rFonts w:ascii="仿宋_GB2312" w:hAnsi="仿宋_GB2312"/>
                <w:sz w:val="28"/>
                <w:szCs w:val="28"/>
              </w:rPr>
            </w:pPr>
            <w:r>
              <w:rPr>
                <w:rFonts w:hint="eastAsia" w:ascii="宋体" w:hAnsi="宋体" w:eastAsia="宋体" w:cs="宋体"/>
                <w:i/>
                <w:iCs/>
                <w:color w:val="A4A4A4"/>
                <w:sz w:val="21"/>
                <w:szCs w:val="21"/>
              </w:rPr>
              <w:t>（包括建设项目的重要性和必要性、建设内容、建设规模等）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项目类型</w:t>
            </w:r>
          </w:p>
        </w:tc>
        <w:tc>
          <w:tcPr>
            <w:tcW w:w="2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i/>
                <w:iCs/>
                <w:color w:val="A5A5A5"/>
                <w:sz w:val="21"/>
                <w:szCs w:val="21"/>
              </w:rPr>
              <w:t>（新建项目、改扩建项目、续建项目）</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投资规模</w:t>
            </w:r>
          </w:p>
        </w:tc>
        <w:tc>
          <w:tcPr>
            <w:tcW w:w="29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前期工作</w:t>
            </w:r>
          </w:p>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内容</w:t>
            </w:r>
          </w:p>
        </w:tc>
        <w:tc>
          <w:tcPr>
            <w:tcW w:w="723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textAlignment w:val="auto"/>
              <w:rPr>
                <w:rFonts w:ascii="仿宋_GB2312" w:hAnsi="仿宋_GB2312"/>
                <w:sz w:val="28"/>
                <w:szCs w:val="28"/>
              </w:rPr>
            </w:pPr>
            <w:r>
              <w:rPr>
                <w:rFonts w:hint="eastAsia" w:ascii="宋体" w:hAnsi="宋体" w:eastAsia="宋体" w:cs="宋体"/>
                <w:i/>
                <w:iCs/>
                <w:color w:val="A5A5A5"/>
                <w:sz w:val="21"/>
                <w:szCs w:val="21"/>
              </w:rPr>
              <w:t>（包括前期工作具体内容、目标、进度及前期费用计划依据等）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申请前期工作经费名称</w:t>
            </w:r>
          </w:p>
        </w:tc>
        <w:tc>
          <w:tcPr>
            <w:tcW w:w="2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申请金额</w:t>
            </w:r>
          </w:p>
        </w:tc>
        <w:tc>
          <w:tcPr>
            <w:tcW w:w="29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主管部门</w:t>
            </w:r>
          </w:p>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意见</w:t>
            </w:r>
          </w:p>
        </w:tc>
        <w:tc>
          <w:tcPr>
            <w:tcW w:w="7233" w:type="dxa"/>
            <w:gridSpan w:val="3"/>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N/>
              <w:bidi w:val="0"/>
              <w:adjustRightInd/>
              <w:snapToGrid w:val="0"/>
              <w:spacing w:line="240" w:lineRule="auto"/>
              <w:textAlignment w:val="auto"/>
              <w:rPr>
                <w:rFonts w:ascii="仿宋_GB2312" w:hAnsi="仿宋_GB2312"/>
                <w:sz w:val="28"/>
                <w:szCs w:val="28"/>
              </w:rPr>
            </w:pPr>
            <w:r>
              <w:rPr>
                <w:rFonts w:ascii="仿宋_GB2312" w:hAnsi="仿宋_GB2312"/>
                <w:sz w:val="28"/>
                <w:szCs w:val="28"/>
              </w:rPr>
              <w:t xml:space="preserve">           </w:t>
            </w:r>
            <w:r>
              <w:rPr>
                <w:rFonts w:hint="eastAsia" w:ascii="宋体" w:hAnsi="宋体" w:eastAsia="宋体" w:cs="宋体"/>
                <w:sz w:val="28"/>
                <w:szCs w:val="28"/>
              </w:rPr>
              <w:t>签名：</w:t>
            </w:r>
            <w:r>
              <w:rPr>
                <w:rFonts w:ascii="仿宋_GB2312" w:hAnsi="仿宋_GB2312"/>
                <w:sz w:val="28"/>
                <w:szCs w:val="28"/>
              </w:rPr>
              <w:t xml:space="preserve">              </w:t>
            </w:r>
            <w:r>
              <w:rPr>
                <w:rFonts w:hint="eastAsia" w:ascii="宋体" w:hAnsi="宋体" w:eastAsia="宋体" w:cs="宋体"/>
                <w:sz w:val="28"/>
                <w:szCs w:val="28"/>
              </w:rPr>
              <w:t>年</w:t>
            </w:r>
            <w:r>
              <w:rPr>
                <w:rFonts w:ascii="仿宋_GB2312" w:hAnsi="仿宋_GB2312"/>
                <w:sz w:val="28"/>
                <w:szCs w:val="28"/>
              </w:rPr>
              <w:t xml:space="preserve">  </w:t>
            </w:r>
            <w:r>
              <w:rPr>
                <w:rFonts w:hint="eastAsia" w:ascii="宋体" w:hAnsi="宋体" w:eastAsia="宋体" w:cs="宋体"/>
                <w:sz w:val="28"/>
                <w:szCs w:val="28"/>
              </w:rPr>
              <w:t>月</w:t>
            </w:r>
            <w:r>
              <w:rPr>
                <w:rFonts w:ascii="仿宋_GB2312" w:hAnsi="仿宋_GB2312"/>
                <w:sz w:val="28"/>
                <w:szCs w:val="28"/>
              </w:rPr>
              <w:t xml:space="preserve">  </w:t>
            </w:r>
            <w:r>
              <w:rPr>
                <w:rFonts w:hint="eastAsia" w:ascii="宋体" w:hAnsi="宋体" w:eastAsia="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分管县领导意见</w:t>
            </w:r>
          </w:p>
        </w:tc>
        <w:tc>
          <w:tcPr>
            <w:tcW w:w="7233" w:type="dxa"/>
            <w:gridSpan w:val="3"/>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N/>
              <w:bidi w:val="0"/>
              <w:adjustRightInd/>
              <w:snapToGrid w:val="0"/>
              <w:spacing w:line="240" w:lineRule="auto"/>
              <w:textAlignment w:val="auto"/>
              <w:rPr>
                <w:rFonts w:ascii="仿宋_GB2312" w:hAnsi="仿宋_GB2312"/>
                <w:sz w:val="28"/>
                <w:szCs w:val="28"/>
              </w:rPr>
            </w:pPr>
            <w:r>
              <w:rPr>
                <w:rFonts w:ascii="仿宋_GB2312" w:hAnsi="仿宋_GB2312"/>
                <w:sz w:val="28"/>
                <w:szCs w:val="28"/>
              </w:rPr>
              <w:t xml:space="preserve">           </w:t>
            </w:r>
            <w:r>
              <w:rPr>
                <w:rFonts w:hint="eastAsia" w:ascii="宋体" w:hAnsi="宋体" w:eastAsia="宋体" w:cs="宋体"/>
                <w:sz w:val="28"/>
                <w:szCs w:val="28"/>
              </w:rPr>
              <w:t>签名：</w:t>
            </w:r>
            <w:r>
              <w:rPr>
                <w:rFonts w:ascii="仿宋_GB2312" w:hAnsi="仿宋_GB2312"/>
                <w:sz w:val="28"/>
                <w:szCs w:val="28"/>
              </w:rPr>
              <w:t xml:space="preserve">              </w:t>
            </w:r>
            <w:r>
              <w:rPr>
                <w:rFonts w:hint="eastAsia" w:ascii="宋体" w:hAnsi="宋体" w:eastAsia="宋体" w:cs="宋体"/>
                <w:sz w:val="28"/>
                <w:szCs w:val="28"/>
              </w:rPr>
              <w:t>年</w:t>
            </w:r>
            <w:r>
              <w:rPr>
                <w:rFonts w:ascii="仿宋_GB2312" w:hAnsi="仿宋_GB2312"/>
                <w:sz w:val="28"/>
                <w:szCs w:val="28"/>
              </w:rPr>
              <w:t xml:space="preserve">  </w:t>
            </w:r>
            <w:r>
              <w:rPr>
                <w:rFonts w:hint="eastAsia" w:ascii="宋体" w:hAnsi="宋体" w:eastAsia="宋体" w:cs="宋体"/>
                <w:sz w:val="28"/>
                <w:szCs w:val="28"/>
              </w:rPr>
              <w:t>月</w:t>
            </w:r>
            <w:r>
              <w:rPr>
                <w:rFonts w:ascii="仿宋_GB2312" w:hAnsi="仿宋_GB2312"/>
                <w:sz w:val="28"/>
                <w:szCs w:val="28"/>
              </w:rPr>
              <w:t xml:space="preserve">  </w:t>
            </w:r>
            <w:r>
              <w:rPr>
                <w:rFonts w:hint="eastAsia" w:ascii="宋体" w:hAnsi="宋体" w:eastAsia="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adjustRightInd/>
              <w:snapToGrid w:val="0"/>
              <w:spacing w:line="240" w:lineRule="auto"/>
              <w:jc w:val="center"/>
              <w:textAlignment w:val="auto"/>
              <w:rPr>
                <w:rFonts w:ascii="仿宋_GB2312" w:hAnsi="仿宋_GB2312"/>
                <w:sz w:val="28"/>
                <w:szCs w:val="28"/>
              </w:rPr>
            </w:pPr>
            <w:r>
              <w:rPr>
                <w:rFonts w:hint="eastAsia" w:ascii="宋体" w:hAnsi="宋体" w:eastAsia="宋体" w:cs="宋体"/>
                <w:sz w:val="28"/>
                <w:szCs w:val="28"/>
              </w:rPr>
              <w:t>县重点项目前期工作领导小组审批</w:t>
            </w:r>
          </w:p>
        </w:tc>
        <w:tc>
          <w:tcPr>
            <w:tcW w:w="7233" w:type="dxa"/>
            <w:gridSpan w:val="3"/>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N/>
              <w:bidi w:val="0"/>
              <w:adjustRightInd/>
              <w:snapToGrid w:val="0"/>
              <w:spacing w:line="240" w:lineRule="auto"/>
              <w:textAlignment w:val="auto"/>
              <w:rPr>
                <w:rFonts w:ascii="仿宋_GB2312" w:hAnsi="仿宋_GB2312"/>
                <w:sz w:val="28"/>
                <w:szCs w:val="28"/>
              </w:rPr>
            </w:pPr>
            <w:r>
              <w:rPr>
                <w:rFonts w:ascii="仿宋_GB2312" w:hAnsi="仿宋_GB2312"/>
                <w:sz w:val="28"/>
                <w:szCs w:val="28"/>
              </w:rPr>
              <w:t xml:space="preserve">           </w:t>
            </w:r>
            <w:r>
              <w:rPr>
                <w:rFonts w:hint="eastAsia" w:ascii="宋体" w:hAnsi="宋体" w:eastAsia="宋体" w:cs="宋体"/>
                <w:sz w:val="28"/>
                <w:szCs w:val="28"/>
              </w:rPr>
              <w:t>签名：</w:t>
            </w:r>
            <w:r>
              <w:rPr>
                <w:rFonts w:ascii="仿宋_GB2312" w:hAnsi="仿宋_GB2312"/>
                <w:sz w:val="28"/>
                <w:szCs w:val="28"/>
              </w:rPr>
              <w:t xml:space="preserve">              </w:t>
            </w:r>
            <w:r>
              <w:rPr>
                <w:rFonts w:hint="eastAsia" w:ascii="宋体" w:hAnsi="宋体" w:eastAsia="宋体" w:cs="宋体"/>
                <w:sz w:val="28"/>
                <w:szCs w:val="28"/>
              </w:rPr>
              <w:t>年</w:t>
            </w:r>
            <w:r>
              <w:rPr>
                <w:rFonts w:ascii="仿宋_GB2312" w:hAnsi="仿宋_GB2312"/>
                <w:sz w:val="28"/>
                <w:szCs w:val="28"/>
              </w:rPr>
              <w:t xml:space="preserve">  </w:t>
            </w:r>
            <w:r>
              <w:rPr>
                <w:rFonts w:hint="eastAsia" w:ascii="宋体" w:hAnsi="宋体" w:eastAsia="宋体" w:cs="宋体"/>
                <w:sz w:val="28"/>
                <w:szCs w:val="28"/>
              </w:rPr>
              <w:t>月</w:t>
            </w:r>
            <w:r>
              <w:rPr>
                <w:rFonts w:ascii="仿宋_GB2312" w:hAnsi="仿宋_GB2312"/>
                <w:sz w:val="28"/>
                <w:szCs w:val="28"/>
              </w:rPr>
              <w:t xml:space="preserve">  </w:t>
            </w:r>
            <w:r>
              <w:rPr>
                <w:rFonts w:hint="eastAsia" w:ascii="宋体" w:hAnsi="宋体" w:eastAsia="宋体" w:cs="宋体"/>
                <w:sz w:val="28"/>
                <w:szCs w:val="28"/>
              </w:rPr>
              <w:t>日</w:t>
            </w:r>
          </w:p>
        </w:tc>
      </w:tr>
    </w:tbl>
    <w:p>
      <w:pPr>
        <w:pageBreakBefore w:val="0"/>
        <w:kinsoku/>
        <w:overflowPunct/>
        <w:topLinePunct w:val="0"/>
        <w:autoSpaceDN/>
        <w:bidi w:val="0"/>
        <w:adjustRightInd/>
        <w:spacing w:line="240" w:lineRule="auto"/>
        <w:textAlignment w:val="auto"/>
        <w:rPr>
          <w:rFonts w:ascii="仿宋" w:hAnsi="仿宋" w:eastAsia="仿宋" w:cs="仿宋"/>
          <w:sz w:val="32"/>
          <w:szCs w:val="32"/>
          <w:lang w:eastAsia="zh-CN"/>
        </w:rPr>
      </w:pPr>
      <w:r>
        <w:rPr>
          <w:rFonts w:hint="eastAsia" w:ascii="仿宋" w:hAnsi="仿宋" w:eastAsia="仿宋"/>
        </w:rPr>
        <w:t xml:space="preserve"> </w:t>
      </w:r>
      <w:r>
        <w:rPr>
          <w:rFonts w:hint="eastAsia" w:ascii="黑体" w:hAnsi="黑体" w:eastAsia="黑体" w:cs="黑体"/>
          <w:sz w:val="32"/>
          <w:szCs w:val="32"/>
          <w:lang w:eastAsia="zh-CN"/>
        </w:rPr>
        <w:t>附件</w:t>
      </w:r>
      <w:r>
        <w:rPr>
          <w:rFonts w:ascii="黑体" w:hAnsi="黑体" w:eastAsia="黑体" w:cs="黑体"/>
          <w:sz w:val="32"/>
          <w:szCs w:val="32"/>
          <w:lang w:eastAsia="zh-CN"/>
        </w:rPr>
        <w:t>2</w:t>
      </w:r>
    </w:p>
    <w:p>
      <w:pPr>
        <w:keepNext w:val="0"/>
        <w:keepLines w:val="0"/>
        <w:pageBreakBefore w:val="0"/>
        <w:widowControl w:val="0"/>
        <w:kinsoku/>
        <w:wordWrap/>
        <w:overflowPunct/>
        <w:topLinePunct w:val="0"/>
        <w:autoSpaceDE/>
        <w:autoSpaceDN/>
        <w:bidi w:val="0"/>
        <w:adjustRightInd/>
        <w:snapToGrid w:val="0"/>
        <w:spacing w:after="321" w:afterLines="50" w:line="240" w:lineRule="auto"/>
        <w:jc w:val="center"/>
        <w:textAlignment w:val="auto"/>
        <w:rPr>
          <w:rFonts w:ascii="黑体" w:hAnsi="黑体" w:eastAsia="黑体" w:cs="黑体"/>
          <w:sz w:val="32"/>
          <w:szCs w:val="32"/>
          <w:lang w:eastAsia="zh-CN"/>
        </w:rPr>
      </w:pPr>
      <w:r>
        <w:rPr>
          <w:rFonts w:hint="eastAsia" w:ascii="黑体" w:hAnsi="黑体" w:eastAsia="黑体" w:cs="黑体"/>
          <w:sz w:val="44"/>
          <w:szCs w:val="44"/>
          <w:lang w:eastAsia="zh-CN"/>
        </w:rPr>
        <w:t>前期工作经费收费标准参考表</w:t>
      </w:r>
    </w:p>
    <w:tbl>
      <w:tblPr>
        <w:tblStyle w:val="6"/>
        <w:tblW w:w="881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2625"/>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名称</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收费依据</w:t>
            </w:r>
          </w:p>
        </w:tc>
        <w:tc>
          <w:tcPr>
            <w:tcW w:w="32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资金安排标准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专项规划编制费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按上级指导价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按上级指导价×0.7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项目建议书编制费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计价格[1999]1283号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估算总投资不足5000万元，不编制项目建议书；5000万元以上（含）按收费标准×0.3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可行性研究报告编制费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计价格[1999]1283号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估算总投资不足1000万元，不编制可研报告；1000万元（含）-3000万元（不含）单位自行编制；3000万元以上（含）按收费标准×0.3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环境评估费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计价格[2002]125号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节能评估费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参照有关单位的定价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社会稳定风险评估费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参照有关单位的定价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不高于5万元/宗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工程勘察费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计价格[2002]10号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工程设计费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参考粤建协[2013]9号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施工图审图费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参考粤建协[2013]9号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造价咨询费（含设计单位提供的概算服务）</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粤价函[2011]742号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其中：市政工程、园林绿化、景观工程造价咨询费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土建工程、安装工程、二次装修工程、仿古建筑工程咨询费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房产价格、土地价格评估费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粤价[2010]142号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招标代理费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粤价[2002]386号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政府采购法确定的分段计费及其费率采取差额累进计算后乘以下浮系数作为招标控制价上限值，最高不超过10万元/宗。具体如下：100万元（含）以下项目按收费标准×0.8；100万元-500万元（含）按收费标准×0.12；500万元-10000万元（含）按收费标准×0.2；10000万元（不含）以上按收费标准×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测绘费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财建[2009]17号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工程监理服务费</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发改价格[2007]670号</w:t>
            </w:r>
          </w:p>
        </w:tc>
        <w:tc>
          <w:tcPr>
            <w:tcW w:w="32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按收费标准×0.65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1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388" w:hanging="412" w:hangingChars="200"/>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注：1、应公开招标（或政府采购）而经批准未公开招标（或政府采购）实施的前期费用，在上述招标控制价计费基础上再下浮20%作为合同价上限值；</w:t>
            </w:r>
          </w:p>
          <w:p>
            <w:pPr>
              <w:keepNext w:val="0"/>
              <w:keepLines w:val="0"/>
              <w:pageBreakBefore w:val="0"/>
              <w:widowControl w:val="0"/>
              <w:kinsoku/>
              <w:wordWrap/>
              <w:overflowPunct/>
              <w:topLinePunct w:val="0"/>
              <w:autoSpaceDE/>
              <w:autoSpaceDN/>
              <w:bidi w:val="0"/>
              <w:adjustRightInd/>
              <w:snapToGrid w:val="0"/>
              <w:spacing w:line="240" w:lineRule="auto"/>
              <w:ind w:left="410" w:leftChars="130" w:firstLine="0" w:firstLineChars="0"/>
              <w:jc w:val="left"/>
              <w:textAlignment w:val="auto"/>
              <w:rPr>
                <w:rFonts w:hint="eastAsia" w:ascii="仿宋_GB2312" w:eastAsia="仿宋_GB2312"/>
                <w:sz w:val="21"/>
                <w:szCs w:val="21"/>
                <w:lang w:eastAsia="zh-CN"/>
              </w:rPr>
            </w:pPr>
            <w:r>
              <w:rPr>
                <w:rFonts w:hint="eastAsia" w:ascii="仿宋_GB2312"/>
                <w:sz w:val="21"/>
                <w:szCs w:val="21"/>
                <w:lang w:val="en-US" w:eastAsia="zh-CN"/>
              </w:rPr>
              <w:t>2、</w:t>
            </w:r>
            <w:r>
              <w:rPr>
                <w:rFonts w:hint="eastAsia" w:ascii="仿宋_GB2312" w:eastAsia="仿宋_GB2312"/>
                <w:sz w:val="21"/>
                <w:szCs w:val="21"/>
                <w:lang w:eastAsia="zh-CN"/>
              </w:rPr>
              <w:t>本表所列前期费用取费率自发文之日起执行，当计费依据发生变化时，执行新的计费依据和下浮系数；</w:t>
            </w:r>
          </w:p>
          <w:p>
            <w:pPr>
              <w:keepNext w:val="0"/>
              <w:keepLines w:val="0"/>
              <w:pageBreakBefore w:val="0"/>
              <w:widowControl w:val="0"/>
              <w:kinsoku/>
              <w:wordWrap/>
              <w:overflowPunct/>
              <w:topLinePunct w:val="0"/>
              <w:autoSpaceDE/>
              <w:autoSpaceDN/>
              <w:bidi w:val="0"/>
              <w:adjustRightInd/>
              <w:snapToGrid w:val="0"/>
              <w:spacing w:line="240" w:lineRule="auto"/>
              <w:ind w:firstLine="412" w:firstLineChars="200"/>
              <w:jc w:val="left"/>
              <w:textAlignment w:val="auto"/>
              <w:rPr>
                <w:rFonts w:hint="eastAsia" w:ascii="仿宋_GB2312" w:eastAsia="仿宋_GB2312"/>
                <w:sz w:val="21"/>
                <w:szCs w:val="21"/>
                <w:lang w:eastAsia="zh-CN"/>
              </w:rPr>
            </w:pPr>
            <w:r>
              <w:rPr>
                <w:rFonts w:hint="eastAsia" w:ascii="仿宋_GB2312"/>
                <w:sz w:val="21"/>
                <w:szCs w:val="21"/>
                <w:lang w:val="en-US" w:eastAsia="zh-CN"/>
              </w:rPr>
              <w:t>3、</w:t>
            </w:r>
            <w:r>
              <w:rPr>
                <w:rFonts w:hint="eastAsia" w:ascii="仿宋_GB2312" w:eastAsia="仿宋_GB2312"/>
                <w:sz w:val="21"/>
                <w:szCs w:val="21"/>
                <w:lang w:eastAsia="zh-CN"/>
              </w:rPr>
              <w:t>本表未列前期费用取费费率参照同类执行；</w:t>
            </w:r>
          </w:p>
          <w:p>
            <w:pPr>
              <w:keepNext w:val="0"/>
              <w:keepLines w:val="0"/>
              <w:pageBreakBefore w:val="0"/>
              <w:widowControl w:val="0"/>
              <w:kinsoku/>
              <w:wordWrap/>
              <w:overflowPunct/>
              <w:topLinePunct w:val="0"/>
              <w:autoSpaceDE/>
              <w:autoSpaceDN/>
              <w:bidi w:val="0"/>
              <w:adjustRightInd/>
              <w:snapToGrid w:val="0"/>
              <w:spacing w:line="240" w:lineRule="auto"/>
              <w:ind w:left="410" w:leftChars="130" w:firstLine="0" w:firstLineChars="0"/>
              <w:jc w:val="left"/>
              <w:textAlignment w:val="auto"/>
              <w:rPr>
                <w:rFonts w:hint="eastAsia" w:ascii="仿宋_GB2312" w:eastAsia="仿宋_GB2312"/>
                <w:sz w:val="21"/>
                <w:szCs w:val="21"/>
                <w:lang w:eastAsia="zh-CN"/>
              </w:rPr>
            </w:pPr>
            <w:r>
              <w:rPr>
                <w:rFonts w:hint="eastAsia" w:ascii="仿宋_GB2312" w:eastAsia="仿宋_GB2312"/>
                <w:sz w:val="21"/>
                <w:szCs w:val="21"/>
                <w:lang w:eastAsia="zh-CN"/>
              </w:rPr>
              <w:t>依据本表所列计费依据和下浮系数计算的项目前期费用为最高控制价，各建设单位可在此基础下浮。</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eastAsia="仿宋_GB2312"/>
          <w:sz w:val="21"/>
          <w:szCs w:val="21"/>
          <w:lang w:eastAsia="zh-CN"/>
        </w:rPr>
      </w:pPr>
    </w:p>
    <w:p>
      <w:pPr>
        <w:pageBreakBefore w:val="0"/>
        <w:kinsoku/>
        <w:overflowPunct/>
        <w:topLinePunct w:val="0"/>
        <w:autoSpaceDN/>
        <w:bidi w:val="0"/>
        <w:adjustRightIn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firstLine="316" w:firstLineChars="100"/>
        <w:textAlignment w:val="auto"/>
        <w:rPr>
          <w:rFonts w:hint="eastAsia" w:ascii="黑体" w:hAnsi="黑体" w:eastAsia="黑体" w:cs="仿宋_GB2312"/>
          <w:szCs w:val="32"/>
        </w:rPr>
      </w:pPr>
    </w:p>
    <w:p>
      <w:pPr>
        <w:pageBreakBefore w:val="0"/>
        <w:kinsoku/>
        <w:overflowPunct/>
        <w:topLinePunct w:val="0"/>
        <w:autoSpaceDN/>
        <w:bidi w:val="0"/>
        <w:adjustRightInd/>
        <w:spacing w:line="240" w:lineRule="auto"/>
        <w:textAlignment w:val="auto"/>
      </w:pPr>
    </w:p>
    <w:sectPr>
      <w:footerReference r:id="rId3" w:type="default"/>
      <w:pgSz w:w="11906" w:h="16838"/>
      <w:pgMar w:top="2041" w:right="1474" w:bottom="1984" w:left="1587" w:header="851" w:footer="1502" w:gutter="0"/>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C0"/>
    <w:rsid w:val="000A35E1"/>
    <w:rsid w:val="001856C0"/>
    <w:rsid w:val="00281B0D"/>
    <w:rsid w:val="00537B3E"/>
    <w:rsid w:val="01467CDC"/>
    <w:rsid w:val="026920B7"/>
    <w:rsid w:val="02F9189A"/>
    <w:rsid w:val="03124E1F"/>
    <w:rsid w:val="05B341E5"/>
    <w:rsid w:val="09492F2A"/>
    <w:rsid w:val="09A246C8"/>
    <w:rsid w:val="0C1E0684"/>
    <w:rsid w:val="0CFE2352"/>
    <w:rsid w:val="0D631C63"/>
    <w:rsid w:val="0E660B91"/>
    <w:rsid w:val="101567B8"/>
    <w:rsid w:val="10EA16B6"/>
    <w:rsid w:val="114D68BB"/>
    <w:rsid w:val="129A4EF8"/>
    <w:rsid w:val="12A749DD"/>
    <w:rsid w:val="138459AF"/>
    <w:rsid w:val="14896024"/>
    <w:rsid w:val="19433A09"/>
    <w:rsid w:val="19C4174C"/>
    <w:rsid w:val="1ABE0F00"/>
    <w:rsid w:val="1E076ABB"/>
    <w:rsid w:val="1F3A03F8"/>
    <w:rsid w:val="200C1219"/>
    <w:rsid w:val="206B6BEE"/>
    <w:rsid w:val="206D3DAC"/>
    <w:rsid w:val="21A41CF1"/>
    <w:rsid w:val="21E008CA"/>
    <w:rsid w:val="257D5649"/>
    <w:rsid w:val="266F6EE9"/>
    <w:rsid w:val="2A303D3A"/>
    <w:rsid w:val="2B7858F2"/>
    <w:rsid w:val="2C5212D7"/>
    <w:rsid w:val="2D5D426E"/>
    <w:rsid w:val="2E1E74C6"/>
    <w:rsid w:val="2E3C1B47"/>
    <w:rsid w:val="2F0C7297"/>
    <w:rsid w:val="35710033"/>
    <w:rsid w:val="36585CC0"/>
    <w:rsid w:val="372D75A6"/>
    <w:rsid w:val="378508E3"/>
    <w:rsid w:val="3A1818DC"/>
    <w:rsid w:val="3A8D3F0B"/>
    <w:rsid w:val="40574268"/>
    <w:rsid w:val="43053ED1"/>
    <w:rsid w:val="439352B3"/>
    <w:rsid w:val="43A47EF9"/>
    <w:rsid w:val="450D2F75"/>
    <w:rsid w:val="451C19F6"/>
    <w:rsid w:val="459A53E5"/>
    <w:rsid w:val="45D77E94"/>
    <w:rsid w:val="45E205E8"/>
    <w:rsid w:val="485E6E02"/>
    <w:rsid w:val="496E2223"/>
    <w:rsid w:val="4A0A5C76"/>
    <w:rsid w:val="50533FFE"/>
    <w:rsid w:val="534C78FE"/>
    <w:rsid w:val="542314E8"/>
    <w:rsid w:val="582E234A"/>
    <w:rsid w:val="58EC4B3F"/>
    <w:rsid w:val="5A682F62"/>
    <w:rsid w:val="5C2F0836"/>
    <w:rsid w:val="5C4E3357"/>
    <w:rsid w:val="602755AC"/>
    <w:rsid w:val="63062D30"/>
    <w:rsid w:val="63502BF6"/>
    <w:rsid w:val="674E2ED4"/>
    <w:rsid w:val="69622964"/>
    <w:rsid w:val="6BE35A17"/>
    <w:rsid w:val="6D64161E"/>
    <w:rsid w:val="6E68060B"/>
    <w:rsid w:val="6FA83AB0"/>
    <w:rsid w:val="7353028B"/>
    <w:rsid w:val="74A31BB3"/>
    <w:rsid w:val="75F66EF1"/>
    <w:rsid w:val="76085A0B"/>
    <w:rsid w:val="786101D4"/>
    <w:rsid w:val="7A033D99"/>
    <w:rsid w:val="7A707CD2"/>
    <w:rsid w:val="7CDF5300"/>
    <w:rsid w:val="7E5E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4"/>
    <w:basedOn w:val="1"/>
    <w:next w:val="1"/>
    <w:link w:val="8"/>
    <w:qFormat/>
    <w:uiPriority w:val="99"/>
    <w:pPr>
      <w:keepNext/>
      <w:keepLines/>
      <w:spacing w:line="372" w:lineRule="auto"/>
      <w:outlineLvl w:val="3"/>
    </w:pPr>
    <w:rPr>
      <w:rFonts w:ascii="Arial" w:hAnsi="Arial" w:eastAsia="黑体" w:cs="Arial"/>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customStyle="1" w:styleId="8">
    <w:name w:val="标题 4 Char"/>
    <w:basedOn w:val="7"/>
    <w:link w:val="2"/>
    <w:qFormat/>
    <w:uiPriority w:val="99"/>
    <w:rPr>
      <w:rFonts w:ascii="Arial" w:hAnsi="Arial" w:eastAsia="黑体" w:cs="Arial"/>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510</Words>
  <Characters>2912</Characters>
  <Lines>24</Lines>
  <Paragraphs>6</Paragraphs>
  <TotalTime>14</TotalTime>
  <ScaleCrop>false</ScaleCrop>
  <LinksUpToDate>false</LinksUpToDate>
  <CharactersWithSpaces>3416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2021-03-23T02:08:00Z</dcterms:created>
  <dc:creator>lenovo</dc:creator>
  <cp:lastModifiedBy>lenovo</cp:lastModifiedBy>
  <cp:lastPrinted>2021-05-12T07:06:00Z</cp:lastPrinted>
  <dcterms:modified xsi:type="dcterms:W3CDTF">2021-05-12T07:15:38Z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036C7FA916004DC7A05B4B7FE979E404</vt:lpwstr>
  </property>
</Properties>
</file>