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afterAutospacing="0" w:line="62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bookmarkStart w:id="0" w:name="_GoBack"/>
      <w:bookmarkEnd w:id="0"/>
      <w:r>
        <w:rPr>
          <w:rFonts w:hint="eastAsia" w:ascii="方正小标宋简体" w:hAnsi="方正小标宋简体" w:eastAsia="方正小标宋简体" w:cs="方正小标宋简体"/>
          <w:b w:val="0"/>
          <w:bCs w:val="0"/>
          <w:color w:val="auto"/>
          <w:sz w:val="44"/>
          <w:szCs w:val="44"/>
          <w:lang w:eastAsia="zh-CN"/>
        </w:rPr>
        <w:t>连平县</w:t>
      </w:r>
      <w:r>
        <w:rPr>
          <w:rFonts w:hint="eastAsia" w:ascii="方正小标宋简体" w:hAnsi="方正小标宋简体" w:eastAsia="方正小标宋简体" w:cs="方正小标宋简体"/>
          <w:b w:val="0"/>
          <w:bCs w:val="0"/>
          <w:color w:val="auto"/>
          <w:sz w:val="44"/>
          <w:szCs w:val="44"/>
          <w:lang w:val="en-US" w:eastAsia="zh-CN"/>
        </w:rPr>
        <w:t>创建省级电子商务进农村综合示范</w:t>
      </w:r>
    </w:p>
    <w:p>
      <w:pPr>
        <w:widowControl w:val="0"/>
        <w:wordWrap/>
        <w:adjustRightInd/>
        <w:snapToGrid/>
        <w:spacing w:before="0" w:after="0" w:afterAutospacing="0" w:line="620" w:lineRule="exact"/>
        <w:ind w:left="0" w:leftChars="0" w:right="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项目管理办法</w:t>
      </w:r>
    </w:p>
    <w:p>
      <w:pPr>
        <w:widowControl w:val="0"/>
        <w:wordWrap/>
        <w:adjustRightInd/>
        <w:snapToGrid/>
        <w:spacing w:before="0" w:after="0" w:afterAutospacing="0" w:line="620" w:lineRule="exact"/>
        <w:ind w:left="0" w:leftChars="0" w:right="0"/>
        <w:jc w:val="center"/>
        <w:textAlignment w:val="auto"/>
        <w:outlineLvl w:val="9"/>
        <w:rPr>
          <w:rFonts w:hint="default" w:ascii="方正小标宋简体" w:hAnsi="方正小标宋简体" w:eastAsia="方正小标宋简体" w:cs="方正小标宋简体"/>
          <w:b w:val="0"/>
          <w:bCs w:val="0"/>
          <w:color w:val="auto"/>
          <w:sz w:val="44"/>
          <w:szCs w:val="44"/>
          <w:lang w:val="en-US" w:eastAsia="zh-CN"/>
        </w:rPr>
      </w:pPr>
    </w:p>
    <w:p>
      <w:pPr>
        <w:widowControl w:val="0"/>
        <w:numPr>
          <w:ilvl w:val="0"/>
          <w:numId w:val="1"/>
        </w:numPr>
        <w:adjustRightInd/>
        <w:snapToGrid/>
        <w:spacing w:before="0" w:beforeAutospacing="0" w:after="0" w:afterAutospacing="0" w:line="620" w:lineRule="exact"/>
        <w:ind w:left="0" w:leftChars="0" w:right="0" w:firstLine="420" w:firstLineChars="0"/>
        <w:jc w:val="center"/>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总则</w:t>
      </w:r>
    </w:p>
    <w:p>
      <w:pPr>
        <w:widowControl w:val="0"/>
        <w:numPr>
          <w:ilvl w:val="0"/>
          <w:numId w:val="0"/>
        </w:numPr>
        <w:adjustRightInd/>
        <w:snapToGrid/>
        <w:spacing w:before="0" w:beforeAutospacing="0" w:after="0" w:afterAutospacing="0" w:line="620" w:lineRule="exact"/>
        <w:ind w:left="0" w:leftChars="0" w:right="0"/>
        <w:jc w:val="both"/>
        <w:outlineLvl w:val="9"/>
        <w:rPr>
          <w:rFonts w:hint="eastAsia" w:ascii="黑体" w:hAnsi="黑体" w:eastAsia="黑体" w:cs="黑体"/>
          <w:b w:val="0"/>
          <w:bCs w:val="0"/>
          <w:color w:val="auto"/>
          <w:sz w:val="32"/>
          <w:szCs w:val="32"/>
          <w:lang w:val="en-US" w:eastAsia="zh-CN"/>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_GB2312"/>
          <w:color w:val="auto"/>
          <w:kern w:val="0"/>
          <w:sz w:val="32"/>
          <w:szCs w:val="32"/>
          <w:lang w:val="en-US" w:eastAsia="zh-CN"/>
        </w:rPr>
      </w:pPr>
      <w:r>
        <w:rPr>
          <w:rFonts w:hint="eastAsia" w:ascii="黑体" w:hAnsi="黑体" w:eastAsia="黑体" w:cs="黑体"/>
          <w:color w:val="auto"/>
          <w:sz w:val="32"/>
          <w:szCs w:val="32"/>
          <w:lang w:val="en-US" w:eastAsia="zh-CN"/>
        </w:rPr>
        <w:t>第一条</w:t>
      </w:r>
      <w:r>
        <w:rPr>
          <w:rFonts w:hint="eastAsia" w:ascii="宋体" w:hAnsi="宋体" w:eastAsia="仿宋_GB2312" w:cs="仿宋_GB2312"/>
          <w:color w:val="auto"/>
          <w:sz w:val="32"/>
          <w:szCs w:val="32"/>
          <w:lang w:val="en-US" w:eastAsia="zh-CN"/>
        </w:rPr>
        <w:t xml:space="preserve">  为切实加强我县创建省级电子商务进农村综合示范项目管理，按时完成电子商务进农村工作任务，充分发挥综合示范作用，根据《广东省商务厅关于印发2020年省级电子商务进农村综合示范重点工作任务的通知》（粤商务电函〔2019〕102号）、《广东省商务厅关于下达2020年促进经济高质量发展专项资金（内贸方向省级电子商务进农村综合示范）项目计划的通知》（粤商务电函〔2020〕23号）、《河源市商务局关于下达2020年促进经济高质量发展专项资金（内贸方向省级电子商务进农村综合示范）项目计划的通知》（河商务函〔2020〕10号）等文件精神，结合我县实际，制定本办法</w:t>
      </w:r>
      <w:r>
        <w:rPr>
          <w:rFonts w:hint="eastAsia" w:ascii="宋体" w:hAnsi="宋体" w:eastAsia="仿宋_GB2312" w:cs="仿宋_GB2312"/>
          <w:color w:val="auto"/>
          <w:kern w:val="0"/>
          <w:sz w:val="32"/>
          <w:szCs w:val="32"/>
          <w:lang w:val="en-US" w:eastAsia="zh-CN"/>
        </w:rPr>
        <w:t>。</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_GB2312"/>
          <w:color w:val="auto"/>
          <w:kern w:val="0"/>
          <w:sz w:val="32"/>
          <w:szCs w:val="32"/>
          <w:lang w:val="en-US" w:eastAsia="zh-CN"/>
        </w:rPr>
      </w:pPr>
      <w:r>
        <w:rPr>
          <w:rFonts w:hint="eastAsia" w:ascii="黑体" w:hAnsi="黑体" w:eastAsia="黑体" w:cs="黑体"/>
          <w:color w:val="auto"/>
          <w:sz w:val="32"/>
          <w:szCs w:val="32"/>
          <w:lang w:val="en-US" w:eastAsia="zh-CN"/>
        </w:rPr>
        <w:t xml:space="preserve">第二条  </w:t>
      </w:r>
      <w:r>
        <w:rPr>
          <w:rFonts w:hint="eastAsia" w:ascii="宋体" w:hAnsi="宋体" w:eastAsia="仿宋_GB2312" w:cs="仿宋_GB2312"/>
          <w:color w:val="auto"/>
          <w:kern w:val="0"/>
          <w:sz w:val="32"/>
          <w:szCs w:val="32"/>
        </w:rPr>
        <w:t>本办法适用于参与连平县电子商务进农村综合示范县项目建设的承办企业。</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_GB2312"/>
          <w:color w:val="auto"/>
          <w:kern w:val="0"/>
          <w:sz w:val="32"/>
          <w:szCs w:val="32"/>
          <w:lang w:val="en-US" w:eastAsia="zh-CN"/>
        </w:rPr>
      </w:pPr>
      <w:r>
        <w:rPr>
          <w:rFonts w:hint="eastAsia" w:ascii="黑体" w:hAnsi="黑体" w:eastAsia="黑体" w:cs="黑体"/>
          <w:color w:val="auto"/>
          <w:sz w:val="32"/>
          <w:szCs w:val="32"/>
          <w:lang w:val="en-US" w:eastAsia="zh-CN"/>
        </w:rPr>
        <w:t xml:space="preserve">第三条  </w:t>
      </w:r>
      <w:r>
        <w:rPr>
          <w:rFonts w:hint="eastAsia" w:ascii="宋体" w:hAnsi="宋体" w:eastAsia="仿宋_GB2312" w:cs="仿宋_GB2312"/>
          <w:color w:val="auto"/>
          <w:kern w:val="0"/>
          <w:sz w:val="32"/>
          <w:szCs w:val="32"/>
        </w:rPr>
        <w:t>本办法中承办企业是指</w:t>
      </w:r>
      <w:r>
        <w:rPr>
          <w:rFonts w:hint="eastAsia" w:ascii="宋体" w:hAnsi="宋体" w:eastAsia="仿宋_GB2312" w:cs="仿宋_GB2312"/>
          <w:color w:val="auto"/>
          <w:kern w:val="0"/>
          <w:sz w:val="32"/>
          <w:szCs w:val="32"/>
          <w:lang w:val="en-US" w:eastAsia="zh-CN"/>
        </w:rPr>
        <w:t>依法通过招标程序选定</w:t>
      </w:r>
      <w:r>
        <w:rPr>
          <w:rFonts w:hint="eastAsia" w:ascii="宋体" w:hAnsi="宋体" w:eastAsia="仿宋_GB2312" w:cs="仿宋_GB2312"/>
          <w:color w:val="auto"/>
          <w:kern w:val="0"/>
          <w:sz w:val="32"/>
          <w:szCs w:val="32"/>
        </w:rPr>
        <w:t>的项目实施主体。</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_GB2312"/>
          <w:color w:val="auto"/>
          <w:kern w:val="0"/>
          <w:sz w:val="32"/>
          <w:szCs w:val="32"/>
          <w:lang w:val="en-US" w:eastAsia="zh-CN"/>
        </w:rPr>
      </w:pPr>
      <w:r>
        <w:rPr>
          <w:rFonts w:hint="eastAsia" w:ascii="黑体" w:hAnsi="黑体" w:eastAsia="黑体" w:cs="黑体"/>
          <w:color w:val="auto"/>
          <w:sz w:val="32"/>
          <w:szCs w:val="32"/>
          <w:lang w:val="en-US" w:eastAsia="zh-CN"/>
        </w:rPr>
        <w:t xml:space="preserve">第四条  </w:t>
      </w:r>
      <w:r>
        <w:rPr>
          <w:rFonts w:hint="eastAsia" w:ascii="宋体" w:hAnsi="宋体" w:eastAsia="仿宋_GB2312" w:cs="仿宋_GB2312"/>
          <w:color w:val="auto"/>
          <w:kern w:val="0"/>
          <w:sz w:val="32"/>
          <w:szCs w:val="32"/>
          <w:lang w:val="en-US" w:eastAsia="zh-CN"/>
        </w:rPr>
        <w:t>连平县人民政府是创建省级电子商务进农村综合示范县项目的责任主体，成立连平县电子商务进农村综合示范工作领导小组，负责电子商务进农村综合示范项目统筹谋划。领导小组办公室设在连平县工业商务和信息化局（以下简称“县工商信局”），负责项目管理的具体工作。</w:t>
      </w:r>
    </w:p>
    <w:p>
      <w:pPr>
        <w:widowControl w:val="0"/>
        <w:numPr>
          <w:ilvl w:val="0"/>
          <w:numId w:val="0"/>
        </w:numPr>
        <w:adjustRightInd/>
        <w:snapToGrid/>
        <w:spacing w:before="0" w:beforeAutospacing="0" w:after="0" w:afterAutospacing="0" w:line="620" w:lineRule="exact"/>
        <w:ind w:left="0" w:leftChars="0" w:right="0"/>
        <w:textAlignment w:val="baseline"/>
        <w:outlineLvl w:val="9"/>
        <w:rPr>
          <w:rFonts w:hint="eastAsia" w:ascii="宋体" w:hAnsi="宋体" w:eastAsia="仿宋_GB2312" w:cs="仿宋_GB2312"/>
          <w:color w:val="auto"/>
          <w:kern w:val="0"/>
          <w:sz w:val="32"/>
          <w:szCs w:val="32"/>
          <w:lang w:val="en-US" w:eastAsia="zh-CN"/>
        </w:rPr>
      </w:pPr>
    </w:p>
    <w:p>
      <w:pPr>
        <w:widowControl w:val="0"/>
        <w:numPr>
          <w:ilvl w:val="0"/>
          <w:numId w:val="1"/>
        </w:numPr>
        <w:adjustRightInd/>
        <w:snapToGrid/>
        <w:spacing w:before="0" w:beforeAutospacing="0" w:after="0" w:afterAutospacing="0" w:line="620" w:lineRule="exact"/>
        <w:ind w:left="0" w:leftChars="0" w:right="0" w:firstLine="420" w:firstLineChars="0"/>
        <w:jc w:val="center"/>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承办企业选定</w:t>
      </w:r>
    </w:p>
    <w:p>
      <w:pPr>
        <w:widowControl w:val="0"/>
        <w:numPr>
          <w:ilvl w:val="0"/>
          <w:numId w:val="0"/>
        </w:numPr>
        <w:adjustRightInd/>
        <w:snapToGrid/>
        <w:spacing w:before="0" w:beforeAutospacing="0" w:after="0" w:afterAutospacing="0" w:line="620" w:lineRule="exact"/>
        <w:ind w:left="0" w:leftChars="0" w:right="0"/>
        <w:jc w:val="both"/>
        <w:outlineLvl w:val="9"/>
        <w:rPr>
          <w:rFonts w:hint="eastAsia" w:ascii="黑体" w:hAnsi="黑体" w:eastAsia="黑体" w:cs="黑体"/>
          <w:b w:val="0"/>
          <w:bCs w:val="0"/>
          <w:color w:val="auto"/>
          <w:sz w:val="32"/>
          <w:szCs w:val="32"/>
          <w:lang w:val="en-US" w:eastAsia="zh-CN"/>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
          <w:color w:val="auto"/>
          <w:sz w:val="32"/>
          <w:szCs w:val="32"/>
          <w:lang w:val="en-US" w:eastAsia="zh-CN"/>
        </w:rPr>
      </w:pPr>
      <w:r>
        <w:rPr>
          <w:rFonts w:hint="eastAsia" w:ascii="黑体" w:hAnsi="黑体" w:eastAsia="黑体" w:cs="黑体"/>
          <w:color w:val="auto"/>
          <w:sz w:val="32"/>
          <w:szCs w:val="32"/>
          <w:lang w:val="en-US" w:eastAsia="zh-CN"/>
        </w:rPr>
        <w:t xml:space="preserve">第五条  </w:t>
      </w:r>
      <w:r>
        <w:rPr>
          <w:rFonts w:hint="eastAsia" w:ascii="宋体" w:hAnsi="宋体" w:eastAsia="仿宋_GB2312" w:cs="Times New Roman"/>
          <w:color w:val="auto"/>
          <w:kern w:val="0"/>
          <w:sz w:val="32"/>
          <w:szCs w:val="32"/>
          <w:lang w:val="en-US" w:eastAsia="zh-CN"/>
        </w:rPr>
        <w:t>根据《连平县2020年省级电子商务进农村综合示范县建设实施方案》（连府办〔2020〕8号）</w:t>
      </w:r>
      <w:r>
        <w:rPr>
          <w:rFonts w:hint="eastAsia" w:ascii="宋体" w:hAnsi="宋体" w:eastAsia="仿宋_GB2312" w:cs="仿宋"/>
          <w:color w:val="auto"/>
          <w:sz w:val="32"/>
          <w:szCs w:val="32"/>
          <w:lang w:val="en-US" w:eastAsia="zh-CN"/>
        </w:rPr>
        <w:t>内容，由县工商信局组织实施项目的申报和管理，严格按照公开、公正、公平的原则，采取公开招投方式择优选符合资质条件的项目承办企业。</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
          <w:color w:val="auto"/>
          <w:sz w:val="32"/>
          <w:szCs w:val="32"/>
          <w:lang w:val="en-US" w:eastAsia="zh-CN"/>
        </w:rPr>
      </w:pPr>
      <w:r>
        <w:rPr>
          <w:rFonts w:hint="eastAsia" w:ascii="黑体" w:hAnsi="黑体" w:eastAsia="黑体" w:cs="黑体"/>
          <w:color w:val="auto"/>
          <w:sz w:val="32"/>
          <w:szCs w:val="32"/>
          <w:lang w:val="en-US" w:eastAsia="zh-CN"/>
        </w:rPr>
        <w:t xml:space="preserve">第六条  </w:t>
      </w:r>
      <w:r>
        <w:rPr>
          <w:rFonts w:hint="eastAsia" w:ascii="宋体" w:hAnsi="宋体" w:eastAsia="仿宋_GB2312" w:cs="仿宋"/>
          <w:color w:val="auto"/>
          <w:sz w:val="32"/>
          <w:szCs w:val="32"/>
          <w:lang w:val="en-US" w:eastAsia="zh-CN"/>
        </w:rPr>
        <w:t>承办企业应具备的条件：</w:t>
      </w:r>
    </w:p>
    <w:p>
      <w:pPr>
        <w:widowControl w:val="0"/>
        <w:numPr>
          <w:ilvl w:val="0"/>
          <w:numId w:val="2"/>
        </w:numPr>
        <w:wordWrap/>
        <w:adjustRightInd/>
        <w:snapToGrid/>
        <w:spacing w:before="0" w:beforeAutospacing="0" w:after="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承办企业必须是具有独立承担民事责任能力的，在中华人民共和国境内注册的法人、其他组织或自然人。</w:t>
      </w:r>
    </w:p>
    <w:p>
      <w:pPr>
        <w:widowControl w:val="0"/>
        <w:numPr>
          <w:ilvl w:val="0"/>
          <w:numId w:val="2"/>
        </w:numPr>
        <w:wordWrap/>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产权明晰、管理规范，具有良好的商业信誉和健全的内部账务管理制度，三年内无违法或受到行政处罚的记录。</w:t>
      </w:r>
    </w:p>
    <w:p>
      <w:pPr>
        <w:widowControl w:val="0"/>
        <w:numPr>
          <w:ilvl w:val="0"/>
          <w:numId w:val="2"/>
        </w:numPr>
        <w:wordWrap/>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具有完成项目所必须的资质、设备和专业能力。</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
          <w:color w:val="auto"/>
          <w:sz w:val="32"/>
          <w:szCs w:val="32"/>
          <w:lang w:val="en-US" w:eastAsia="zh-CN"/>
        </w:rPr>
      </w:pPr>
      <w:r>
        <w:rPr>
          <w:rFonts w:hint="eastAsia" w:ascii="黑体" w:hAnsi="黑体" w:eastAsia="黑体" w:cs="黑体"/>
          <w:color w:val="auto"/>
          <w:sz w:val="32"/>
          <w:szCs w:val="32"/>
          <w:lang w:val="en-US" w:eastAsia="zh-CN"/>
        </w:rPr>
        <w:t xml:space="preserve">第七条  </w:t>
      </w:r>
      <w:r>
        <w:rPr>
          <w:rFonts w:hint="eastAsia" w:ascii="宋体" w:hAnsi="宋体" w:eastAsia="仿宋_GB2312" w:cs="仿宋"/>
          <w:color w:val="auto"/>
          <w:sz w:val="32"/>
          <w:szCs w:val="32"/>
          <w:lang w:val="en-US" w:eastAsia="zh-CN"/>
        </w:rPr>
        <w:t>结果公示。选定承办企业后，应在广东省政府采购网对建设项目、承办企业名称、中标金额等信息进行公示，公示无异议方可实施。</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
          <w:color w:val="auto"/>
          <w:sz w:val="32"/>
          <w:szCs w:val="32"/>
          <w:lang w:val="en-US" w:eastAsia="zh-CN"/>
        </w:rPr>
      </w:pPr>
      <w:r>
        <w:rPr>
          <w:rFonts w:hint="eastAsia" w:ascii="黑体" w:hAnsi="黑体" w:eastAsia="黑体" w:cs="黑体"/>
          <w:color w:val="auto"/>
          <w:sz w:val="32"/>
          <w:szCs w:val="32"/>
          <w:lang w:val="en-US" w:eastAsia="zh-CN"/>
        </w:rPr>
        <w:t xml:space="preserve">第八条  </w:t>
      </w:r>
      <w:r>
        <w:rPr>
          <w:rFonts w:hint="eastAsia" w:ascii="宋体" w:hAnsi="宋体" w:eastAsia="仿宋_GB2312" w:cs="仿宋"/>
          <w:color w:val="auto"/>
          <w:sz w:val="32"/>
          <w:szCs w:val="32"/>
          <w:lang w:val="en-US" w:eastAsia="zh-CN"/>
        </w:rPr>
        <w:t>合同公示。公示结束后，县工商信局及时与承办企业签订项目合同，并在广东省政府采购网进行公示，接受社会监督。</w:t>
      </w:r>
    </w:p>
    <w:p>
      <w:pPr>
        <w:widowControl w:val="0"/>
        <w:numPr>
          <w:ilvl w:val="0"/>
          <w:numId w:val="0"/>
        </w:numPr>
        <w:adjustRightInd/>
        <w:snapToGrid/>
        <w:spacing w:before="0" w:beforeAutospacing="0" w:after="0" w:line="620" w:lineRule="exact"/>
        <w:ind w:right="0"/>
        <w:textAlignment w:val="baseline"/>
        <w:outlineLvl w:val="9"/>
        <w:rPr>
          <w:rFonts w:hint="eastAsia" w:ascii="宋体" w:hAnsi="宋体" w:eastAsia="仿宋_GB2312" w:cs="仿宋"/>
          <w:color w:val="auto"/>
          <w:sz w:val="32"/>
          <w:szCs w:val="32"/>
          <w:lang w:val="en-US" w:eastAsia="zh-CN"/>
        </w:rPr>
      </w:pPr>
    </w:p>
    <w:p>
      <w:pPr>
        <w:widowControl w:val="0"/>
        <w:numPr>
          <w:ilvl w:val="0"/>
          <w:numId w:val="1"/>
        </w:numPr>
        <w:adjustRightInd/>
        <w:snapToGrid/>
        <w:spacing w:before="0" w:beforeAutospacing="0" w:after="0" w:afterAutospacing="0" w:line="620" w:lineRule="exact"/>
        <w:ind w:left="0" w:leftChars="0" w:right="0" w:firstLine="420" w:firstLineChars="0"/>
        <w:jc w:val="center"/>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管理原则</w:t>
      </w:r>
    </w:p>
    <w:p>
      <w:pPr>
        <w:widowControl w:val="0"/>
        <w:numPr>
          <w:ilvl w:val="0"/>
          <w:numId w:val="0"/>
        </w:numPr>
        <w:adjustRightInd/>
        <w:snapToGrid/>
        <w:spacing w:before="0" w:beforeAutospacing="0" w:after="0" w:afterAutospacing="0" w:line="620" w:lineRule="exact"/>
        <w:ind w:left="0" w:leftChars="0" w:right="0"/>
        <w:jc w:val="both"/>
        <w:outlineLvl w:val="9"/>
        <w:rPr>
          <w:rFonts w:hint="eastAsia" w:ascii="黑体" w:hAnsi="黑体" w:eastAsia="黑体" w:cs="黑体"/>
          <w:b w:val="0"/>
          <w:bCs w:val="0"/>
          <w:color w:val="auto"/>
          <w:sz w:val="32"/>
          <w:szCs w:val="32"/>
          <w:lang w:val="en-US" w:eastAsia="zh-CN"/>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r>
        <w:rPr>
          <w:rFonts w:hint="eastAsia" w:ascii="黑体" w:hAnsi="黑体" w:eastAsia="黑体" w:cs="黑体"/>
          <w:color w:val="auto"/>
          <w:sz w:val="32"/>
          <w:szCs w:val="32"/>
          <w:lang w:val="en-US" w:eastAsia="zh-CN"/>
        </w:rPr>
        <w:t xml:space="preserve">第九条  </w:t>
      </w:r>
      <w:r>
        <w:rPr>
          <w:rFonts w:hint="eastAsia" w:ascii="宋体" w:hAnsi="宋体" w:eastAsia="仿宋_GB2312" w:cs="Times New Roman"/>
          <w:color w:val="auto"/>
          <w:kern w:val="0"/>
          <w:sz w:val="32"/>
          <w:szCs w:val="32"/>
          <w:lang w:val="en-US" w:eastAsia="zh-CN"/>
        </w:rPr>
        <w:t>项目管理坚持节约、务实、高</w:t>
      </w:r>
      <w:r>
        <w:rPr>
          <w:rFonts w:hint="eastAsia" w:ascii="宋体" w:hAnsi="宋体" w:eastAsia="仿宋_GB2312" w:cs="Times New Roman"/>
          <w:color w:val="auto"/>
          <w:kern w:val="0"/>
          <w:sz w:val="32"/>
          <w:szCs w:val="32"/>
        </w:rPr>
        <w:t>效的管理原则。</w:t>
      </w:r>
    </w:p>
    <w:p>
      <w:pPr>
        <w:widowControl w:val="0"/>
        <w:numPr>
          <w:ilvl w:val="0"/>
          <w:numId w:val="3"/>
        </w:numPr>
        <w:wordWrap/>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Times New Roman"/>
          <w:color w:val="auto"/>
          <w:kern w:val="0"/>
          <w:sz w:val="32"/>
          <w:szCs w:val="32"/>
        </w:rPr>
        <w:t>节</w:t>
      </w:r>
      <w:r>
        <w:rPr>
          <w:rFonts w:hint="eastAsia" w:ascii="宋体" w:hAnsi="宋体" w:eastAsia="仿宋_GB2312" w:cs="仿宋"/>
          <w:color w:val="auto"/>
          <w:sz w:val="32"/>
          <w:szCs w:val="32"/>
          <w:lang w:val="en-US" w:eastAsia="zh-CN"/>
        </w:rPr>
        <w:t xml:space="preserve">约原则。项目建设应秉承厉行节约、反对浪费原则，对可利用现有资源改造提升的项目原则上应优先利用原有资源改造。 </w:t>
      </w:r>
    </w:p>
    <w:p>
      <w:pPr>
        <w:widowControl w:val="0"/>
        <w:numPr>
          <w:ilvl w:val="0"/>
          <w:numId w:val="3"/>
        </w:numPr>
        <w:wordWrap/>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 xml:space="preserve">务实原则。项目建设应坚持务实原则，注重提升项目建设的实际效果，反对形式主义。 </w:t>
      </w:r>
    </w:p>
    <w:p>
      <w:pPr>
        <w:widowControl w:val="0"/>
        <w:numPr>
          <w:ilvl w:val="0"/>
          <w:numId w:val="3"/>
        </w:numPr>
        <w:wordWrap/>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高效原则。项目建设应坚持高效原则，注重沟通、及时反馈，在项目时间节点内完成项目建设。</w:t>
      </w:r>
    </w:p>
    <w:p>
      <w:pPr>
        <w:widowControl w:val="0"/>
        <w:numPr>
          <w:ilvl w:val="0"/>
          <w:numId w:val="0"/>
        </w:numPr>
        <w:wordWrap/>
        <w:adjustRightInd/>
        <w:snapToGrid/>
        <w:spacing w:before="0" w:after="0" w:afterAutospacing="0" w:line="620" w:lineRule="exact"/>
        <w:ind w:left="0" w:leftChars="0" w:right="0"/>
        <w:jc w:val="both"/>
        <w:textAlignment w:val="auto"/>
        <w:outlineLvl w:val="9"/>
        <w:rPr>
          <w:rFonts w:hint="eastAsia" w:ascii="宋体" w:hAnsi="宋体" w:eastAsia="仿宋_GB2312" w:cs="仿宋"/>
          <w:color w:val="auto"/>
          <w:sz w:val="32"/>
          <w:szCs w:val="32"/>
          <w:lang w:val="en-US" w:eastAsia="zh-CN"/>
        </w:rPr>
      </w:pPr>
    </w:p>
    <w:p>
      <w:pPr>
        <w:widowControl w:val="0"/>
        <w:numPr>
          <w:ilvl w:val="0"/>
          <w:numId w:val="1"/>
        </w:numPr>
        <w:adjustRightInd/>
        <w:snapToGrid/>
        <w:spacing w:before="0" w:beforeAutospacing="0" w:after="0" w:afterAutospacing="0" w:line="620" w:lineRule="exact"/>
        <w:ind w:left="0" w:leftChars="0" w:right="0" w:firstLine="420" w:firstLineChars="0"/>
        <w:jc w:val="center"/>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项目管理</w:t>
      </w:r>
    </w:p>
    <w:p>
      <w:pPr>
        <w:widowControl w:val="0"/>
        <w:numPr>
          <w:ilvl w:val="0"/>
          <w:numId w:val="0"/>
        </w:numPr>
        <w:adjustRightInd/>
        <w:snapToGrid/>
        <w:spacing w:before="0" w:beforeAutospacing="0" w:after="0" w:afterAutospacing="0" w:line="620" w:lineRule="exact"/>
        <w:ind w:left="0" w:leftChars="0" w:right="0"/>
        <w:jc w:val="both"/>
        <w:outlineLvl w:val="9"/>
        <w:rPr>
          <w:rFonts w:hint="eastAsia" w:ascii="黑体" w:hAnsi="黑体" w:eastAsia="黑体" w:cs="黑体"/>
          <w:b w:val="0"/>
          <w:bCs w:val="0"/>
          <w:color w:val="auto"/>
          <w:sz w:val="32"/>
          <w:szCs w:val="32"/>
          <w:lang w:val="en-US" w:eastAsia="zh-CN"/>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eastAsia" w:ascii="宋体" w:hAnsi="宋体" w:eastAsia="仿宋_GB2312" w:cs="仿宋_GB2312"/>
          <w:color w:val="auto"/>
          <w:sz w:val="32"/>
          <w:szCs w:val="32"/>
          <w:lang w:val="en-US" w:eastAsia="zh-CN"/>
        </w:rPr>
      </w:pPr>
      <w:r>
        <w:rPr>
          <w:rFonts w:hint="eastAsia" w:ascii="黑体" w:hAnsi="黑体" w:eastAsia="黑体" w:cs="黑体"/>
          <w:color w:val="auto"/>
          <w:sz w:val="32"/>
          <w:szCs w:val="32"/>
          <w:lang w:val="en-US" w:eastAsia="zh-CN"/>
        </w:rPr>
        <w:t xml:space="preserve">第十条  </w:t>
      </w:r>
      <w:r>
        <w:rPr>
          <w:rFonts w:hint="eastAsia" w:ascii="宋体" w:hAnsi="宋体" w:eastAsia="仿宋_GB2312" w:cs="Times New Roman"/>
          <w:color w:val="auto"/>
          <w:kern w:val="0"/>
          <w:sz w:val="32"/>
          <w:szCs w:val="32"/>
          <w:lang w:val="en-US" w:eastAsia="zh-CN"/>
        </w:rPr>
        <w:t>为保证项目开展的进度和效果，</w:t>
      </w:r>
      <w:r>
        <w:rPr>
          <w:rFonts w:hint="eastAsia" w:ascii="宋体" w:hAnsi="宋体" w:eastAsia="仿宋_GB2312" w:cs="仿宋"/>
          <w:color w:val="auto"/>
          <w:sz w:val="32"/>
          <w:szCs w:val="32"/>
          <w:lang w:val="en-US" w:eastAsia="zh-CN"/>
        </w:rPr>
        <w:t>依据项目管理的重点将项目管理</w:t>
      </w:r>
      <w:r>
        <w:rPr>
          <w:rFonts w:hint="eastAsia" w:ascii="宋体" w:hAnsi="宋体" w:eastAsia="仿宋_GB2312" w:cs="Times New Roman"/>
          <w:color w:val="auto"/>
          <w:kern w:val="0"/>
          <w:sz w:val="32"/>
          <w:szCs w:val="32"/>
        </w:rPr>
        <w:t>分为进度管理、运行管理、</w:t>
      </w:r>
      <w:r>
        <w:rPr>
          <w:rFonts w:hint="eastAsia" w:ascii="宋体" w:hAnsi="宋体" w:eastAsia="仿宋_GB2312" w:cs="仿宋"/>
          <w:color w:val="auto"/>
          <w:sz w:val="32"/>
          <w:szCs w:val="32"/>
          <w:lang w:val="en-US" w:eastAsia="zh-CN"/>
        </w:rPr>
        <w:t>验收管理、</w:t>
      </w:r>
      <w:r>
        <w:rPr>
          <w:rFonts w:hint="eastAsia" w:ascii="宋体" w:hAnsi="宋体" w:eastAsia="仿宋_GB2312" w:cs="Times New Roman"/>
          <w:color w:val="auto"/>
          <w:kern w:val="0"/>
          <w:sz w:val="32"/>
          <w:szCs w:val="32"/>
        </w:rPr>
        <w:t>绩效管理、监督管理四个方面。</w:t>
      </w:r>
    </w:p>
    <w:p>
      <w:pPr>
        <w:widowControl w:val="0"/>
        <w:numPr>
          <w:ilvl w:val="0"/>
          <w:numId w:val="4"/>
        </w:numPr>
        <w:wordWrap/>
        <w:adjustRightInd/>
        <w:snapToGrid/>
        <w:spacing w:before="0" w:beforeAutospacing="0" w:after="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进度管理。进度管理是指在项目实施过程中，对各阶段的进展程度和项目最终完成的期限所进行的管理。</w:t>
      </w:r>
      <w:r>
        <w:rPr>
          <w:rFonts w:hint="eastAsia" w:ascii="宋体" w:hAnsi="宋体" w:eastAsia="仿宋_GB2312" w:cs="Times New Roman"/>
          <w:color w:val="auto"/>
          <w:kern w:val="0"/>
          <w:sz w:val="32"/>
          <w:szCs w:val="32"/>
        </w:rPr>
        <w:t>县工商信局应当严格要求承办企业按照实施方案进行建设，定期对项目进度进行公示，检查项目实际进度是否按方案要求进行，如出现偏差，要及时找出原因，责令承办企业采取必要的补救措施或调整、修改原计划，确保如期完成项目建设。对于项目建设进度严重滞后、不符合项目建设进度要求的承办企业，及时下达通知书，责令其限期整改，对逾期未能整改的取消其承办资格。</w:t>
      </w:r>
    </w:p>
    <w:p>
      <w:pPr>
        <w:widowControl w:val="0"/>
        <w:numPr>
          <w:ilvl w:val="0"/>
          <w:numId w:val="4"/>
        </w:numPr>
        <w:wordWrap/>
        <w:adjustRightInd/>
        <w:snapToGrid/>
        <w:spacing w:before="0" w:after="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运行管理。</w:t>
      </w:r>
      <w:r>
        <w:rPr>
          <w:rFonts w:hint="eastAsia" w:ascii="宋体" w:hAnsi="宋体" w:eastAsia="仿宋_GB2312" w:cs="Times New Roman"/>
          <w:color w:val="auto"/>
          <w:kern w:val="0"/>
          <w:sz w:val="32"/>
          <w:szCs w:val="32"/>
        </w:rPr>
        <w:t>运行管理是指为规范承办企业的正常运营而进行的管理。县工商信局负责定期组织专门人员到承办企业以及项目建设地查看企业的组织机制、人员管理、安全生产责任制</w:t>
      </w:r>
      <w:r>
        <w:rPr>
          <w:rFonts w:hint="eastAsia" w:ascii="宋体" w:hAnsi="宋体" w:eastAsia="仿宋_GB2312" w:cs="Times New Roman"/>
          <w:color w:val="auto"/>
          <w:kern w:val="0"/>
          <w:sz w:val="32"/>
          <w:szCs w:val="32"/>
          <w:lang w:val="en-US" w:eastAsia="zh-CN"/>
        </w:rPr>
        <w:t>度</w:t>
      </w:r>
      <w:r>
        <w:rPr>
          <w:rFonts w:hint="eastAsia" w:ascii="宋体" w:hAnsi="宋体" w:eastAsia="仿宋_GB2312" w:cs="Times New Roman"/>
          <w:color w:val="auto"/>
          <w:kern w:val="0"/>
          <w:sz w:val="32"/>
          <w:szCs w:val="32"/>
        </w:rPr>
        <w:t>运行情况，如存在问题，责令承办企业及时整改。对于发生较大生产事故或质量事故、给社会造成不良影响的承办企业追究其责任，情节严重的取消承办资格。</w:t>
      </w:r>
    </w:p>
    <w:p>
      <w:pPr>
        <w:widowControl w:val="0"/>
        <w:numPr>
          <w:ilvl w:val="0"/>
          <w:numId w:val="4"/>
        </w:numPr>
        <w:wordWrap/>
        <w:adjustRightInd/>
        <w:snapToGrid/>
        <w:spacing w:before="0" w:after="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验收管理。项目实施完成后，承办企业向</w:t>
      </w:r>
      <w:r>
        <w:rPr>
          <w:rFonts w:hint="eastAsia" w:ascii="宋体" w:hAnsi="宋体" w:eastAsia="仿宋_GB2312" w:cs="Times New Roman"/>
          <w:color w:val="auto"/>
          <w:kern w:val="0"/>
          <w:sz w:val="32"/>
          <w:szCs w:val="32"/>
        </w:rPr>
        <w:t>县工商信局</w:t>
      </w:r>
      <w:r>
        <w:rPr>
          <w:rFonts w:hint="eastAsia" w:ascii="宋体" w:hAnsi="宋体" w:eastAsia="仿宋_GB2312" w:cs="仿宋"/>
          <w:color w:val="auto"/>
          <w:sz w:val="32"/>
          <w:szCs w:val="32"/>
          <w:lang w:val="en-US" w:eastAsia="zh-CN"/>
        </w:rPr>
        <w:t>提出验收申请，</w:t>
      </w:r>
      <w:r>
        <w:rPr>
          <w:rFonts w:hint="eastAsia" w:ascii="宋体" w:hAnsi="宋体" w:eastAsia="仿宋_GB2312" w:cs="Times New Roman"/>
          <w:color w:val="auto"/>
          <w:kern w:val="0"/>
          <w:sz w:val="32"/>
          <w:szCs w:val="32"/>
        </w:rPr>
        <w:t>县工商信局</w:t>
      </w:r>
      <w:r>
        <w:rPr>
          <w:rFonts w:hint="eastAsia" w:ascii="宋体" w:hAnsi="宋体" w:eastAsia="仿宋_GB2312" w:cs="仿宋"/>
          <w:color w:val="auto"/>
          <w:sz w:val="32"/>
          <w:szCs w:val="32"/>
          <w:lang w:val="en-US" w:eastAsia="zh-CN"/>
        </w:rPr>
        <w:t>收到项目建设单位验收申请后，应及时组织相关部门或第三方机构进行项目验收，并按要求将验收结果上报至市商务局。项目验收应严格对照招标文件、合同中的条款及要求，遵循“实事求是、客观公正、注重质量、讲求实效”的原则，对项目建设情况进行评估。</w:t>
      </w:r>
    </w:p>
    <w:p>
      <w:pPr>
        <w:widowControl w:val="0"/>
        <w:numPr>
          <w:ilvl w:val="0"/>
          <w:numId w:val="4"/>
        </w:numPr>
        <w:wordWrap/>
        <w:adjustRightInd/>
        <w:snapToGrid/>
        <w:spacing w:before="0" w:after="0" w:afterAutospacing="0" w:line="620" w:lineRule="exact"/>
        <w:ind w:left="0" w:leftChars="0" w:right="0" w:firstLine="640" w:firstLineChars="200"/>
        <w:jc w:val="both"/>
        <w:textAlignment w:val="auto"/>
        <w:outlineLvl w:val="9"/>
        <w:rPr>
          <w:rFonts w:hint="eastAsia" w:ascii="宋体" w:hAnsi="宋体" w:eastAsia="仿宋_GB2312" w:cs="仿宋"/>
          <w:color w:val="auto"/>
          <w:sz w:val="32"/>
          <w:szCs w:val="32"/>
          <w:lang w:val="en-US" w:eastAsia="zh-CN"/>
        </w:rPr>
      </w:pPr>
      <w:r>
        <w:rPr>
          <w:rFonts w:hint="eastAsia" w:ascii="宋体" w:hAnsi="宋体" w:eastAsia="仿宋_GB2312" w:cs="仿宋"/>
          <w:color w:val="auto"/>
          <w:sz w:val="32"/>
          <w:szCs w:val="32"/>
          <w:lang w:val="en-US" w:eastAsia="zh-CN"/>
        </w:rPr>
        <w:t>绩效管理。</w:t>
      </w:r>
      <w:r>
        <w:rPr>
          <w:rFonts w:hint="eastAsia" w:ascii="宋体" w:hAnsi="宋体" w:eastAsia="仿宋_GB2312" w:cs="Times New Roman"/>
          <w:color w:val="auto"/>
          <w:kern w:val="0"/>
          <w:sz w:val="32"/>
          <w:szCs w:val="32"/>
        </w:rPr>
        <w:t>绩效管理是指为确保项目建设达到预期效果而采取的管理。县工商信局应严格测评承办企业的项目效果，对已达到建设要求的承办项目尽快安排项目验收，拨付项目资金；对尚未完全达到建设要求的承办项目要求其加强力度，延期验收；对明显达不到建设要求的承办企业督促其限期整改，整改不到位或无整改的</w:t>
      </w:r>
      <w:r>
        <w:rPr>
          <w:rFonts w:hint="eastAsia" w:ascii="宋体" w:hAnsi="宋体" w:eastAsia="仿宋_GB2312" w:cs="Times New Roman"/>
          <w:color w:val="auto"/>
          <w:kern w:val="0"/>
          <w:sz w:val="32"/>
          <w:szCs w:val="32"/>
          <w:lang w:val="en-US" w:eastAsia="zh-CN"/>
        </w:rPr>
        <w:t>依法</w:t>
      </w:r>
      <w:r>
        <w:rPr>
          <w:rFonts w:hint="eastAsia" w:ascii="宋体" w:hAnsi="宋体" w:eastAsia="仿宋_GB2312" w:cs="Times New Roman"/>
          <w:color w:val="auto"/>
          <w:kern w:val="0"/>
          <w:sz w:val="32"/>
          <w:szCs w:val="32"/>
        </w:rPr>
        <w:t>取消其承办资格。</w:t>
      </w:r>
    </w:p>
    <w:p>
      <w:pPr>
        <w:widowControl w:val="0"/>
        <w:numPr>
          <w:ilvl w:val="0"/>
          <w:numId w:val="4"/>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hint="eastAsia" w:ascii="宋体" w:hAnsi="宋体" w:eastAsia="仿宋_GB2312" w:cs="Times New Roman"/>
          <w:color w:val="auto"/>
          <w:kern w:val="0"/>
          <w:sz w:val="32"/>
          <w:szCs w:val="32"/>
        </w:rPr>
      </w:pPr>
      <w:r>
        <w:rPr>
          <w:rFonts w:hint="eastAsia" w:ascii="宋体" w:hAnsi="宋体" w:eastAsia="仿宋_GB2312" w:cs="仿宋"/>
          <w:color w:val="auto"/>
          <w:sz w:val="32"/>
          <w:szCs w:val="32"/>
          <w:lang w:val="en-US" w:eastAsia="zh-CN"/>
        </w:rPr>
        <w:t>监督管理。</w:t>
      </w:r>
      <w:r>
        <w:rPr>
          <w:rFonts w:hint="eastAsia" w:ascii="宋体" w:hAnsi="宋体" w:eastAsia="仿宋_GB2312" w:cs="Times New Roman"/>
          <w:color w:val="auto"/>
          <w:kern w:val="0"/>
          <w:sz w:val="32"/>
          <w:szCs w:val="32"/>
        </w:rPr>
        <w:t>县工商信局要加强对承办企业的所有生产经营活动进行规范和制约。严格规范连平县电子商务市场秩序，严厉打击参与示范项目的企业销售假冒伪劣产品、网售农副产品出现质量安全和过期商品等问题以及发生欺诈消费者等行为。严格要求承办企业按要求及时上报经营数据，对不配合开展统计工作或存在虚假上报等情况的进行批评公示，并要求其限期整改。</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r>
        <w:rPr>
          <w:rFonts w:hint="eastAsia" w:ascii="黑体" w:hAnsi="黑体" w:eastAsia="黑体" w:cs="黑体"/>
          <w:color w:val="auto"/>
          <w:sz w:val="32"/>
          <w:szCs w:val="32"/>
          <w:lang w:val="en-US" w:eastAsia="zh-CN"/>
        </w:rPr>
        <w:t xml:space="preserve">第十一条  </w:t>
      </w:r>
      <w:r>
        <w:rPr>
          <w:rFonts w:hint="eastAsia" w:ascii="宋体" w:hAnsi="宋体" w:eastAsia="仿宋_GB2312" w:cs="Times New Roman"/>
          <w:color w:val="auto"/>
          <w:kern w:val="0"/>
          <w:sz w:val="32"/>
          <w:szCs w:val="32"/>
        </w:rPr>
        <w:t>县工商信局应定期公示各项目进展情况，包括但不限于项目名称、建设内容、建设要求、承办企业名称、项目资金额度、绩效目标等。建立健全建设项目档案，对项目评审、建设、验收、奖励、公示等各环节的档案材料进行整理和归档，做到资料详实、手续齐备、程序合</w:t>
      </w:r>
      <w:r>
        <w:rPr>
          <w:rFonts w:hint="eastAsia" w:ascii="宋体" w:hAnsi="宋体" w:eastAsia="仿宋_GB2312" w:cs="Times New Roman"/>
          <w:color w:val="auto"/>
          <w:kern w:val="0"/>
          <w:sz w:val="32"/>
          <w:szCs w:val="32"/>
          <w:lang w:val="en-US" w:eastAsia="zh-CN"/>
        </w:rPr>
        <w:t>法</w:t>
      </w:r>
      <w:r>
        <w:rPr>
          <w:rFonts w:hint="eastAsia" w:ascii="宋体" w:hAnsi="宋体" w:eastAsia="仿宋_GB2312" w:cs="Times New Roman"/>
          <w:color w:val="auto"/>
          <w:kern w:val="0"/>
          <w:sz w:val="32"/>
          <w:szCs w:val="32"/>
        </w:rPr>
        <w:t>，经得起检查。</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r>
        <w:rPr>
          <w:rFonts w:hint="eastAsia" w:ascii="黑体" w:hAnsi="黑体" w:eastAsia="黑体" w:cs="黑体"/>
          <w:color w:val="auto"/>
          <w:sz w:val="32"/>
          <w:szCs w:val="32"/>
          <w:lang w:val="en-US" w:eastAsia="zh-CN"/>
        </w:rPr>
        <w:t xml:space="preserve">第十二条  </w:t>
      </w:r>
      <w:r>
        <w:rPr>
          <w:rFonts w:hint="eastAsia" w:ascii="宋体" w:hAnsi="宋体" w:eastAsia="仿宋_GB2312" w:cs="Times New Roman"/>
          <w:color w:val="auto"/>
          <w:kern w:val="0"/>
          <w:sz w:val="32"/>
          <w:szCs w:val="32"/>
        </w:rPr>
        <w:t>承办企业</w:t>
      </w:r>
      <w:r>
        <w:rPr>
          <w:rFonts w:ascii="宋体" w:hAnsi="宋体" w:eastAsia="仿宋_GB2312" w:cs="Times New Roman"/>
          <w:color w:val="auto"/>
          <w:kern w:val="0"/>
          <w:sz w:val="32"/>
          <w:szCs w:val="32"/>
        </w:rPr>
        <w:t>在项目实施中应履行</w:t>
      </w:r>
      <w:r>
        <w:rPr>
          <w:rFonts w:hint="eastAsia" w:ascii="宋体" w:hAnsi="宋体" w:eastAsia="仿宋_GB2312" w:cs="Times New Roman"/>
          <w:color w:val="auto"/>
          <w:kern w:val="0"/>
          <w:sz w:val="32"/>
          <w:szCs w:val="32"/>
        </w:rPr>
        <w:t>如下</w:t>
      </w:r>
      <w:r>
        <w:rPr>
          <w:rFonts w:ascii="宋体" w:hAnsi="宋体" w:eastAsia="仿宋_GB2312" w:cs="Times New Roman"/>
          <w:color w:val="auto"/>
          <w:kern w:val="0"/>
          <w:sz w:val="32"/>
          <w:szCs w:val="32"/>
        </w:rPr>
        <w:t>义务</w:t>
      </w:r>
      <w:r>
        <w:rPr>
          <w:rFonts w:hint="eastAsia" w:ascii="宋体" w:hAnsi="宋体" w:eastAsia="仿宋_GB2312" w:cs="Times New Roman"/>
          <w:color w:val="auto"/>
          <w:kern w:val="0"/>
          <w:sz w:val="32"/>
          <w:szCs w:val="32"/>
          <w:lang w:eastAsia="zh-CN"/>
        </w:rPr>
        <w:t>：</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严格按照有关文件要求及时间节点，完成项目实施工作，保证项目进度和质量，并按时申请验收。</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保证项目经费专款专用，不蓄意骗取专项资金。</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按照县工商信局、县财政局要求如实填报项目进度情况、资金使用情况及其他需填写的统计调查表。</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接受县工商信局及相关职能部门对项目执行情况的监督检查。</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配合县工商信局组织的项目调度、督查、验收及绩效评估等工作。</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及时报告项目执行中出现的重大事项。</w:t>
      </w:r>
    </w:p>
    <w:p>
      <w:pPr>
        <w:widowControl w:val="0"/>
        <w:numPr>
          <w:ilvl w:val="0"/>
          <w:numId w:val="5"/>
        </w:numPr>
        <w:shd w:val="clear" w:color="auto" w:fill="FFFFFF"/>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在项目执行过程中，对于存在的问题或意见建议，应及时向县工商信局反馈。</w:t>
      </w:r>
    </w:p>
    <w:p>
      <w:pPr>
        <w:widowControl w:val="0"/>
        <w:numPr>
          <w:ilvl w:val="0"/>
          <w:numId w:val="5"/>
        </w:numPr>
        <w:shd w:val="clear" w:color="auto" w:fill="FFFFFF"/>
        <w:wordWrap w:val="0"/>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建立工作台账，详细记录项目建设情况。原则上项目承办企业每个月应向县工商信局详细报告项目进度情况、资金使用情况、项目成效情况等。</w:t>
      </w:r>
    </w:p>
    <w:p>
      <w:pPr>
        <w:widowControl w:val="0"/>
        <w:numPr>
          <w:ilvl w:val="0"/>
          <w:numId w:val="5"/>
        </w:numPr>
        <w:shd w:val="clear" w:color="auto" w:fill="FFFFFF"/>
        <w:wordWrap w:val="0"/>
        <w:adjustRightInd/>
        <w:snapToGrid/>
        <w:spacing w:before="0" w:beforeAutospacing="0" w:after="0" w:afterAutospacing="0" w:line="620" w:lineRule="exact"/>
        <w:ind w:left="0" w:leftChars="0" w:right="0" w:firstLine="640" w:firstLineChars="200"/>
        <w:textAlignment w:val="baseline"/>
        <w:outlineLvl w:val="9"/>
        <w:rPr>
          <w:rFonts w:ascii="宋体" w:hAnsi="宋体" w:eastAsia="仿宋_GB2312" w:cs="Times New Roman"/>
          <w:color w:val="auto"/>
          <w:kern w:val="0"/>
          <w:sz w:val="32"/>
          <w:szCs w:val="32"/>
        </w:rPr>
      </w:pPr>
      <w:r>
        <w:rPr>
          <w:rFonts w:hint="eastAsia" w:ascii="宋体" w:hAnsi="宋体" w:eastAsia="仿宋_GB2312" w:cs="Times New Roman"/>
          <w:color w:val="auto"/>
          <w:kern w:val="0"/>
          <w:sz w:val="32"/>
          <w:szCs w:val="32"/>
        </w:rPr>
        <w:t>建立固定资产管理台账。对使用专项资金购买的设施设备应根据县有关固定资产的管理办法进行统一登记造册，并在使用期间做好设备维护，以及项目结束后做好交接工作。</w:t>
      </w:r>
    </w:p>
    <w:p>
      <w:pPr>
        <w:widowControl w:val="0"/>
        <w:numPr>
          <w:ilvl w:val="0"/>
          <w:numId w:val="0"/>
        </w:numPr>
        <w:shd w:val="clear" w:color="auto" w:fill="FFFFFF"/>
        <w:wordWrap w:val="0"/>
        <w:adjustRightInd/>
        <w:snapToGrid/>
        <w:spacing w:before="0" w:beforeAutospacing="0" w:after="0" w:afterAutospacing="0" w:line="620" w:lineRule="exact"/>
        <w:ind w:left="0" w:leftChars="0" w:right="0"/>
        <w:textAlignment w:val="baseline"/>
        <w:outlineLvl w:val="9"/>
        <w:rPr>
          <w:rFonts w:ascii="宋体" w:hAnsi="宋体" w:eastAsia="仿宋_GB2312" w:cs="Times New Roman"/>
          <w:color w:val="auto"/>
          <w:kern w:val="0"/>
          <w:sz w:val="32"/>
          <w:szCs w:val="32"/>
        </w:rPr>
      </w:pPr>
    </w:p>
    <w:p>
      <w:pPr>
        <w:widowControl w:val="0"/>
        <w:numPr>
          <w:ilvl w:val="0"/>
          <w:numId w:val="1"/>
        </w:numPr>
        <w:adjustRightInd/>
        <w:snapToGrid/>
        <w:spacing w:before="0" w:beforeAutospacing="0" w:after="0" w:afterAutospacing="0" w:line="620" w:lineRule="exact"/>
        <w:ind w:left="0" w:leftChars="0" w:right="0" w:firstLine="420" w:firstLineChars="0"/>
        <w:jc w:val="center"/>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 xml:space="preserve"> 附则</w:t>
      </w:r>
    </w:p>
    <w:p>
      <w:pPr>
        <w:widowControl w:val="0"/>
        <w:numPr>
          <w:ilvl w:val="0"/>
          <w:numId w:val="0"/>
        </w:numPr>
        <w:adjustRightInd/>
        <w:snapToGrid/>
        <w:spacing w:before="0" w:beforeAutospacing="0" w:after="0" w:afterAutospacing="0" w:line="620" w:lineRule="exact"/>
        <w:ind w:left="0" w:leftChars="0" w:right="0"/>
        <w:jc w:val="both"/>
        <w:outlineLvl w:val="9"/>
        <w:rPr>
          <w:rFonts w:hint="eastAsia" w:ascii="黑体" w:hAnsi="黑体" w:eastAsia="黑体" w:cs="黑体"/>
          <w:b w:val="0"/>
          <w:bCs w:val="0"/>
          <w:color w:val="auto"/>
          <w:sz w:val="32"/>
          <w:szCs w:val="32"/>
          <w:lang w:val="en-US" w:eastAsia="zh-CN"/>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hint="default" w:ascii="宋体" w:hAnsi="宋体" w:eastAsia="仿宋_GB2312" w:cs="仿宋"/>
          <w:color w:val="auto"/>
          <w:sz w:val="32"/>
          <w:szCs w:val="32"/>
          <w:lang w:val="en-US" w:eastAsia="zh-CN"/>
        </w:rPr>
      </w:pPr>
      <w:r>
        <w:rPr>
          <w:rFonts w:hint="eastAsia" w:ascii="黑体" w:hAnsi="黑体" w:eastAsia="黑体" w:cs="黑体"/>
          <w:color w:val="auto"/>
          <w:sz w:val="32"/>
          <w:szCs w:val="32"/>
          <w:lang w:val="en-US" w:eastAsia="zh-CN"/>
        </w:rPr>
        <w:t xml:space="preserve">第十三条  </w:t>
      </w:r>
      <w:r>
        <w:rPr>
          <w:rFonts w:hint="eastAsia" w:ascii="宋体" w:hAnsi="宋体" w:eastAsia="仿宋_GB2312" w:cs="Times New Roman"/>
          <w:color w:val="auto"/>
          <w:kern w:val="0"/>
          <w:sz w:val="32"/>
          <w:szCs w:val="32"/>
        </w:rPr>
        <w:t>本</w:t>
      </w:r>
      <w:r>
        <w:rPr>
          <w:rFonts w:hint="eastAsia" w:ascii="宋体" w:hAnsi="宋体" w:eastAsia="仿宋_GB2312" w:cs="Times New Roman"/>
          <w:color w:val="auto"/>
          <w:kern w:val="0"/>
          <w:sz w:val="32"/>
          <w:szCs w:val="32"/>
          <w:lang w:val="en-US" w:eastAsia="zh-CN"/>
        </w:rPr>
        <w:t>办法</w:t>
      </w:r>
      <w:r>
        <w:rPr>
          <w:rFonts w:hint="eastAsia" w:ascii="宋体" w:hAnsi="宋体" w:eastAsia="仿宋_GB2312" w:cs="Times New Roman"/>
          <w:color w:val="auto"/>
          <w:kern w:val="0"/>
          <w:sz w:val="32"/>
          <w:szCs w:val="32"/>
        </w:rPr>
        <w:t>自</w:t>
      </w:r>
      <w:r>
        <w:rPr>
          <w:rFonts w:hint="eastAsia" w:ascii="宋体" w:hAnsi="宋体" w:eastAsia="仿宋_GB2312" w:cs="Times New Roman"/>
          <w:color w:val="auto"/>
          <w:kern w:val="0"/>
          <w:sz w:val="32"/>
          <w:szCs w:val="32"/>
          <w:lang w:val="en-US" w:eastAsia="zh-CN"/>
        </w:rPr>
        <w:t>2021年7月1日起施</w:t>
      </w:r>
      <w:r>
        <w:rPr>
          <w:rFonts w:hint="eastAsia" w:ascii="宋体" w:hAnsi="宋体" w:eastAsia="仿宋_GB2312" w:cs="仿宋_GB2312"/>
          <w:color w:val="auto"/>
          <w:sz w:val="32"/>
          <w:szCs w:val="32"/>
          <w:lang w:val="en-US" w:eastAsia="zh-CN"/>
        </w:rPr>
        <w:t>行</w:t>
      </w:r>
      <w:r>
        <w:rPr>
          <w:rFonts w:hint="eastAsia" w:ascii="宋体" w:hAnsi="宋体" w:eastAsia="仿宋_GB2312" w:cs="Times New Roman"/>
          <w:color w:val="auto"/>
          <w:kern w:val="0"/>
          <w:sz w:val="32"/>
          <w:szCs w:val="32"/>
          <w:lang w:val="en-US" w:eastAsia="zh-CN"/>
        </w:rPr>
        <w:t>，有效期3年。</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r>
        <w:rPr>
          <w:rFonts w:hint="eastAsia" w:ascii="黑体" w:hAnsi="黑体" w:eastAsia="黑体" w:cs="黑体"/>
          <w:color w:val="auto"/>
          <w:sz w:val="32"/>
          <w:szCs w:val="32"/>
          <w:lang w:val="en-US" w:eastAsia="zh-CN"/>
        </w:rPr>
        <w:t xml:space="preserve">第十四条  </w:t>
      </w:r>
      <w:r>
        <w:rPr>
          <w:rFonts w:hint="eastAsia" w:ascii="宋体" w:hAnsi="宋体" w:eastAsia="仿宋_GB2312" w:cs="Times New Roman"/>
          <w:color w:val="auto"/>
          <w:kern w:val="0"/>
          <w:sz w:val="32"/>
          <w:szCs w:val="32"/>
          <w:lang w:val="en-US" w:eastAsia="zh-CN"/>
        </w:rPr>
        <w:t>本办法</w:t>
      </w:r>
      <w:r>
        <w:rPr>
          <w:rFonts w:hint="eastAsia" w:ascii="宋体" w:hAnsi="宋体" w:eastAsia="仿宋_GB2312" w:cs="Times New Roman"/>
          <w:color w:val="auto"/>
          <w:kern w:val="0"/>
          <w:sz w:val="32"/>
          <w:szCs w:val="32"/>
        </w:rPr>
        <w:t>由县工商信局</w:t>
      </w:r>
      <w:r>
        <w:rPr>
          <w:rFonts w:ascii="宋体" w:hAnsi="宋体" w:eastAsia="仿宋_GB2312" w:cs="Times New Roman"/>
          <w:color w:val="auto"/>
          <w:kern w:val="0"/>
          <w:sz w:val="32"/>
          <w:szCs w:val="32"/>
        </w:rPr>
        <w:t>负责解释。</w:t>
      </w: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p>
    <w:p>
      <w:pPr>
        <w:widowControl w:val="0"/>
        <w:numPr>
          <w:ilvl w:val="0"/>
          <w:numId w:val="0"/>
        </w:numPr>
        <w:wordWrap/>
        <w:adjustRightInd/>
        <w:snapToGrid/>
        <w:spacing w:before="0" w:beforeAutospacing="0" w:after="0" w:afterAutospacing="0" w:line="620" w:lineRule="exact"/>
        <w:ind w:left="0" w:leftChars="0" w:right="0" w:firstLine="640" w:firstLineChars="200"/>
        <w:jc w:val="both"/>
        <w:textAlignment w:val="baseline"/>
        <w:outlineLvl w:val="9"/>
        <w:rPr>
          <w:rFonts w:ascii="宋体" w:hAnsi="宋体" w:eastAsia="仿宋_GB2312" w:cs="Times New Roman"/>
          <w:color w:val="auto"/>
          <w:kern w:val="0"/>
          <w:sz w:val="32"/>
          <w:szCs w:val="32"/>
        </w:rPr>
      </w:pPr>
    </w:p>
    <w:p>
      <w:pPr>
        <w:widowControl w:val="0"/>
        <w:numPr>
          <w:ilvl w:val="0"/>
          <w:numId w:val="0"/>
        </w:numPr>
        <w:wordWrap/>
        <w:adjustRightInd/>
        <w:snapToGrid/>
        <w:spacing w:before="0" w:beforeAutospacing="0" w:after="0" w:afterAutospacing="0" w:line="620" w:lineRule="exact"/>
        <w:ind w:right="0"/>
        <w:jc w:val="both"/>
        <w:textAlignment w:val="baseline"/>
        <w:outlineLvl w:val="9"/>
        <w:rPr>
          <w:rFonts w:ascii="宋体" w:hAnsi="宋体" w:eastAsia="仿宋_GB2312" w:cs="Times New Roman"/>
          <w:color w:val="auto"/>
          <w:kern w:val="0"/>
          <w:sz w:val="32"/>
          <w:szCs w:val="32"/>
        </w:rPr>
      </w:pPr>
    </w:p>
    <w:p>
      <w:pPr>
        <w:pStyle w:val="5"/>
        <w:keepNext w:val="0"/>
        <w:keepLines w:val="0"/>
        <w:pageBreakBefore w:val="0"/>
        <w:widowControl w:val="0"/>
        <w:shd w:val="clear" w:color="auto" w:fill="FFFFFF"/>
        <w:kinsoku/>
        <w:overflowPunct/>
        <w:topLinePunct w:val="0"/>
        <w:autoSpaceDE/>
        <w:bidi w:val="0"/>
        <w:adjustRightInd/>
        <w:snapToGrid/>
        <w:spacing w:before="0" w:beforeAutospacing="0" w:after="0" w:afterAutospacing="0" w:line="520" w:lineRule="exact"/>
        <w:jc w:val="both"/>
        <w:textAlignment w:val="auto"/>
        <w:rPr>
          <w:rFonts w:hint="eastAsia" w:ascii="仿宋_GB2312" w:hAnsi="黑体" w:eastAsia="仿宋_GB2312" w:cs="黑体"/>
          <w:sz w:val="32"/>
          <w:szCs w:val="32"/>
          <w:shd w:val="clear" w:color="auto" w:fill="FFFFFF"/>
        </w:rPr>
      </w:pPr>
      <w:r>
        <w:rPr>
          <w:rFonts w:hint="eastAsia" w:ascii="黑体" w:hAnsi="黑体" w:eastAsia="黑体" w:cs="黑体"/>
          <w:sz w:val="32"/>
          <w:szCs w:val="32"/>
          <w:shd w:val="clear" w:color="auto" w:fill="FFFFFF"/>
        </w:rPr>
        <w:t>公开方式：</w:t>
      </w:r>
      <w:r>
        <w:rPr>
          <w:rFonts w:hint="eastAsia" w:ascii="仿宋_GB2312" w:hAnsi="黑体" w:eastAsia="仿宋_GB2312" w:cs="黑体"/>
          <w:sz w:val="32"/>
          <w:szCs w:val="32"/>
          <w:shd w:val="clear" w:color="auto" w:fill="FFFFFF"/>
        </w:rPr>
        <w:t>主动公开</w:t>
      </w:r>
    </w:p>
    <w:p>
      <w:pPr>
        <w:pStyle w:val="9"/>
        <w:pageBreakBefore w:val="0"/>
        <w:widowControl w:val="0"/>
        <w:pBdr>
          <w:bottom w:val="single" w:color="auto" w:sz="4" w:space="0"/>
        </w:pBdr>
        <w:kinsoku/>
        <w:wordWrap/>
        <w:overflowPunct/>
        <w:topLinePunct w:val="0"/>
        <w:bidi w:val="0"/>
        <w:snapToGrid/>
        <w:spacing w:line="606" w:lineRule="exact"/>
        <w:ind w:firstLine="0"/>
        <w:textAlignment w:val="auto"/>
        <w:rPr>
          <w:rFonts w:hint="eastAsia" w:ascii="黑体" w:hAnsi="黑体" w:eastAsia="黑体" w:cs="仿宋"/>
          <w:color w:val="auto"/>
          <w:sz w:val="32"/>
          <w:szCs w:val="32"/>
        </w:rPr>
      </w:pPr>
    </w:p>
    <w:p>
      <w:pPr>
        <w:pStyle w:val="9"/>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spacing w:line="606" w:lineRule="exact"/>
        <w:ind w:left="1050" w:leftChars="100" w:hanging="840" w:hangingChars="300"/>
        <w:textAlignment w:val="auto"/>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抄送：</w:t>
      </w:r>
      <w:r>
        <w:rPr>
          <w:rFonts w:hint="eastAsia" w:ascii="仿宋" w:hAnsi="仿宋" w:eastAsia="仿宋" w:cs="仿宋"/>
          <w:color w:val="auto"/>
          <w:sz w:val="28"/>
          <w:szCs w:val="28"/>
          <w:lang w:val="en-US" w:eastAsia="zh-CN"/>
        </w:rPr>
        <w:t>县纪委监委，</w:t>
      </w:r>
      <w:r>
        <w:rPr>
          <w:rFonts w:hint="eastAsia" w:ascii="仿宋" w:hAnsi="仿宋" w:eastAsia="仿宋" w:cs="仿宋"/>
          <w:color w:val="auto"/>
          <w:sz w:val="28"/>
          <w:szCs w:val="28"/>
        </w:rPr>
        <w:t>县委办，县人大办，县政协办，县委</w:t>
      </w:r>
      <w:r>
        <w:rPr>
          <w:rFonts w:hint="eastAsia" w:ascii="仿宋" w:hAnsi="仿宋" w:eastAsia="仿宋" w:cs="仿宋"/>
          <w:color w:val="auto"/>
          <w:sz w:val="28"/>
          <w:szCs w:val="28"/>
          <w:lang w:val="en-US" w:eastAsia="zh-CN"/>
        </w:rPr>
        <w:t>各工作部门</w:t>
      </w:r>
      <w:r>
        <w:rPr>
          <w:rFonts w:hint="eastAsia" w:ascii="仿宋" w:hAnsi="仿宋" w:eastAsia="仿宋" w:cs="仿宋"/>
          <w:color w:val="auto"/>
          <w:sz w:val="28"/>
          <w:szCs w:val="28"/>
        </w:rPr>
        <w:t>，县</w:t>
      </w:r>
      <w:r>
        <w:rPr>
          <w:rFonts w:hint="eastAsia" w:ascii="仿宋" w:hAnsi="仿宋" w:eastAsia="仿宋" w:cs="仿宋"/>
          <w:color w:val="auto"/>
          <w:sz w:val="28"/>
          <w:szCs w:val="28"/>
          <w:lang w:val="en-US" w:eastAsia="zh-CN"/>
        </w:rPr>
        <w:t>人</w:t>
      </w:r>
      <w:r>
        <w:rPr>
          <w:rFonts w:hint="eastAsia" w:ascii="仿宋" w:hAnsi="仿宋" w:eastAsia="仿宋" w:cs="仿宋"/>
          <w:color w:val="auto"/>
          <w:sz w:val="28"/>
          <w:szCs w:val="28"/>
        </w:rPr>
        <w:t>武部，县法院，县检察院</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各群团组织，省、市驻县单位。</w:t>
      </w:r>
    </w:p>
    <w:p>
      <w:pPr>
        <w:pStyle w:val="9"/>
        <w:keepNext w:val="0"/>
        <w:keepLines w:val="0"/>
        <w:pageBreakBefore w:val="0"/>
        <w:widowControl w:val="0"/>
        <w:pBdr>
          <w:top w:val="single" w:color="auto" w:sz="4" w:space="0"/>
          <w:bottom w:val="single" w:color="auto" w:sz="4" w:space="0"/>
        </w:pBdr>
        <w:tabs>
          <w:tab w:val="left" w:pos="5020"/>
        </w:tabs>
        <w:kinsoku/>
        <w:wordWrap/>
        <w:overflowPunct/>
        <w:topLinePunct w:val="0"/>
        <w:autoSpaceDE/>
        <w:autoSpaceDN/>
        <w:bidi w:val="0"/>
        <w:adjustRightInd/>
        <w:snapToGrid/>
        <w:spacing w:line="606" w:lineRule="exact"/>
        <w:ind w:firstLine="280" w:firstLineChars="100"/>
        <w:textAlignment w:val="auto"/>
        <w:rPr>
          <w:rFonts w:hint="default" w:ascii="宋体" w:hAnsi="宋体" w:eastAsia="仿宋_GB2312" w:cs="Times New Roman"/>
          <w:color w:val="auto"/>
          <w:kern w:val="0"/>
          <w:sz w:val="32"/>
          <w:szCs w:val="32"/>
          <w:lang w:val="en-US" w:eastAsia="zh-CN"/>
        </w:rPr>
      </w:pPr>
      <w:r>
        <w:rPr>
          <w:rFonts w:hint="eastAsia" w:ascii="仿宋" w:hAnsi="仿宋" w:eastAsia="仿宋" w:cs="仿宋"/>
          <w:color w:val="auto"/>
          <w:sz w:val="28"/>
          <w:szCs w:val="28"/>
          <w:lang w:eastAsia="zh-CN"/>
        </w:rPr>
        <w:t>连平</w:t>
      </w:r>
      <w:r>
        <w:rPr>
          <w:rFonts w:hint="eastAsia" w:ascii="仿宋" w:hAnsi="仿宋" w:eastAsia="仿宋" w:cs="仿宋"/>
          <w:color w:val="auto"/>
          <w:sz w:val="28"/>
          <w:szCs w:val="28"/>
        </w:rPr>
        <w:t>县人民政府办公室</w:t>
      </w:r>
      <w:r>
        <w:rPr>
          <w:rFonts w:hint="eastAsia" w:ascii="仿宋" w:hAnsi="仿宋" w:eastAsia="仿宋" w:cs="仿宋"/>
          <w:color w:val="auto"/>
          <w:sz w:val="28"/>
          <w:szCs w:val="28"/>
          <w:lang w:val="en-US" w:eastAsia="zh-CN"/>
        </w:rPr>
        <w:t xml:space="preserve">                   </w:t>
      </w:r>
      <w:r>
        <w:rPr>
          <w:rFonts w:hint="eastAsia" w:ascii="宋体" w:hAnsi="宋体" w:eastAsia="宋体" w:cs="宋体"/>
          <w:color w:val="auto"/>
          <w:sz w:val="28"/>
          <w:szCs w:val="28"/>
          <w:lang w:val="en-US" w:eastAsia="zh-CN" w:bidi="zh-TW"/>
        </w:rPr>
        <w:t xml:space="preserve">  2021</w:t>
      </w:r>
      <w:r>
        <w:rPr>
          <w:rFonts w:hint="eastAsia" w:ascii="仿宋" w:hAnsi="仿宋" w:eastAsia="仿宋" w:cs="仿宋"/>
          <w:color w:val="auto"/>
          <w:sz w:val="28"/>
          <w:szCs w:val="28"/>
          <w:lang w:val="en-US" w:eastAsia="zh-CN"/>
        </w:rPr>
        <w:t>年</w:t>
      </w:r>
      <w:r>
        <w:rPr>
          <w:rFonts w:hint="eastAsia" w:cs="宋体"/>
          <w:color w:val="auto"/>
          <w:sz w:val="28"/>
          <w:szCs w:val="28"/>
          <w:lang w:val="en-US" w:eastAsia="zh-CN" w:bidi="zh-TW"/>
        </w:rPr>
        <w:t>5</w:t>
      </w:r>
      <w:r>
        <w:rPr>
          <w:rFonts w:hint="eastAsia" w:ascii="仿宋" w:hAnsi="仿宋" w:eastAsia="仿宋" w:cs="仿宋"/>
          <w:color w:val="auto"/>
          <w:sz w:val="28"/>
          <w:szCs w:val="28"/>
          <w:lang w:val="en-US" w:eastAsia="zh-CN"/>
        </w:rPr>
        <w:t>月26日印发</w:t>
      </w:r>
    </w:p>
    <w:sectPr>
      <w:headerReference r:id="rId3" w:type="default"/>
      <w:footerReference r:id="rId4" w:type="default"/>
      <w:pgSz w:w="11906" w:h="16838"/>
      <w:pgMar w:top="1440" w:right="1553" w:bottom="1440" w:left="155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Calibri" w:hAnsi="Calibri" w:eastAsia="宋体" w:cs="黑体"/>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文本框1"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oB3MscBAACY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zKr&#10;0weoMek+YFoa3vkhZ05+QGcmPaho8xfpEIyjtuertnJIRORH69V6XWFIYGy+IA57eB4ipPfSW5KN&#10;hkYcXtGUnz5CGlPnlFzN+TttDPp5bdw/DsTMHpZ7H3vMVhr2w9T43rdn5NPj3BvqcM0pMR8cyppX&#10;ZDbibOxn4xiiPnRlh3I9CLfHhE2U3nKFEXYqjAMr7Kblyhvx+F6yHn6o7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PoB3MscBAACYAwAADgAAAAAAAAABACAAAAAeAQAAZHJzL2Uyb0RvYy54&#10;bWxQSwUGAAAAAAYABgBZAQAAVwU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ACF6D7"/>
    <w:multiLevelType w:val="singleLevel"/>
    <w:tmpl w:val="A9ACF6D7"/>
    <w:lvl w:ilvl="0" w:tentative="0">
      <w:start w:val="1"/>
      <w:numFmt w:val="chineseCounting"/>
      <w:suff w:val="nothing"/>
      <w:lvlText w:val="（%1）"/>
      <w:lvlJc w:val="left"/>
      <w:pPr>
        <w:ind w:left="0" w:firstLine="420"/>
      </w:pPr>
      <w:rPr>
        <w:rFonts w:hint="eastAsia"/>
      </w:rPr>
    </w:lvl>
  </w:abstractNum>
  <w:abstractNum w:abstractNumId="1">
    <w:nsid w:val="CF90339F"/>
    <w:multiLevelType w:val="singleLevel"/>
    <w:tmpl w:val="CF90339F"/>
    <w:lvl w:ilvl="0" w:tentative="0">
      <w:start w:val="1"/>
      <w:numFmt w:val="chineseCounting"/>
      <w:suff w:val="nothing"/>
      <w:lvlText w:val="（%1）"/>
      <w:lvlJc w:val="left"/>
      <w:pPr>
        <w:ind w:left="0" w:firstLine="420"/>
      </w:pPr>
      <w:rPr>
        <w:rFonts w:hint="eastAsia"/>
      </w:rPr>
    </w:lvl>
  </w:abstractNum>
  <w:abstractNum w:abstractNumId="2">
    <w:nsid w:val="4C54F4BD"/>
    <w:multiLevelType w:val="singleLevel"/>
    <w:tmpl w:val="4C54F4BD"/>
    <w:lvl w:ilvl="0" w:tentative="0">
      <w:start w:val="1"/>
      <w:numFmt w:val="chineseCounting"/>
      <w:suff w:val="nothing"/>
      <w:lvlText w:val="第%1章 "/>
      <w:lvlJc w:val="left"/>
      <w:pPr>
        <w:ind w:left="0" w:firstLine="420"/>
      </w:pPr>
      <w:rPr>
        <w:rFonts w:hint="eastAsia"/>
      </w:rPr>
    </w:lvl>
  </w:abstractNum>
  <w:abstractNum w:abstractNumId="3">
    <w:nsid w:val="4F4AAC33"/>
    <w:multiLevelType w:val="singleLevel"/>
    <w:tmpl w:val="4F4AAC33"/>
    <w:lvl w:ilvl="0" w:tentative="0">
      <w:start w:val="1"/>
      <w:numFmt w:val="chineseCounting"/>
      <w:suff w:val="nothing"/>
      <w:lvlText w:val="（%1）"/>
      <w:lvlJc w:val="left"/>
      <w:pPr>
        <w:ind w:left="0" w:firstLine="420"/>
      </w:pPr>
      <w:rPr>
        <w:rFonts w:hint="eastAsia"/>
      </w:rPr>
    </w:lvl>
  </w:abstractNum>
  <w:abstractNum w:abstractNumId="4">
    <w:nsid w:val="53E1B104"/>
    <w:multiLevelType w:val="singleLevel"/>
    <w:tmpl w:val="53E1B104"/>
    <w:lvl w:ilvl="0" w:tentative="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36180F"/>
    <w:rsid w:val="3CBD6090"/>
    <w:rsid w:val="485E2F50"/>
    <w:rsid w:val="50AF11EE"/>
    <w:rsid w:val="725B5DA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character" w:default="1" w:styleId="7">
    <w:name w:val="Default Paragraph Font"/>
    <w:semiHidden/>
    <w:qFormat/>
    <w:uiPriority w:val="0"/>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page number"/>
    <w:basedOn w:val="7"/>
    <w:uiPriority w:val="0"/>
  </w:style>
  <w:style w:type="paragraph" w:customStyle="1" w:styleId="9">
    <w:name w:val="Body text|1"/>
    <w:basedOn w:val="1"/>
    <w:qFormat/>
    <w:uiPriority w:val="0"/>
    <w:pPr>
      <w:spacing w:line="406" w:lineRule="auto"/>
      <w:ind w:firstLine="400"/>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2020-12-04T07:31:00Z</dcterms:created>
  <dc:creator>Administrator</dc:creator>
  <cp:lastModifiedBy>LONG</cp:lastModifiedBy>
  <cp:lastPrinted>2021-05-26T02:41:00Z</cp:lastPrinted>
  <dcterms:modified xsi:type="dcterms:W3CDTF">2021-07-06T02:03:52Z</dcterms:modified>
  <dc:title>连府办〔2021〕32号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272223AC86D843D39B4DD041847FF180</vt:lpwstr>
  </property>
</Properties>
</file>