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连平县财政存量资金收回统筹操作规程</w:t>
      </w:r>
    </w:p>
    <w:p>
      <w:pPr>
        <w:keepNext w:val="0"/>
        <w:keepLines w:val="0"/>
        <w:pageBreakBefore w:val="0"/>
        <w:widowControl w:val="0"/>
        <w:kinsoku/>
        <w:wordWrap/>
        <w:overflowPunct w:val="0"/>
        <w:topLinePunct/>
        <w:autoSpaceDE/>
        <w:autoSpaceDN/>
        <w:bidi w:val="0"/>
        <w:adjustRightInd/>
        <w:snapToGrid/>
        <w:spacing w:line="600" w:lineRule="exact"/>
        <w:ind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val="0"/>
        <w:topLinePunct/>
        <w:autoSpaceDE/>
        <w:autoSpaceDN/>
        <w:bidi w:val="0"/>
        <w:adjustRightInd/>
        <w:snapToGrid/>
        <w:ind w:right="0" w:rightChars="0" w:firstLine="0" w:firstLineChars="0"/>
        <w:jc w:val="center"/>
        <w:textAlignment w:val="auto"/>
        <w:rPr>
          <w:rFonts w:hint="eastAsia" w:ascii="黑体" w:hAnsi="黑体" w:eastAsia="黑体" w:cs="黑体"/>
        </w:rPr>
      </w:pPr>
    </w:p>
    <w:p>
      <w:pPr>
        <w:keepNext w:val="0"/>
        <w:keepLines w:val="0"/>
        <w:pageBreakBefore w:val="0"/>
        <w:widowControl w:val="0"/>
        <w:kinsoku/>
        <w:wordWrap/>
        <w:overflowPunct w:val="0"/>
        <w:topLinePunct/>
        <w:autoSpaceDE/>
        <w:autoSpaceDN/>
        <w:bidi w:val="0"/>
        <w:adjustRightInd/>
        <w:snapToGrid/>
        <w:ind w:right="0" w:rightChars="0" w:firstLine="0" w:firstLineChars="0"/>
        <w:jc w:val="center"/>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第一条</w:t>
      </w:r>
      <w:r>
        <w:rPr>
          <w:rFonts w:hint="eastAsia"/>
        </w:rPr>
        <w:t xml:space="preserve"> </w:t>
      </w:r>
      <w:r>
        <w:rPr>
          <w:rFonts w:hint="eastAsia"/>
          <w:lang w:val="en-US" w:eastAsia="zh-CN"/>
        </w:rPr>
        <w:t xml:space="preserve"> </w:t>
      </w:r>
      <w:r>
        <w:rPr>
          <w:rFonts w:hint="eastAsia"/>
        </w:rPr>
        <w:t>为提高财政资金使用效益，</w:t>
      </w:r>
      <w:bookmarkStart w:id="0" w:name="_GoBack"/>
      <w:bookmarkEnd w:id="0"/>
      <w:r>
        <w:rPr>
          <w:rFonts w:hint="eastAsia"/>
        </w:rPr>
        <w:t>规范财政存量资金收回、统筹操作，根据《国务院办公厅关于进一步做好盘活财政存量资金工作的通知》（国办发〔2014〕70号）《关于深化市级预算编制执行监督管理改革的实施意见》（河委办发〔2019〕65号）和《关于深化县级预算编制执行监督管理改革的实施意见》（连委办发〔2019〕40号）等规定制定本规程。</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第二条</w:t>
      </w:r>
      <w:r>
        <w:rPr>
          <w:rFonts w:hint="eastAsia"/>
        </w:rPr>
        <w:t xml:space="preserve"> </w:t>
      </w:r>
      <w:r>
        <w:rPr>
          <w:rFonts w:hint="eastAsia"/>
          <w:lang w:val="en-US" w:eastAsia="zh-CN"/>
        </w:rPr>
        <w:t xml:space="preserve"> </w:t>
      </w:r>
      <w:r>
        <w:rPr>
          <w:rFonts w:hint="eastAsia"/>
        </w:rPr>
        <w:t>本规程可收回统筹的财政存量资金是指超过资金结转年限、项目已经完工不需要继续支出以及因项目无法实施导致的沉淀资金等。</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第三条</w:t>
      </w:r>
      <w:r>
        <w:rPr>
          <w:rFonts w:hint="eastAsia"/>
        </w:rPr>
        <w:t xml:space="preserve"> </w:t>
      </w:r>
      <w:r>
        <w:rPr>
          <w:rFonts w:hint="eastAsia"/>
          <w:lang w:val="en-US" w:eastAsia="zh-CN"/>
        </w:rPr>
        <w:t xml:space="preserve"> </w:t>
      </w:r>
      <w:r>
        <w:rPr>
          <w:rFonts w:hint="eastAsia"/>
        </w:rPr>
        <w:t>本办法适用于有财政资金拨款的县级部门预算管理的行政机关（含各类派出机构）、参公单位、公益一类和二类事业单位、非部门预算管理的其他行政事业单位、直接收款的施工单位、政府购买服务的企业等。</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第四条</w:t>
      </w:r>
      <w:r>
        <w:rPr>
          <w:rFonts w:hint="eastAsia"/>
        </w:rPr>
        <w:t xml:space="preserve"> </w:t>
      </w:r>
      <w:r>
        <w:rPr>
          <w:rFonts w:hint="eastAsia"/>
          <w:lang w:val="en-US" w:eastAsia="zh-CN"/>
        </w:rPr>
        <w:t xml:space="preserve"> </w:t>
      </w:r>
      <w:r>
        <w:rPr>
          <w:rFonts w:hint="eastAsia"/>
        </w:rPr>
        <w:t>可收回统筹财政存量资金的划分。</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可收回统筹的财政存量资金按来源可划分为四种形式：一是上级专项转移支付资金形成的可收回统筹资金。二是本级资金形成的可收回统筹资金，包括：一般公共预算和政府性基金安排的部门人员类项目资金、部门运转类项目资金、本级安排的财政专项资金及其他切块管理的资金，年中确定项目的债券转贷资金，国有资本经营预算安排的资金，财政代管资金和财政专户资金等。三是留底资金形成的可收回统筹资金，如预算周转金、预算稳定调节基金等。四是权责发生制核算事项形成的可收回统筹资金。</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财政存量资金收回统筹应当遵循“程序规范、清理及时，合法合规、应收尽收，细化到项、明确金额，切合实际、有序统筹”的原则。</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jc w:val="center"/>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财政存量资金核定原则</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第六条</w:t>
      </w:r>
      <w:r>
        <w:rPr>
          <w:rFonts w:hint="eastAsia" w:ascii="黑体" w:hAnsi="黑体" w:eastAsia="黑体" w:cs="黑体"/>
          <w:lang w:eastAsia="zh-CN"/>
        </w:rPr>
        <w:t>　</w:t>
      </w:r>
      <w:r>
        <w:rPr>
          <w:rFonts w:hint="eastAsia"/>
        </w:rPr>
        <w:t>上级专项转移支付资金当年度无法完成支出的资金，原则上可结转下年继续使用，但结转年限一般不得超过一年。结转两年以上的上级专项转移支付资金余额、结转未满两年的上级明确到项目的资金结余，原则上一律由本级财政收回，优先统筹用于相关领域支出；确需交回省财政统筹的部分，按照省财政下达清算收回文件的具体要求，列入年度结算对账或直接上划省财政国库账户。</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结转未满两年的实行“大专项+任务清单”管理的上级专项转移支付资金，在完成约束性任务的前提下，可将剩余资金在专项内统筹使用，如部门或县（区）未按要求及时分配使用或因不具备实施条件，无法形成支出的资金，视同结转两年以上的上级专项转移支付资金余额进行统筹收回处理。</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第七条</w:t>
      </w:r>
      <w:r>
        <w:rPr>
          <w:rFonts w:hint="eastAsia" w:ascii="黑体" w:hAnsi="黑体" w:eastAsia="黑体" w:cs="黑体"/>
          <w:lang w:eastAsia="zh-CN"/>
        </w:rPr>
        <w:t>　</w:t>
      </w:r>
      <w:r>
        <w:rPr>
          <w:rFonts w:hint="eastAsia"/>
        </w:rPr>
        <w:t>本级资金收回统筹核定。</w:t>
      </w:r>
    </w:p>
    <w:p>
      <w:pPr>
        <w:keepNext w:val="0"/>
        <w:keepLines w:val="0"/>
        <w:pageBreakBefore w:val="0"/>
        <w:widowControl w:val="0"/>
        <w:kinsoku/>
        <w:wordWrap/>
        <w:overflowPunct w:val="0"/>
        <w:topLinePunct/>
        <w:autoSpaceDE/>
        <w:autoSpaceDN/>
        <w:bidi w:val="0"/>
        <w:adjustRightInd/>
        <w:snapToGrid/>
        <w:ind w:right="0" w:rightChars="0"/>
        <w:jc w:val="both"/>
        <w:textAlignment w:val="auto"/>
        <w:rPr>
          <w:rFonts w:hint="eastAsia"/>
        </w:rPr>
      </w:pPr>
      <w:r>
        <w:rPr>
          <w:rFonts w:hint="eastAsia" w:ascii="楷体" w:hAnsi="楷体" w:eastAsia="楷体" w:cs="楷体"/>
          <w:lang w:eastAsia="zh-CN"/>
        </w:rPr>
        <w:t>　　</w:t>
      </w:r>
      <w:r>
        <w:rPr>
          <w:rFonts w:hint="eastAsia" w:ascii="楷体" w:hAnsi="楷体" w:eastAsia="楷体" w:cs="楷体"/>
        </w:rPr>
        <w:t>（一）</w:t>
      </w:r>
      <w:r>
        <w:rPr>
          <w:rFonts w:hint="eastAsia"/>
        </w:rPr>
        <w:t>一般公共预算和政府性基金安排的部门人员类项目资金、部门运转类项目资金、本级安排的财政专项资金及其他切块管理的资金，截至当年清算日期止未分配的资金、停留在零余额账户未支出资金，除当年12月份安排的经费部分，原则上一律收回财政统筹。</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已完成投资评审或正在实施的投资项目、已履行政府采购程序的政府采购项目及政府采购尾款、工程质保金等可结转下年使用，结转年限原则上不得超过一年。逾期仍未形成支出的，视同结余资金收回统筹。</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已下达各单位的专项资金，结转超过两年以上仍未实现支出的，可视同结余资金收回统筹。</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以切块管理形式安排的债券还本付息资金，须及时按照当年实际还本付息数额核销指标，未核销部分收回统筹不再结转下年，下年债券还本付息资金按需求重新核定编入年初预算。</w:t>
      </w:r>
    </w:p>
    <w:p>
      <w:pPr>
        <w:keepNext w:val="0"/>
        <w:keepLines w:val="0"/>
        <w:pageBreakBefore w:val="0"/>
        <w:widowControl w:val="0"/>
        <w:kinsoku/>
        <w:wordWrap/>
        <w:overflowPunct w:val="0"/>
        <w:topLinePunct/>
        <w:autoSpaceDE/>
        <w:autoSpaceDN/>
        <w:bidi w:val="0"/>
        <w:adjustRightInd/>
        <w:snapToGrid/>
        <w:ind w:right="0" w:rightChars="0"/>
        <w:jc w:val="both"/>
        <w:textAlignment w:val="auto"/>
        <w:rPr>
          <w:rFonts w:hint="eastAsia"/>
        </w:rPr>
      </w:pPr>
      <w:r>
        <w:rPr>
          <w:rFonts w:hint="eastAsia"/>
          <w:lang w:eastAsia="zh-CN"/>
        </w:rPr>
        <w:t>　　</w:t>
      </w:r>
      <w:r>
        <w:rPr>
          <w:rFonts w:hint="eastAsia" w:ascii="楷体" w:hAnsi="楷体" w:eastAsia="楷体" w:cs="楷体"/>
        </w:rPr>
        <w:t>（二）</w:t>
      </w:r>
      <w:r>
        <w:rPr>
          <w:rFonts w:hint="eastAsia"/>
        </w:rPr>
        <w:t>年中债券转贷资金安排的项目，由业务主管部门及时推进项目实施，原则上应在当年度全部支出完毕。跨年度实施项目资金可结转下年继续使用，结转年限原则上不得超过一年。</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项目已实施完毕不需要继续使用的结余资金，应收回重新调整安排用于其他急需的符合债券使用要求的项目，调整后安排的项目必须在一年内实施完毕。</w:t>
      </w:r>
    </w:p>
    <w:p>
      <w:pPr>
        <w:keepNext w:val="0"/>
        <w:keepLines w:val="0"/>
        <w:pageBreakBefore w:val="0"/>
        <w:widowControl w:val="0"/>
        <w:kinsoku/>
        <w:wordWrap/>
        <w:overflowPunct w:val="0"/>
        <w:topLinePunct/>
        <w:autoSpaceDE/>
        <w:autoSpaceDN/>
        <w:bidi w:val="0"/>
        <w:adjustRightInd/>
        <w:snapToGrid/>
        <w:ind w:right="0" w:rightChars="0"/>
        <w:jc w:val="both"/>
        <w:textAlignment w:val="auto"/>
        <w:rPr>
          <w:rFonts w:hint="eastAsia"/>
        </w:rPr>
      </w:pPr>
      <w:r>
        <w:rPr>
          <w:rFonts w:hint="eastAsia"/>
          <w:lang w:eastAsia="zh-CN"/>
        </w:rPr>
        <w:t>　　</w:t>
      </w:r>
      <w:r>
        <w:rPr>
          <w:rFonts w:hint="eastAsia" w:ascii="楷体" w:hAnsi="楷体" w:eastAsia="楷体" w:cs="楷体"/>
        </w:rPr>
        <w:t>（三）</w:t>
      </w:r>
      <w:r>
        <w:rPr>
          <w:rFonts w:hint="eastAsia"/>
        </w:rPr>
        <w:t>国有资本经营预算安排的资金参照本级安排的财政专项资金的收回原则管理。</w:t>
      </w:r>
    </w:p>
    <w:p>
      <w:pPr>
        <w:keepNext w:val="0"/>
        <w:keepLines w:val="0"/>
        <w:pageBreakBefore w:val="0"/>
        <w:widowControl w:val="0"/>
        <w:kinsoku/>
        <w:wordWrap/>
        <w:overflowPunct w:val="0"/>
        <w:topLinePunct/>
        <w:autoSpaceDE/>
        <w:autoSpaceDN/>
        <w:bidi w:val="0"/>
        <w:adjustRightInd/>
        <w:snapToGrid/>
        <w:ind w:right="0" w:rightChars="0"/>
        <w:jc w:val="both"/>
        <w:textAlignment w:val="auto"/>
        <w:rPr>
          <w:rFonts w:hint="eastAsia"/>
        </w:rPr>
      </w:pPr>
      <w:r>
        <w:rPr>
          <w:rFonts w:hint="eastAsia" w:ascii="楷体" w:hAnsi="楷体" w:eastAsia="楷体" w:cs="楷体"/>
          <w:lang w:eastAsia="zh-CN"/>
        </w:rPr>
        <w:t>　　</w:t>
      </w:r>
      <w:r>
        <w:rPr>
          <w:rFonts w:hint="eastAsia" w:ascii="楷体" w:hAnsi="楷体" w:eastAsia="楷体" w:cs="楷体"/>
        </w:rPr>
        <w:t>（四）</w:t>
      </w:r>
      <w:r>
        <w:rPr>
          <w:rFonts w:hint="eastAsia"/>
        </w:rPr>
        <w:t>财政代管资金当年上缴需当年完成支出，确实当年无法完成支出的，原则上可结转使用一年；下年度仍未支出部分由财政统筹收回，不再办理结转。</w:t>
      </w:r>
    </w:p>
    <w:p>
      <w:pPr>
        <w:keepNext w:val="0"/>
        <w:keepLines w:val="0"/>
        <w:pageBreakBefore w:val="0"/>
        <w:widowControl w:val="0"/>
        <w:kinsoku/>
        <w:wordWrap/>
        <w:overflowPunct w:val="0"/>
        <w:topLinePunct/>
        <w:autoSpaceDE/>
        <w:autoSpaceDN/>
        <w:bidi w:val="0"/>
        <w:adjustRightInd/>
        <w:snapToGrid/>
        <w:ind w:right="0" w:rightChars="0"/>
        <w:jc w:val="both"/>
        <w:textAlignment w:val="auto"/>
        <w:rPr>
          <w:rFonts w:hint="eastAsia"/>
        </w:rPr>
      </w:pPr>
      <w:r>
        <w:rPr>
          <w:rFonts w:hint="eastAsia" w:ascii="楷体" w:hAnsi="楷体" w:eastAsia="楷体" w:cs="楷体"/>
          <w:lang w:eastAsia="zh-CN"/>
        </w:rPr>
        <w:t>　　</w:t>
      </w:r>
      <w:r>
        <w:rPr>
          <w:rFonts w:hint="eastAsia" w:ascii="楷体" w:hAnsi="楷体" w:eastAsia="楷体" w:cs="楷体"/>
        </w:rPr>
        <w:t>（五）</w:t>
      </w:r>
      <w:r>
        <w:rPr>
          <w:rFonts w:hint="eastAsia"/>
        </w:rPr>
        <w:t>财政专户资金每年按实际收支进度清算，当年清算余额继续结转下年滚动使用，无特殊情况不作统筹收回。</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第八条</w:t>
      </w:r>
      <w:r>
        <w:rPr>
          <w:rFonts w:hint="eastAsia" w:ascii="黑体" w:hAnsi="黑体" w:eastAsia="黑体" w:cs="黑体"/>
          <w:lang w:eastAsia="zh-CN"/>
        </w:rPr>
        <w:t>　</w:t>
      </w:r>
      <w:r>
        <w:rPr>
          <w:rFonts w:hint="eastAsia"/>
        </w:rPr>
        <w:t>动用预算周转金、预算稳定调节基金应按照预算调整程序报县人大审批。</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第九条</w:t>
      </w:r>
      <w:r>
        <w:rPr>
          <w:rFonts w:hint="eastAsia" w:ascii="黑体" w:hAnsi="黑体" w:eastAsia="黑体" w:cs="黑体"/>
          <w:lang w:eastAsia="zh-CN"/>
        </w:rPr>
        <w:t>　</w:t>
      </w:r>
      <w:r>
        <w:rPr>
          <w:rFonts w:hint="eastAsia"/>
        </w:rPr>
        <w:t>权责发生制资金收回统筹核定。</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上级补助资金列入权责发生制核算的，应于次年全部消化并形成实际支出；次年仍无法实现支出的，原则上一律由本级财政收回，优先统筹用于相关领域支出；确须交回省、市财政统筹的部分，按照省、市财政下达清算收回文件的具体要求，列入年度结算对账或直接上划省、市财政国库账户。</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本级资金列入权责发生制核算的，应于次年全部消化并形成实际支出，原则上不得再跨年度使用。已实施完毕的项目结余资金，一律收回本级财政统筹使用。</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第十条</w:t>
      </w:r>
      <w:r>
        <w:rPr>
          <w:rFonts w:hint="eastAsia" w:ascii="黑体" w:hAnsi="黑体" w:eastAsia="黑体" w:cs="黑体"/>
          <w:lang w:eastAsia="zh-CN"/>
        </w:rPr>
        <w:t>　</w:t>
      </w:r>
      <w:r>
        <w:rPr>
          <w:rFonts w:hint="eastAsia"/>
        </w:rPr>
        <w:t>上述需统筹收回的资金中，存在资金管理文件涉及项目资金实施时间和统筹收回原则具体规定的，按资金管理文件的规定确定收回统筹时间和金额。</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numPr>
          <w:ilvl w:val="0"/>
          <w:numId w:val="1"/>
        </w:numPr>
        <w:kinsoku/>
        <w:wordWrap/>
        <w:overflowPunct w:val="0"/>
        <w:topLinePunct/>
        <w:autoSpaceDE/>
        <w:autoSpaceDN/>
        <w:bidi w:val="0"/>
        <w:adjustRightInd/>
        <w:snapToGrid/>
        <w:ind w:right="0" w:rightChars="0"/>
        <w:jc w:val="center"/>
        <w:textAlignment w:val="auto"/>
        <w:rPr>
          <w:rFonts w:hint="eastAsia" w:ascii="黑体" w:hAnsi="黑体" w:eastAsia="黑体" w:cs="黑体"/>
        </w:rPr>
      </w:pPr>
      <w:r>
        <w:rPr>
          <w:rFonts w:hint="eastAsia" w:ascii="黑体" w:hAnsi="黑体" w:eastAsia="黑体" w:cs="黑体"/>
        </w:rPr>
        <w:t>财政存量资金收回统筹操作流程</w:t>
      </w:r>
    </w:p>
    <w:p>
      <w:pPr>
        <w:keepNext w:val="0"/>
        <w:keepLines w:val="0"/>
        <w:pageBreakBefore w:val="0"/>
        <w:widowControl w:val="0"/>
        <w:numPr>
          <w:ilvl w:val="0"/>
          <w:numId w:val="0"/>
        </w:numPr>
        <w:kinsoku/>
        <w:wordWrap/>
        <w:overflowPunct w:val="0"/>
        <w:topLinePunct/>
        <w:autoSpaceDE/>
        <w:autoSpaceDN/>
        <w:bidi w:val="0"/>
        <w:adjustRightInd/>
        <w:snapToGrid/>
        <w:ind w:right="0" w:rightChars="0"/>
        <w:jc w:val="both"/>
        <w:textAlignment w:val="auto"/>
        <w:rPr>
          <w:rFonts w:hint="eastAsia" w:ascii="黑体" w:hAnsi="黑体" w:eastAsia="黑体" w:cs="黑体"/>
        </w:rPr>
      </w:pP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第十一条</w:t>
      </w:r>
      <w:r>
        <w:rPr>
          <w:rFonts w:hint="eastAsia" w:ascii="黑体" w:hAnsi="黑体" w:eastAsia="黑体" w:cs="黑体"/>
          <w:lang w:eastAsia="zh-CN"/>
        </w:rPr>
        <w:t>　</w:t>
      </w:r>
      <w:r>
        <w:rPr>
          <w:rFonts w:hint="eastAsia"/>
        </w:rPr>
        <w:t>年底统一清算收回的财政存量资金，甄别、核定和收回统筹与年度财政资金清算对账时间一致。每年度12月25日至次年1月5日（逢非工作日可提前或推后），以国库支付系统暂停办理财政拨款业务时间为节点，确定当年度财政存量资金数据。</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第十二条</w:t>
      </w:r>
      <w:r>
        <w:rPr>
          <w:rFonts w:hint="eastAsia" w:ascii="黑体" w:hAnsi="黑体" w:eastAsia="黑体" w:cs="黑体"/>
          <w:lang w:eastAsia="zh-CN"/>
        </w:rPr>
        <w:t>　</w:t>
      </w:r>
      <w:r>
        <w:rPr>
          <w:rFonts w:hint="eastAsia"/>
        </w:rPr>
        <w:t>年中需要清算收回财政存量资金的，以上级或本级下发的具体清算收回资金文件为准，按照文件要求列入年度结算对账或通过上下级国库划转。</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第十三条</w:t>
      </w:r>
      <w:r>
        <w:rPr>
          <w:rFonts w:hint="eastAsia" w:ascii="黑体" w:hAnsi="黑体" w:eastAsia="黑体" w:cs="黑体"/>
          <w:lang w:eastAsia="zh-CN"/>
        </w:rPr>
        <w:t>　</w:t>
      </w:r>
      <w:r>
        <w:rPr>
          <w:rFonts w:hint="eastAsia"/>
        </w:rPr>
        <w:t>年底统一清算时，财政部门应及时将财政存量资金相关数据发送各有关单位，由各有关单位提出初步存量资金清理意见报财政部门汇总审核。</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财政部门参考各有关单位初步意见后，综合全县财政运行情况、年度决算平衡因素和资金实际使用情况，提出存量资金结转、收回统筹的具体意见。当年度需收回统筹资金的项目和金额，应及时发文告知各有关单位。</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各单位收到年度统筹收回资金明细表格后，应根据文件规定，及时进行会计核算和账务处理操作。</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jc w:val="center"/>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eastAsia="zh-CN"/>
        </w:rPr>
        <w:t>　</w:t>
      </w:r>
      <w:r>
        <w:rPr>
          <w:rFonts w:hint="eastAsia" w:ascii="黑体" w:hAnsi="黑体" w:eastAsia="黑体" w:cs="黑体"/>
        </w:rPr>
        <w:t>会计核算与账务处理</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第十四条</w:t>
      </w:r>
      <w:r>
        <w:rPr>
          <w:rFonts w:hint="eastAsia" w:ascii="黑体" w:hAnsi="黑体" w:eastAsia="黑体" w:cs="黑体"/>
          <w:lang w:eastAsia="zh-CN"/>
        </w:rPr>
        <w:t>　</w:t>
      </w:r>
      <w:r>
        <w:rPr>
          <w:rFonts w:hint="eastAsia"/>
        </w:rPr>
        <w:t>停留在财政部门指标层面资金的统筹收回，按照审批文件及时进行系统操作。</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第十五条</w:t>
      </w:r>
      <w:r>
        <w:rPr>
          <w:rFonts w:hint="eastAsia" w:ascii="黑体" w:hAnsi="黑体" w:eastAsia="黑体" w:cs="黑体"/>
          <w:lang w:eastAsia="zh-CN"/>
        </w:rPr>
        <w:t>　</w:t>
      </w:r>
      <w:r>
        <w:rPr>
          <w:rFonts w:hint="eastAsia"/>
        </w:rPr>
        <w:t>涉及需要各单位进行账务调整的资金统筹收回，按照资金性质划分，应收回的当年资金及结余结转资金，应冲销当年收入，会计分录借记财政拨款收入，贷记零余额账户用款额度，或直接作负数会计分录冲销当年收入。</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连续使用两年以上仍然未用完的已列以前年度权责发生制的资金，会计分录借记财政应返还额度，贷记零余额账户用款额度。</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已上缴财政的代管资金，未请拨回零余额账户或请拨回零余额账户没有使用完毕且已明确不需要继续使用的资金，应冲销其他资金结转结余，会计分录借记其他资金结转结余，贷记其他应收款。</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rPr>
        <w:t>由于会计核算规则变化导致上述账务调整操作发生变化，按新规则办理。</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jc w:val="center"/>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eastAsia="zh-CN"/>
        </w:rPr>
        <w:t>　</w:t>
      </w:r>
      <w:r>
        <w:rPr>
          <w:rFonts w:hint="eastAsia" w:ascii="黑体" w:hAnsi="黑体" w:eastAsia="黑体" w:cs="黑体"/>
        </w:rPr>
        <w:t>附 则</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rPr>
          <w:rFonts w:hint="eastAsia"/>
        </w:rPr>
      </w:pPr>
      <w:r>
        <w:rPr>
          <w:rFonts w:hint="eastAsia" w:ascii="黑体" w:hAnsi="黑体" w:eastAsia="黑体" w:cs="黑体"/>
        </w:rPr>
        <w:t>第十六条</w:t>
      </w:r>
      <w:r>
        <w:rPr>
          <w:rFonts w:hint="eastAsia" w:ascii="黑体" w:hAnsi="黑体" w:eastAsia="黑体" w:cs="黑体"/>
          <w:lang w:eastAsia="zh-CN"/>
        </w:rPr>
        <w:t>　</w:t>
      </w:r>
      <w:r>
        <w:rPr>
          <w:rFonts w:hint="eastAsia"/>
        </w:rPr>
        <w:t>财政资金收回统筹应严格按照本办法规定执行，收回的财政资金可用于项目的内部调整、平衡年度预算、调入预算稳定调节基金等。</w:t>
      </w:r>
    </w:p>
    <w:p>
      <w:pPr>
        <w:keepNext w:val="0"/>
        <w:keepLines w:val="0"/>
        <w:pageBreakBefore w:val="0"/>
        <w:widowControl w:val="0"/>
        <w:kinsoku/>
        <w:wordWrap/>
        <w:overflowPunct w:val="0"/>
        <w:topLinePunct/>
        <w:autoSpaceDE/>
        <w:autoSpaceDN/>
        <w:bidi w:val="0"/>
        <w:adjustRightInd/>
        <w:snapToGrid/>
        <w:ind w:right="0" w:rightChars="0" w:firstLine="636" w:firstLineChars="200"/>
        <w:jc w:val="both"/>
        <w:textAlignment w:val="auto"/>
      </w:pPr>
      <w:r>
        <w:rPr>
          <w:rFonts w:hint="eastAsia" w:ascii="黑体" w:hAnsi="黑体" w:eastAsia="黑体" w:cs="黑体"/>
        </w:rPr>
        <w:t>第十七条</w:t>
      </w:r>
      <w:r>
        <w:rPr>
          <w:rFonts w:hint="eastAsia" w:ascii="黑体" w:hAnsi="黑体" w:eastAsia="黑体" w:cs="黑体"/>
          <w:lang w:eastAsia="zh-CN"/>
        </w:rPr>
        <w:t>　</w:t>
      </w:r>
      <w:r>
        <w:rPr>
          <w:rFonts w:hint="eastAsia"/>
        </w:rPr>
        <w:t>本办法由县财政局负责解释，自印发之日起施行。</w:t>
      </w:r>
    </w:p>
    <w:sectPr>
      <w:footerReference r:id="rId3" w:type="default"/>
      <w:pgSz w:w="11905" w:h="16838"/>
      <w:pgMar w:top="1871" w:right="1423" w:bottom="1763" w:left="1588" w:header="851" w:footer="1446" w:gutter="0"/>
      <w:cols w:space="0" w:num="1"/>
      <w:rtlGutter w:val="0"/>
      <w:docGrid w:type="linesAndChars" w:linePitch="600" w:charSpace="-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CEB9"/>
    <w:multiLevelType w:val="singleLevel"/>
    <w:tmpl w:val="27DCCEB9"/>
    <w:lvl w:ilvl="0" w:tentative="0">
      <w:start w:val="3"/>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59"/>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C8"/>
    <w:rsid w:val="00006612"/>
    <w:rsid w:val="00057FA8"/>
    <w:rsid w:val="001416FD"/>
    <w:rsid w:val="00177471"/>
    <w:rsid w:val="0025362C"/>
    <w:rsid w:val="002837A8"/>
    <w:rsid w:val="002A47B3"/>
    <w:rsid w:val="002F1143"/>
    <w:rsid w:val="00390422"/>
    <w:rsid w:val="003A4EAC"/>
    <w:rsid w:val="003A7481"/>
    <w:rsid w:val="00421550"/>
    <w:rsid w:val="004A3D4F"/>
    <w:rsid w:val="004B2009"/>
    <w:rsid w:val="00564BC8"/>
    <w:rsid w:val="005E7D13"/>
    <w:rsid w:val="006A3AFE"/>
    <w:rsid w:val="006F1DE6"/>
    <w:rsid w:val="007740FB"/>
    <w:rsid w:val="007827E0"/>
    <w:rsid w:val="007B12F2"/>
    <w:rsid w:val="00833169"/>
    <w:rsid w:val="008561AB"/>
    <w:rsid w:val="0088163B"/>
    <w:rsid w:val="008F2692"/>
    <w:rsid w:val="0092077A"/>
    <w:rsid w:val="009940F2"/>
    <w:rsid w:val="009D6FE4"/>
    <w:rsid w:val="00A0230B"/>
    <w:rsid w:val="00A46A23"/>
    <w:rsid w:val="00A64927"/>
    <w:rsid w:val="00A65BDC"/>
    <w:rsid w:val="00A965CF"/>
    <w:rsid w:val="00AB528A"/>
    <w:rsid w:val="00B6769F"/>
    <w:rsid w:val="00BA1F88"/>
    <w:rsid w:val="00C13548"/>
    <w:rsid w:val="00C521F0"/>
    <w:rsid w:val="00D24970"/>
    <w:rsid w:val="00D52BD3"/>
    <w:rsid w:val="00D61995"/>
    <w:rsid w:val="00E40809"/>
    <w:rsid w:val="00EA3F62"/>
    <w:rsid w:val="00EA42DF"/>
    <w:rsid w:val="00ED18D2"/>
    <w:rsid w:val="00F13FF3"/>
    <w:rsid w:val="00FC461B"/>
    <w:rsid w:val="011A7989"/>
    <w:rsid w:val="011D6628"/>
    <w:rsid w:val="025313B7"/>
    <w:rsid w:val="04721B22"/>
    <w:rsid w:val="04E22FF2"/>
    <w:rsid w:val="04F7578C"/>
    <w:rsid w:val="05035D42"/>
    <w:rsid w:val="06A7629C"/>
    <w:rsid w:val="07B90158"/>
    <w:rsid w:val="07C26255"/>
    <w:rsid w:val="08227B64"/>
    <w:rsid w:val="08595207"/>
    <w:rsid w:val="087C5D9E"/>
    <w:rsid w:val="08E13F41"/>
    <w:rsid w:val="0AB53623"/>
    <w:rsid w:val="0AE94D30"/>
    <w:rsid w:val="0BE733C6"/>
    <w:rsid w:val="0CEF740C"/>
    <w:rsid w:val="0CFB7915"/>
    <w:rsid w:val="0D026D4E"/>
    <w:rsid w:val="0DCF6448"/>
    <w:rsid w:val="0E1C35C6"/>
    <w:rsid w:val="0E247CE6"/>
    <w:rsid w:val="0E864C50"/>
    <w:rsid w:val="0FA07A83"/>
    <w:rsid w:val="1035261A"/>
    <w:rsid w:val="108E220A"/>
    <w:rsid w:val="1180700D"/>
    <w:rsid w:val="11BB2C08"/>
    <w:rsid w:val="11BF6F2E"/>
    <w:rsid w:val="11D24126"/>
    <w:rsid w:val="11E60061"/>
    <w:rsid w:val="12006963"/>
    <w:rsid w:val="12761EE6"/>
    <w:rsid w:val="129E061C"/>
    <w:rsid w:val="13AB3827"/>
    <w:rsid w:val="14230C38"/>
    <w:rsid w:val="159E0C96"/>
    <w:rsid w:val="15CA3755"/>
    <w:rsid w:val="15D76602"/>
    <w:rsid w:val="160814C7"/>
    <w:rsid w:val="168F2D79"/>
    <w:rsid w:val="16FF6D8F"/>
    <w:rsid w:val="17855ED1"/>
    <w:rsid w:val="188F7DC3"/>
    <w:rsid w:val="19BD6E49"/>
    <w:rsid w:val="1A8247B4"/>
    <w:rsid w:val="1B0F546C"/>
    <w:rsid w:val="1B687CF0"/>
    <w:rsid w:val="1BFC054E"/>
    <w:rsid w:val="1C294256"/>
    <w:rsid w:val="1C331EF7"/>
    <w:rsid w:val="1C3B2407"/>
    <w:rsid w:val="1C8F5CAE"/>
    <w:rsid w:val="1CC133F1"/>
    <w:rsid w:val="1D030A9B"/>
    <w:rsid w:val="1D1B4FFA"/>
    <w:rsid w:val="1D6E625A"/>
    <w:rsid w:val="1E4B49DC"/>
    <w:rsid w:val="1F2A2234"/>
    <w:rsid w:val="1F5A58F8"/>
    <w:rsid w:val="21616DA2"/>
    <w:rsid w:val="219E23A4"/>
    <w:rsid w:val="21B00A03"/>
    <w:rsid w:val="22142199"/>
    <w:rsid w:val="224C6ED8"/>
    <w:rsid w:val="237222C8"/>
    <w:rsid w:val="24443031"/>
    <w:rsid w:val="24616E2F"/>
    <w:rsid w:val="24802CB0"/>
    <w:rsid w:val="24D107C7"/>
    <w:rsid w:val="25783B09"/>
    <w:rsid w:val="25A86F6C"/>
    <w:rsid w:val="2698181B"/>
    <w:rsid w:val="26A663A1"/>
    <w:rsid w:val="26BB2C1F"/>
    <w:rsid w:val="26F30162"/>
    <w:rsid w:val="27B05AE0"/>
    <w:rsid w:val="27E93CE7"/>
    <w:rsid w:val="28185B67"/>
    <w:rsid w:val="28F93EA8"/>
    <w:rsid w:val="29A471E2"/>
    <w:rsid w:val="29F50676"/>
    <w:rsid w:val="2A3627F7"/>
    <w:rsid w:val="2ABA3239"/>
    <w:rsid w:val="2C596FA7"/>
    <w:rsid w:val="2CA223E3"/>
    <w:rsid w:val="2CF30DE2"/>
    <w:rsid w:val="2D0B5D8E"/>
    <w:rsid w:val="2D1777EA"/>
    <w:rsid w:val="2D251473"/>
    <w:rsid w:val="2E4A39C8"/>
    <w:rsid w:val="2E6706BD"/>
    <w:rsid w:val="303311AF"/>
    <w:rsid w:val="30566E88"/>
    <w:rsid w:val="305B0E9A"/>
    <w:rsid w:val="30AB1E30"/>
    <w:rsid w:val="312E5389"/>
    <w:rsid w:val="317E7738"/>
    <w:rsid w:val="31B67EF2"/>
    <w:rsid w:val="327E19B5"/>
    <w:rsid w:val="32A02CD8"/>
    <w:rsid w:val="330B1D7A"/>
    <w:rsid w:val="33603089"/>
    <w:rsid w:val="33A36FB3"/>
    <w:rsid w:val="33F4613B"/>
    <w:rsid w:val="340F35FD"/>
    <w:rsid w:val="34AE7187"/>
    <w:rsid w:val="357F0475"/>
    <w:rsid w:val="35C27531"/>
    <w:rsid w:val="36813305"/>
    <w:rsid w:val="37D745B7"/>
    <w:rsid w:val="381527CE"/>
    <w:rsid w:val="390E67F1"/>
    <w:rsid w:val="3A5373BD"/>
    <w:rsid w:val="3AA71098"/>
    <w:rsid w:val="3AAD1181"/>
    <w:rsid w:val="3B7D7D84"/>
    <w:rsid w:val="3C311392"/>
    <w:rsid w:val="3CE73900"/>
    <w:rsid w:val="3D4D005C"/>
    <w:rsid w:val="3D8510FB"/>
    <w:rsid w:val="3F253021"/>
    <w:rsid w:val="407A597D"/>
    <w:rsid w:val="414A2E06"/>
    <w:rsid w:val="421710DD"/>
    <w:rsid w:val="422E77D5"/>
    <w:rsid w:val="424A4063"/>
    <w:rsid w:val="42891864"/>
    <w:rsid w:val="44057614"/>
    <w:rsid w:val="448A23F1"/>
    <w:rsid w:val="4521593F"/>
    <w:rsid w:val="457D56E9"/>
    <w:rsid w:val="46442C19"/>
    <w:rsid w:val="46462243"/>
    <w:rsid w:val="46C87E41"/>
    <w:rsid w:val="46D76766"/>
    <w:rsid w:val="476272EB"/>
    <w:rsid w:val="47906205"/>
    <w:rsid w:val="48072C06"/>
    <w:rsid w:val="49035EE2"/>
    <w:rsid w:val="494A6E09"/>
    <w:rsid w:val="49561BDE"/>
    <w:rsid w:val="49682A89"/>
    <w:rsid w:val="49C36E82"/>
    <w:rsid w:val="4A022F2D"/>
    <w:rsid w:val="4A754A33"/>
    <w:rsid w:val="4BA67D1B"/>
    <w:rsid w:val="4C1972AE"/>
    <w:rsid w:val="4E41756E"/>
    <w:rsid w:val="4E8816DC"/>
    <w:rsid w:val="4F103B2F"/>
    <w:rsid w:val="4FB01D79"/>
    <w:rsid w:val="51804FA6"/>
    <w:rsid w:val="518C323B"/>
    <w:rsid w:val="52303EB1"/>
    <w:rsid w:val="52D424B4"/>
    <w:rsid w:val="53C165CB"/>
    <w:rsid w:val="53C37BA7"/>
    <w:rsid w:val="54497E57"/>
    <w:rsid w:val="546C33AB"/>
    <w:rsid w:val="54872CCC"/>
    <w:rsid w:val="549B1AE4"/>
    <w:rsid w:val="561F571C"/>
    <w:rsid w:val="562D4CE9"/>
    <w:rsid w:val="564E636B"/>
    <w:rsid w:val="567121F2"/>
    <w:rsid w:val="57886E55"/>
    <w:rsid w:val="58810A50"/>
    <w:rsid w:val="591D5782"/>
    <w:rsid w:val="59700E3D"/>
    <w:rsid w:val="5A106B8E"/>
    <w:rsid w:val="5A1310BE"/>
    <w:rsid w:val="5A8226CD"/>
    <w:rsid w:val="5A8B41D4"/>
    <w:rsid w:val="5B233ACD"/>
    <w:rsid w:val="5BE20B42"/>
    <w:rsid w:val="5C591F30"/>
    <w:rsid w:val="5C7F1F03"/>
    <w:rsid w:val="5DF73BF3"/>
    <w:rsid w:val="5F580FF8"/>
    <w:rsid w:val="6125738A"/>
    <w:rsid w:val="612F6637"/>
    <w:rsid w:val="61E375C8"/>
    <w:rsid w:val="62133CFA"/>
    <w:rsid w:val="62F96C04"/>
    <w:rsid w:val="6329624E"/>
    <w:rsid w:val="637A69BD"/>
    <w:rsid w:val="640678DF"/>
    <w:rsid w:val="64900F9B"/>
    <w:rsid w:val="64A01E63"/>
    <w:rsid w:val="65C12BA8"/>
    <w:rsid w:val="65D95D7E"/>
    <w:rsid w:val="66373265"/>
    <w:rsid w:val="69C971F9"/>
    <w:rsid w:val="69F85FBB"/>
    <w:rsid w:val="6C4870D8"/>
    <w:rsid w:val="6C9D6D61"/>
    <w:rsid w:val="6D0269E7"/>
    <w:rsid w:val="6D255D06"/>
    <w:rsid w:val="6DBB1830"/>
    <w:rsid w:val="6F1766A5"/>
    <w:rsid w:val="6FF239BA"/>
    <w:rsid w:val="709A4DE8"/>
    <w:rsid w:val="7145180D"/>
    <w:rsid w:val="72863CC3"/>
    <w:rsid w:val="73900A5E"/>
    <w:rsid w:val="73C52C32"/>
    <w:rsid w:val="74DA60DB"/>
    <w:rsid w:val="761519CE"/>
    <w:rsid w:val="762F24EB"/>
    <w:rsid w:val="76C24308"/>
    <w:rsid w:val="76F61E10"/>
    <w:rsid w:val="77014D7C"/>
    <w:rsid w:val="774B62FE"/>
    <w:rsid w:val="77DA650A"/>
    <w:rsid w:val="77DD0754"/>
    <w:rsid w:val="77E526FB"/>
    <w:rsid w:val="784E7D18"/>
    <w:rsid w:val="79046F9B"/>
    <w:rsid w:val="790C41E8"/>
    <w:rsid w:val="7B0E3703"/>
    <w:rsid w:val="7BD9305F"/>
    <w:rsid w:val="7C753237"/>
    <w:rsid w:val="7C824B22"/>
    <w:rsid w:val="7CB25E91"/>
    <w:rsid w:val="7CB3707C"/>
    <w:rsid w:val="7CEC315C"/>
    <w:rsid w:val="7E044E72"/>
    <w:rsid w:val="7F662326"/>
    <w:rsid w:val="7FFE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3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02894-C973-4488-8907-D3E35F4B7138}">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585</Characters>
  <Lines>4</Lines>
  <Paragraphs>1</Paragraphs>
  <TotalTime>179</TotalTime>
  <ScaleCrop>false</ScaleCrop>
  <LinksUpToDate>false</LinksUpToDate>
  <CharactersWithSpaces>686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2021-03-02T06:49:00Z</dcterms:created>
  <dc:creator>lenovo</dc:creator>
  <cp:lastModifiedBy>在路上</cp:lastModifiedBy>
  <cp:lastPrinted>2021-06-16T06:28:00Z</cp:lastPrinted>
  <dcterms:modified xsi:type="dcterms:W3CDTF">2021-07-15T03:41:48Z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B8B8924A619C4B2F9502A0BEDB124EFF</vt:lpwstr>
  </property>
</Properties>
</file>