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连平县财政预算调剂管理办法</w:t>
      </w:r>
    </w:p>
    <w:p>
      <w:pPr>
        <w:keepNext w:val="0"/>
        <w:keepLines w:val="0"/>
        <w:pageBreakBefore w:val="0"/>
        <w:widowControl w:val="0"/>
        <w:kinsoku/>
        <w:wordWrap/>
        <w:overflowPunct w:val="0"/>
        <w:topLinePunct/>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第一章  总则</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第一条</w:t>
      </w:r>
      <w:r>
        <w:rPr>
          <w:rFonts w:hint="eastAsia" w:ascii="黑体" w:hAnsi="黑体" w:eastAsia="黑体" w:cs="黑体"/>
          <w:lang w:eastAsia="zh-CN"/>
        </w:rPr>
        <w:t>　</w:t>
      </w:r>
      <w:r>
        <w:rPr>
          <w:rFonts w:hint="eastAsia"/>
        </w:rPr>
        <w:t>为进一步加强财政资金管理，提高财政资金使用效益，强化预算刚性约束，规范预算调剂行为，根据《中华人民共和国预算法》《中</w:t>
      </w:r>
      <w:r>
        <w:rPr>
          <w:rFonts w:hint="eastAsia"/>
          <w:lang w:val="en-US" w:eastAsia="zh-CN"/>
        </w:rPr>
        <w:t>华</w:t>
      </w:r>
      <w:bookmarkStart w:id="0" w:name="_GoBack"/>
      <w:bookmarkEnd w:id="0"/>
      <w:r>
        <w:rPr>
          <w:rFonts w:hint="eastAsia"/>
        </w:rPr>
        <w:t>人民共和国预算法实施条例》《关于深化县级预算编制执行监督管理改革的实施意见》（连委办发〔2019〕40号）等法规文件精神，制定本办法。</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第二条</w:t>
      </w:r>
      <w:r>
        <w:rPr>
          <w:rFonts w:hint="eastAsia" w:ascii="黑体" w:hAnsi="黑体" w:eastAsia="黑体" w:cs="黑体"/>
          <w:lang w:eastAsia="zh-CN"/>
        </w:rPr>
        <w:t>　</w:t>
      </w:r>
      <w:r>
        <w:rPr>
          <w:rFonts w:hint="eastAsia"/>
        </w:rPr>
        <w:t>本办法适用于有财政资金拨款的县级部门预算管理的行政机关（含各类派出机构）、参公单位、公益一类和二类事业单位、非部门预算管理的其他行政事业单位和已编列国有资本经营预算的县级国有企业等。</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第三条</w:t>
      </w:r>
      <w:r>
        <w:rPr>
          <w:rFonts w:hint="eastAsia" w:ascii="黑体" w:hAnsi="黑体" w:eastAsia="黑体" w:cs="黑体"/>
          <w:lang w:eastAsia="zh-CN"/>
        </w:rPr>
        <w:t>　</w:t>
      </w:r>
      <w:r>
        <w:rPr>
          <w:rFonts w:hint="eastAsia"/>
        </w:rPr>
        <w:t>本办法涵盖一般公共预算、政府性基金预算、国有资本经营预算安排的当年度和以前年度结转的财政拨款资金。</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第四条</w:t>
      </w:r>
      <w:r>
        <w:rPr>
          <w:rFonts w:hint="eastAsia" w:ascii="黑体" w:hAnsi="黑体" w:eastAsia="黑体" w:cs="黑体"/>
          <w:lang w:eastAsia="zh-CN"/>
        </w:rPr>
        <w:t>　</w:t>
      </w:r>
      <w:r>
        <w:rPr>
          <w:rFonts w:hint="eastAsia"/>
        </w:rPr>
        <w:t>本办法所涉资金，按资金来源可分为上级专项转移支付资金和本级安排的项目资金。本级安排的项目资金包括：部门人员类项目资金、部门运转类项目资金、本级安排的财政专项资金及其他切块管理的资金。</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上级专项转移支付资金是指收到上级部门为实现特定宏观政策和事业发展战略目标、有指定用途的资金。</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部门人员类项目资金是指部门（单位）有关人员的工资福利支出、对个人和家庭的补助支出资金。</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部门运转类项目资金是指部门（单位）为保障其机构自身正常运转所发生的公用经费项目，以及完成日常工作任务所需的其他运转类项目资金。</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本级安排的财政专项资金是指为支持连平县经济社会各项事业发展安排的具有专门用途和绩效目标的财政资金。</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其他切块管理的资金是指年初预算中没有指定到具体业务主管部门，采取切块方式管理的资金。</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第五条</w:t>
      </w:r>
      <w:r>
        <w:rPr>
          <w:rFonts w:hint="eastAsia" w:ascii="黑体" w:hAnsi="黑体" w:eastAsia="黑体" w:cs="黑体"/>
          <w:lang w:eastAsia="zh-CN"/>
        </w:rPr>
        <w:t>　</w:t>
      </w:r>
      <w:r>
        <w:rPr>
          <w:rFonts w:hint="eastAsia"/>
        </w:rPr>
        <w:t>本办法所称预算调剂是指以经县人民代表大会、县人大常委会审查批准的县级预算草案内容为依据，涉及的预算科目、预算级次或者项目间的变动。</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第二章  预算调剂原则</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第六条</w:t>
      </w:r>
      <w:r>
        <w:rPr>
          <w:rFonts w:hint="eastAsia" w:ascii="黑体" w:hAnsi="黑体" w:eastAsia="黑体" w:cs="黑体"/>
          <w:lang w:eastAsia="zh-CN"/>
        </w:rPr>
        <w:t>　</w:t>
      </w:r>
      <w:r>
        <w:rPr>
          <w:rFonts w:hint="eastAsia"/>
        </w:rPr>
        <w:t>县级预算草案一经批准，应严格遵照执行，强化预算约束，非确有必要,一般不予办理预算调剂。</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第七条</w:t>
      </w:r>
      <w:r>
        <w:rPr>
          <w:rFonts w:hint="eastAsia" w:ascii="黑体" w:hAnsi="黑体" w:eastAsia="黑体" w:cs="黑体"/>
          <w:lang w:eastAsia="zh-CN"/>
        </w:rPr>
        <w:t>　</w:t>
      </w:r>
      <w:r>
        <w:rPr>
          <w:rFonts w:hint="eastAsia"/>
        </w:rPr>
        <w:t>严格控制调剂范围、程序、时间、频次和规模，法律禁止和纳入负面清单的事项一律不得调剂。</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第八条</w:t>
      </w:r>
      <w:r>
        <w:rPr>
          <w:rFonts w:hint="eastAsia" w:ascii="黑体" w:hAnsi="黑体" w:eastAsia="黑体" w:cs="黑体"/>
          <w:lang w:eastAsia="zh-CN"/>
        </w:rPr>
        <w:t>　</w:t>
      </w:r>
      <w:r>
        <w:rPr>
          <w:rFonts w:hint="eastAsia"/>
        </w:rPr>
        <w:t>申请预算调剂事项须有充分的理由和文件依据，调剂后资金应重点用于落实和保障中央、省、市和县部署的重点工作，及根据县相关规划制度文件规定确需开展的工作。</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第九条</w:t>
      </w:r>
      <w:r>
        <w:rPr>
          <w:rFonts w:hint="eastAsia" w:ascii="黑体" w:hAnsi="黑体" w:eastAsia="黑体" w:cs="黑体"/>
          <w:lang w:eastAsia="zh-CN"/>
        </w:rPr>
        <w:t>　</w:t>
      </w:r>
      <w:r>
        <w:rPr>
          <w:rFonts w:hint="eastAsia"/>
        </w:rPr>
        <w:t>对可能沉淀的、低效无效的资金，应及时提出调剂意见。调剂后资金需有明确的绩效目标，原则上应在当年度支出，并着重加强绩效管理和监督。</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第十条</w:t>
      </w:r>
      <w:r>
        <w:rPr>
          <w:rFonts w:hint="eastAsia" w:ascii="黑体" w:hAnsi="黑体" w:eastAsia="黑体" w:cs="黑体"/>
          <w:lang w:eastAsia="zh-CN"/>
        </w:rPr>
        <w:t>　</w:t>
      </w:r>
      <w:r>
        <w:rPr>
          <w:rFonts w:hint="eastAsia"/>
        </w:rPr>
        <w:t>预算调剂结果应及时反馈到预算编制环节，促进项目库建设细化完善、预算编制科学精准，减少次年重复调剂事项。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rPr>
      </w:pPr>
      <w:r>
        <w:rPr>
          <w:rFonts w:hint="eastAsia" w:ascii="黑体" w:hAnsi="黑体" w:eastAsia="黑体" w:cs="黑体"/>
        </w:rPr>
        <w:t>第三章  预算调剂负面清单</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第十一条</w:t>
      </w:r>
      <w:r>
        <w:rPr>
          <w:rFonts w:hint="eastAsia" w:ascii="黑体" w:hAnsi="黑体" w:eastAsia="黑体" w:cs="黑体"/>
          <w:lang w:eastAsia="zh-CN"/>
        </w:rPr>
        <w:t>　</w:t>
      </w:r>
      <w:r>
        <w:rPr>
          <w:rFonts w:hint="eastAsia"/>
        </w:rPr>
        <w:t>不得调减民生支出类级科目金额（民生资金清算后结余调剂除外），不得调减法定义务既定支出。</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第十二条</w:t>
      </w:r>
      <w:r>
        <w:rPr>
          <w:rFonts w:hint="eastAsia" w:ascii="黑体" w:hAnsi="黑体" w:eastAsia="黑体" w:cs="黑体"/>
          <w:lang w:eastAsia="zh-CN"/>
        </w:rPr>
        <w:t>　</w:t>
      </w:r>
      <w:r>
        <w:rPr>
          <w:rFonts w:hint="eastAsia"/>
        </w:rPr>
        <w:t>按人数（或补助数量）、标准计算的民生类资金，资金清算后结余，不得调剂用于非民生类项目支出。</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第十三条</w:t>
      </w:r>
      <w:r>
        <w:rPr>
          <w:rFonts w:hint="eastAsia" w:ascii="黑体" w:hAnsi="黑体" w:eastAsia="黑体" w:cs="黑体"/>
          <w:lang w:eastAsia="zh-CN"/>
        </w:rPr>
        <w:t>　</w:t>
      </w:r>
      <w:r>
        <w:rPr>
          <w:rFonts w:hint="eastAsia"/>
        </w:rPr>
        <w:t>原定于支持镇级经济社会民生事业发展的资金，不得调剂用于本级部门经费。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第十四条</w:t>
      </w:r>
      <w:r>
        <w:rPr>
          <w:rFonts w:hint="eastAsia" w:ascii="黑体" w:hAnsi="黑体" w:eastAsia="黑体" w:cs="黑体"/>
          <w:lang w:eastAsia="zh-CN"/>
        </w:rPr>
        <w:t>　</w:t>
      </w:r>
      <w:r>
        <w:rPr>
          <w:rFonts w:hint="eastAsia"/>
        </w:rPr>
        <w:t>部门预算项目资金不得调剂用于补充公用经费和“三公”经费支出。</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第十五条</w:t>
      </w:r>
      <w:r>
        <w:rPr>
          <w:rFonts w:hint="eastAsia" w:ascii="黑体" w:hAnsi="黑体" w:eastAsia="黑体" w:cs="黑体"/>
          <w:lang w:eastAsia="zh-CN"/>
        </w:rPr>
        <w:t>　</w:t>
      </w:r>
      <w:r>
        <w:rPr>
          <w:rFonts w:hint="eastAsia"/>
        </w:rPr>
        <w:t>有明确财政安排总额或补助比例的基本建设项目资金，不得调剂用于其他支出。</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第十六条</w:t>
      </w:r>
      <w:r>
        <w:rPr>
          <w:rFonts w:hint="eastAsia" w:ascii="黑体" w:hAnsi="黑体" w:eastAsia="黑体" w:cs="黑体"/>
          <w:lang w:eastAsia="zh-CN"/>
        </w:rPr>
        <w:t>　</w:t>
      </w:r>
      <w:r>
        <w:rPr>
          <w:rFonts w:hint="eastAsia"/>
        </w:rPr>
        <w:t>其他法律法规、上级、本级文件等有明确规定的资金，不得跨范围调剂。</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第四章  预算调剂审批程序</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ascii="仿宋_GB2312" w:hAnsi="仿宋_GB2312" w:eastAsia="仿宋_GB2312" w:cs="仿宋_GB2312"/>
          <w:lang w:eastAsia="zh-CN"/>
        </w:rPr>
      </w:pPr>
      <w:r>
        <w:rPr>
          <w:rFonts w:hint="eastAsia" w:ascii="黑体" w:hAnsi="黑体" w:eastAsia="黑体" w:cs="黑体"/>
        </w:rPr>
        <w:t>第十七条</w:t>
      </w:r>
      <w:r>
        <w:rPr>
          <w:rFonts w:hint="eastAsia" w:ascii="黑体" w:hAnsi="黑体" w:eastAsia="黑体" w:cs="黑体"/>
          <w:lang w:eastAsia="zh-CN"/>
        </w:rPr>
        <w:t>　</w:t>
      </w:r>
      <w:r>
        <w:rPr>
          <w:rFonts w:hint="eastAsia" w:ascii="仿宋_GB2312" w:hAnsi="仿宋_GB2312" w:eastAsia="仿宋_GB2312" w:cs="仿宋_GB2312"/>
        </w:rPr>
        <w:t>预算科目之间的调剂</w:t>
      </w:r>
      <w:r>
        <w:rPr>
          <w:rFonts w:hint="eastAsia" w:cs="仿宋_GB2312"/>
          <w:lang w:eastAsia="zh-CN"/>
        </w:rPr>
        <w:t>。</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本级安排的项目资金需要进行支出功能分类“类”“款”“项”级，政府预算支出经济分类“类”级科目和“三公”经费“类”“款”级科目的调剂，由业务主管部门提出书面申请报财政部门审核办理。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下属单位需要进行科目调剂，由下属单位提出书面申请，报业务主管部门审核后报财政部门办理。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需要进行政府预算支出经济分类“款”级科目调剂的，由各单位自行办理，办理过程需留存纸质材料以备财政部门、审计部门及监督部门等抽查检查。</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ascii="黑体" w:hAnsi="黑体" w:eastAsia="黑体" w:cs="黑体"/>
          <w:lang w:eastAsia="zh-CN"/>
        </w:rPr>
      </w:pPr>
      <w:r>
        <w:rPr>
          <w:rFonts w:hint="eastAsia" w:ascii="黑体" w:hAnsi="黑体" w:eastAsia="黑体" w:cs="黑体"/>
        </w:rPr>
        <w:t>第十八条</w:t>
      </w:r>
      <w:r>
        <w:rPr>
          <w:rFonts w:hint="eastAsia" w:ascii="黑体" w:hAnsi="黑体" w:eastAsia="黑体" w:cs="黑体"/>
          <w:lang w:eastAsia="zh-CN"/>
        </w:rPr>
        <w:t>　</w:t>
      </w:r>
      <w:r>
        <w:rPr>
          <w:rFonts w:hint="eastAsia" w:ascii="仿宋_GB2312" w:hAnsi="仿宋_GB2312" w:eastAsia="仿宋_GB2312" w:cs="仿宋_GB2312"/>
        </w:rPr>
        <w:t>预算级次之间的调剂</w:t>
      </w:r>
      <w:r>
        <w:rPr>
          <w:rFonts w:hint="eastAsia" w:ascii="仿宋_GB2312" w:hAnsi="仿宋_GB2312" w:eastAsia="仿宋_GB2312" w:cs="仿宋_GB2312"/>
          <w:lang w:eastAsia="zh-CN"/>
        </w:rPr>
        <w:t>。</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本级安排的项目资金因年中执行过程中进行二次分配涉及预算级次变化，由业务主管部门在制定资金分配方案时一并提出书面申请报财政部门审核，财政部门在安排（下达）资金时一并办理。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下属单位需要进行预算资金级次调剂，由下属单位提供资金分配方案时一并提出书面申请报业务主管部门审核后报财政部门办理。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以前年度已与镇级核算的资金，需跨镇级进行调剂的，由业务主管部门提出书面申请报财政部门审核办理。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预算级次调整，导致审批权限变化的，收回已下放审批权限调整为县级审批事项，应呈报分管县领导审批。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ascii="黑体" w:hAnsi="黑体" w:eastAsia="黑体" w:cs="黑体"/>
        </w:rPr>
      </w:pPr>
      <w:r>
        <w:rPr>
          <w:rFonts w:hint="eastAsia" w:ascii="黑体" w:hAnsi="黑体" w:eastAsia="黑体" w:cs="黑体"/>
        </w:rPr>
        <w:t>第十九条</w:t>
      </w:r>
      <w:r>
        <w:rPr>
          <w:rFonts w:hint="eastAsia" w:ascii="黑体" w:hAnsi="黑体" w:eastAsia="黑体" w:cs="黑体"/>
          <w:lang w:eastAsia="zh-CN"/>
        </w:rPr>
        <w:t>　</w:t>
      </w:r>
      <w:r>
        <w:rPr>
          <w:rFonts w:hint="eastAsia" w:ascii="仿宋_GB2312" w:hAnsi="仿宋_GB2312" w:eastAsia="仿宋_GB2312" w:cs="仿宋_GB2312"/>
        </w:rPr>
        <w:t>预算项目之间的调剂。</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归同一部门管理的资金在不同项目之间的调剂，由业务主管部门提出书面申请，财政部门审核办理。同一部门不同下属单位需要进行项目之间的调剂，由调增项目的下属单位提出书面申请报业务主管部门审核后报财政部门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同一项目资金在不同部门之间的调剂，由调增项目的主管部门与调减项目主管部门意见协调一致后，提出书面申请，财政部门审核办理。涉及下属单位的项目调剂，由下属单位提出书面申请报业务主管部门审核后报财政部门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本级安排的资金进行项目之间的调剂，由业务主管部门提出书面申请，财政部门审核办理。财政部门主管的资金调剂，由财政部门对应的资金归口管理股室提出书面申请，按照财政调剂审核流程办理。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项目调整涉及县委、县政府重点工作事项的，由业务主管部门提出书面申请报财政部门审核后，呈报县政府审批。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第二十条</w:t>
      </w:r>
      <w:r>
        <w:rPr>
          <w:rFonts w:hint="eastAsia" w:ascii="黑体" w:hAnsi="黑体" w:eastAsia="黑体" w:cs="黑体"/>
          <w:lang w:eastAsia="zh-CN"/>
        </w:rPr>
        <w:t>　</w:t>
      </w:r>
      <w:r>
        <w:rPr>
          <w:rFonts w:hint="eastAsia"/>
        </w:rPr>
        <w:t>上级专项转移支付资金需要在不同项目、不同政策任务间进行调剂，需由业务主管部门提出书面申请报上级业务主管部门批准同意后，报财政部门审核办理。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第二十一条</w:t>
      </w:r>
      <w:r>
        <w:rPr>
          <w:rFonts w:hint="eastAsia" w:ascii="黑体" w:hAnsi="黑体" w:eastAsia="黑体" w:cs="黑体"/>
          <w:lang w:eastAsia="zh-CN"/>
        </w:rPr>
        <w:t>　</w:t>
      </w:r>
      <w:r>
        <w:rPr>
          <w:rFonts w:hint="eastAsia"/>
        </w:rPr>
        <w:t>以上各类调剂事项（不含本级安排的财政专项资金），调剂资金达到该项支出（切块资金按单个项目计算；部门预算资金分人员类项目资金和运转类项目资金，按年初该部门预算人员类项目资金和运转类项目资金整体规模计算，下同）总额的10%以下或单项调剂金额在50万元以下的，由县财政部门核准办理；达到总额10%（含）-20%（不含）的，报县财政部门核准后，由提出调剂申请的部门按程序报分管县领导审批；达到20%及以上或单项调剂金额在100万元及以上的，经分管县领导和分管财政工作的县领导审核后，报县政府主要领导审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第二十二条</w:t>
      </w:r>
      <w:r>
        <w:rPr>
          <w:rFonts w:hint="eastAsia" w:ascii="黑体" w:hAnsi="黑体" w:eastAsia="黑体" w:cs="黑体"/>
          <w:lang w:eastAsia="zh-CN"/>
        </w:rPr>
        <w:t>　</w:t>
      </w:r>
      <w:r>
        <w:rPr>
          <w:rFonts w:hint="eastAsia"/>
        </w:rPr>
        <w:t>除预算科目调剂外，一项资金当年度只能办理一次调剂。办理预算调剂原则上需在当年度9月15日前提出申请，9月底前完成。因预算调剂引起的政府采购预算、新增资产配置、预算绩效目标或任务清单等变动需同步进行处理。</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第二十三条</w:t>
      </w:r>
      <w:r>
        <w:rPr>
          <w:rFonts w:hint="eastAsia" w:ascii="黑体" w:hAnsi="黑体" w:eastAsia="黑体" w:cs="黑体"/>
          <w:lang w:eastAsia="zh-CN"/>
        </w:rPr>
        <w:t>　</w:t>
      </w:r>
      <w:r>
        <w:rPr>
          <w:rFonts w:hint="eastAsia"/>
        </w:rPr>
        <w:t>除预算科目调剂和不可预见因素引起的调剂外，调剂频次及金额纳入部门年度预算编制及执行情况考核，业务主管部门当年调剂频次超过5次、连续两年调剂资金比例达到或超过经管（使用）资金总额20%、当年度调剂资金总额在500万元以上的部门（单位），按一定比例扣减次年财政资金安排。</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第五章  不列入预算调剂事项</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第二十四条</w:t>
      </w:r>
      <w:r>
        <w:rPr>
          <w:rFonts w:hint="eastAsia" w:ascii="黑体" w:hAnsi="黑体" w:eastAsia="黑体" w:cs="黑体"/>
          <w:lang w:eastAsia="zh-CN"/>
        </w:rPr>
        <w:t>　</w:t>
      </w:r>
      <w:r>
        <w:rPr>
          <w:rFonts w:hint="eastAsia"/>
        </w:rPr>
        <w:t>以下事项不属于预算调剂范畴，不执行预算调剂操作。</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法律规定应进行预算调整的事项，不执行预算调剂操作。具体包括：需要增加或者减少预算总支出的；需要调入预算稳定调节基金的；需要调减预算安排的重点支出数额的；需要增加举借债务数额的。</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因财政部每年度政府收支分类科目统一调整需要进行的科目变动的。</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已下放审批权限的资金，按下放审批权管理的有关规定安排具体支出项目的。</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按正常程序制定和报批项目资金分配方案，不涉及到科目、预算级次和项目变动的。</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rPr>
        <w:t>结转超过两年仍未支出的资金，应按照财政存量资金统筹收回管理有关规定办理的。</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rPr>
      </w:pPr>
      <w:r>
        <w:rPr>
          <w:rFonts w:hint="eastAsia" w:ascii="黑体" w:hAnsi="黑体" w:eastAsia="黑体" w:cs="黑体"/>
        </w:rPr>
        <w:t>第六章  预算调剂监督问责</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第二十五条</w:t>
      </w:r>
      <w:r>
        <w:rPr>
          <w:rFonts w:hint="eastAsia" w:ascii="黑体" w:hAnsi="黑体" w:eastAsia="黑体" w:cs="黑体"/>
          <w:lang w:eastAsia="zh-CN"/>
        </w:rPr>
        <w:t>　</w:t>
      </w:r>
      <w:r>
        <w:rPr>
          <w:rFonts w:hint="eastAsia"/>
        </w:rPr>
        <w:t>业务主管部门应当根据本办法，结合本部门实际情况加强对部门预算调剂的制度建设和内控管理，自觉接受审计部门、财政监督检查部门对预算调剂的监督检查。违反本办法规定的，将严格按照《财政违法行为处罚处分条例》对单位及相关责任人作出处理、处罚。</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jc w:val="center"/>
        <w:textAlignment w:val="auto"/>
        <w:rPr>
          <w:rFonts w:hint="eastAsia" w:ascii="黑体" w:hAnsi="黑体" w:eastAsia="黑体" w:cs="黑体"/>
        </w:rPr>
      </w:pPr>
      <w:r>
        <w:rPr>
          <w:rFonts w:hint="eastAsia" w:ascii="黑体" w:hAnsi="黑体" w:eastAsia="黑体" w:cs="黑体"/>
        </w:rPr>
        <w:t>第七章  附则</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第二十六条</w:t>
      </w:r>
      <w:r>
        <w:rPr>
          <w:rFonts w:hint="eastAsia" w:ascii="黑体" w:hAnsi="黑体" w:eastAsia="黑体" w:cs="黑体"/>
          <w:lang w:eastAsia="zh-CN"/>
        </w:rPr>
        <w:t>　</w:t>
      </w:r>
      <w:r>
        <w:rPr>
          <w:rFonts w:hint="eastAsia"/>
        </w:rPr>
        <w:t>代管资金、财政专户资金调剂参照本办法执行。</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第二十七条</w:t>
      </w:r>
      <w:r>
        <w:rPr>
          <w:rFonts w:hint="eastAsia" w:ascii="黑体" w:hAnsi="黑体" w:eastAsia="黑体" w:cs="黑体"/>
          <w:lang w:eastAsia="zh-CN"/>
        </w:rPr>
        <w:t>　</w:t>
      </w:r>
      <w:r>
        <w:rPr>
          <w:rFonts w:hint="eastAsia"/>
        </w:rPr>
        <w:t>本办法由县财政局负责解释。</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r>
        <w:rPr>
          <w:rFonts w:hint="eastAsia" w:ascii="黑体" w:hAnsi="黑体" w:eastAsia="黑体" w:cs="黑体"/>
        </w:rPr>
        <w:t>第二十八条</w:t>
      </w:r>
      <w:r>
        <w:rPr>
          <w:rFonts w:hint="eastAsia" w:ascii="黑体" w:hAnsi="黑体" w:eastAsia="黑体" w:cs="黑体"/>
          <w:lang w:eastAsia="zh-CN"/>
        </w:rPr>
        <w:t>　</w:t>
      </w:r>
      <w:r>
        <w:rPr>
          <w:rFonts w:hint="eastAsia"/>
        </w:rPr>
        <w:t>本办法自印发之日起施行，其他涉及县级预算调剂的规定与本办法不一致的，按照本办法执行。</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rPr>
          <w:rFonts w:hint="eastAsia"/>
        </w:rPr>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r>
        <w:rPr>
          <w:rFonts w:hint="eastAsia"/>
        </w:rPr>
        <w:t>附件：《预算调剂事项申请表》</w:t>
      </w: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overflowPunct w:val="0"/>
        <w:topLinePunct/>
        <w:autoSpaceDE/>
        <w:autoSpaceDN/>
        <w:bidi w:val="0"/>
        <w:adjustRightInd/>
        <w:snapToGrid/>
        <w:ind w:right="0" w:rightChars="0" w:firstLine="636" w:firstLineChars="200"/>
        <w:jc w:val="both"/>
        <w:textAlignment w:val="auto"/>
      </w:pPr>
    </w:p>
    <w:p>
      <w:pPr>
        <w:keepNext w:val="0"/>
        <w:keepLines w:val="0"/>
        <w:pageBreakBefore w:val="0"/>
        <w:widowControl w:val="0"/>
        <w:kinsoku/>
        <w:wordWrap/>
        <w:autoSpaceDE/>
        <w:autoSpaceDN/>
        <w:bidi w:val="0"/>
        <w:adjustRightInd/>
        <w:snapToGrid w:val="0"/>
        <w:textAlignment w:val="auto"/>
        <w:rPr>
          <w:rFonts w:ascii="黑体" w:hAnsi="黑体" w:eastAsia="黑体" w:cs="黑体"/>
          <w:kern w:val="2"/>
          <w:sz w:val="32"/>
          <w:szCs w:val="32"/>
        </w:rPr>
      </w:pPr>
      <w:r>
        <w:rPr>
          <w:rFonts w:hint="eastAsia" w:ascii="黑体" w:hAnsi="黑体" w:eastAsia="黑体" w:cs="黑体"/>
          <w:kern w:val="2"/>
          <w:sz w:val="32"/>
          <w:szCs w:val="32"/>
        </w:rPr>
        <w:t>附件</w:t>
      </w:r>
    </w:p>
    <w:p>
      <w:pPr>
        <w:keepNext w:val="0"/>
        <w:keepLines w:val="0"/>
        <w:pageBreakBefore w:val="0"/>
        <w:widowControl w:val="0"/>
        <w:kinsoku/>
        <w:wordWrap/>
        <w:autoSpaceDE/>
        <w:autoSpaceDN/>
        <w:bidi w:val="0"/>
        <w:adjustRightInd/>
        <w:snapToGrid w:val="0"/>
        <w:jc w:val="center"/>
        <w:textAlignment w:val="auto"/>
        <w:rPr>
          <w:rFonts w:ascii="Calibri" w:hAnsi="Calibri" w:eastAsia="宋体" w:cs="Times New Roman"/>
          <w:b/>
          <w:bCs/>
          <w:kern w:val="2"/>
          <w:sz w:val="44"/>
          <w:szCs w:val="44"/>
        </w:rPr>
      </w:pPr>
      <w:r>
        <w:rPr>
          <w:rFonts w:hint="eastAsia" w:ascii="方正小标宋简体" w:hAnsi="方正小标宋简体" w:eastAsia="方正小标宋简体" w:cs="方正小标宋简体"/>
          <w:kern w:val="2"/>
          <w:sz w:val="44"/>
          <w:szCs w:val="44"/>
        </w:rPr>
        <w:t>预算调剂事项申请表</w:t>
      </w:r>
    </w:p>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申请单位（盖章）：</w:t>
      </w:r>
    </w:p>
    <w:tbl>
      <w:tblPr>
        <w:tblStyle w:val="5"/>
        <w:tblpPr w:leftFromText="180" w:rightFromText="180" w:vertAnchor="text" w:horzAnchor="page" w:tblpX="1722" w:tblpY="12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2250"/>
        <w:gridCol w:w="2145"/>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调剂后项目名称</w:t>
            </w:r>
          </w:p>
        </w:tc>
        <w:tc>
          <w:tcPr>
            <w:tcW w:w="2250"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p>
        </w:tc>
        <w:tc>
          <w:tcPr>
            <w:tcW w:w="2145"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被调剂项目名称</w:t>
            </w:r>
          </w:p>
        </w:tc>
        <w:tc>
          <w:tcPr>
            <w:tcW w:w="2078"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（年初预算/部门预算批复项目名称）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调剂后资金类型</w:t>
            </w:r>
          </w:p>
        </w:tc>
        <w:tc>
          <w:tcPr>
            <w:tcW w:w="2250"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p>
        </w:tc>
        <w:tc>
          <w:tcPr>
            <w:tcW w:w="2145"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被调剂资金类型</w:t>
            </w:r>
          </w:p>
        </w:tc>
        <w:tc>
          <w:tcPr>
            <w:tcW w:w="2078"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（详见备注）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调剂后预算科目</w:t>
            </w:r>
          </w:p>
        </w:tc>
        <w:tc>
          <w:tcPr>
            <w:tcW w:w="2250"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p>
        </w:tc>
        <w:tc>
          <w:tcPr>
            <w:tcW w:w="2145"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调剂前预算科目</w:t>
            </w:r>
          </w:p>
        </w:tc>
        <w:tc>
          <w:tcPr>
            <w:tcW w:w="2078"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（年初预算/部门预算批复项目的科目）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调剂后预算级次</w:t>
            </w:r>
          </w:p>
        </w:tc>
        <w:tc>
          <w:tcPr>
            <w:tcW w:w="2250"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p>
        </w:tc>
        <w:tc>
          <w:tcPr>
            <w:tcW w:w="2145"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调剂前预算级次</w:t>
            </w:r>
          </w:p>
        </w:tc>
        <w:tc>
          <w:tcPr>
            <w:tcW w:w="2078"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县级/镇级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调剂后使用单位</w:t>
            </w:r>
          </w:p>
        </w:tc>
        <w:tc>
          <w:tcPr>
            <w:tcW w:w="2250"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p>
        </w:tc>
        <w:tc>
          <w:tcPr>
            <w:tcW w:w="2145"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调剂前使用单位</w:t>
            </w:r>
          </w:p>
        </w:tc>
        <w:tc>
          <w:tcPr>
            <w:tcW w:w="2078"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（年初预算/部门预算批复项目单位）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调剂资金额度</w:t>
            </w:r>
          </w:p>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（万元）</w:t>
            </w:r>
          </w:p>
        </w:tc>
        <w:tc>
          <w:tcPr>
            <w:tcW w:w="2250"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p>
        </w:tc>
        <w:tc>
          <w:tcPr>
            <w:tcW w:w="2145"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调剂资金占比</w:t>
            </w:r>
          </w:p>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w:t>
            </w:r>
          </w:p>
        </w:tc>
        <w:tc>
          <w:tcPr>
            <w:tcW w:w="2078"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（不同类型的资金按不同标准计算）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调剂依据和理由</w:t>
            </w:r>
          </w:p>
        </w:tc>
        <w:tc>
          <w:tcPr>
            <w:tcW w:w="6473" w:type="dxa"/>
            <w:gridSpan w:val="3"/>
          </w:tcPr>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调剂资金测算</w:t>
            </w:r>
          </w:p>
        </w:tc>
        <w:tc>
          <w:tcPr>
            <w:tcW w:w="6473" w:type="dxa"/>
            <w:gridSpan w:val="3"/>
          </w:tcPr>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新增资产配置变动</w:t>
            </w:r>
          </w:p>
        </w:tc>
        <w:tc>
          <w:tcPr>
            <w:tcW w:w="6473" w:type="dxa"/>
            <w:gridSpan w:val="3"/>
          </w:tcPr>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任务清单变动</w:t>
            </w:r>
          </w:p>
        </w:tc>
        <w:tc>
          <w:tcPr>
            <w:tcW w:w="6473" w:type="dxa"/>
            <w:gridSpan w:val="3"/>
          </w:tcPr>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绩效目标变动</w:t>
            </w:r>
          </w:p>
        </w:tc>
        <w:tc>
          <w:tcPr>
            <w:tcW w:w="6473" w:type="dxa"/>
            <w:gridSpan w:val="3"/>
          </w:tcPr>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049" w:type="dxa"/>
            <w:vAlign w:val="center"/>
          </w:tcPr>
          <w:p>
            <w:pPr>
              <w:keepNext w:val="0"/>
              <w:keepLines w:val="0"/>
              <w:pageBreakBefore w:val="0"/>
              <w:widowControl w:val="0"/>
              <w:kinsoku/>
              <w:wordWrap/>
              <w:autoSpaceDE/>
              <w:autoSpaceDN/>
              <w:bidi w:val="0"/>
              <w:adjustRightInd/>
              <w:snapToGrid w:val="0"/>
              <w:jc w:val="center"/>
              <w:textAlignment w:val="auto"/>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调剂资金支出计划</w:t>
            </w:r>
          </w:p>
        </w:tc>
        <w:tc>
          <w:tcPr>
            <w:tcW w:w="6473" w:type="dxa"/>
            <w:gridSpan w:val="3"/>
          </w:tcPr>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1"/>
                <w:szCs w:val="22"/>
              </w:rPr>
            </w:pPr>
          </w:p>
        </w:tc>
      </w:tr>
    </w:tbl>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4"/>
          <w:szCs w:val="24"/>
        </w:rPr>
      </w:pPr>
    </w:p>
    <w:p>
      <w:pPr>
        <w:keepNext w:val="0"/>
        <w:keepLines w:val="0"/>
        <w:pageBreakBefore w:val="0"/>
        <w:widowControl w:val="0"/>
        <w:kinsoku/>
        <w:wordWrap/>
        <w:autoSpaceDE/>
        <w:autoSpaceDN/>
        <w:bidi w:val="0"/>
        <w:adjustRightInd/>
        <w:snapToGrid w:val="0"/>
        <w:textAlignment w:val="auto"/>
        <w:rPr>
          <w:rFonts w:ascii="仿宋_GB2312" w:hAnsi="仿宋_GB2312" w:eastAsia="仿宋_GB2312" w:cs="仿宋_GB2312"/>
          <w:kern w:val="2"/>
          <w:sz w:val="24"/>
          <w:szCs w:val="24"/>
        </w:rPr>
      </w:pPr>
      <w:r>
        <w:rPr>
          <w:rFonts w:hint="eastAsia" w:ascii="仿宋_GB2312" w:hAnsi="仿宋_GB2312" w:eastAsia="仿宋_GB2312" w:cs="仿宋_GB2312"/>
          <w:b/>
          <w:bCs/>
          <w:kern w:val="2"/>
          <w:sz w:val="24"/>
          <w:szCs w:val="24"/>
        </w:rPr>
        <w:t>备注：</w:t>
      </w:r>
      <w:r>
        <w:rPr>
          <w:rFonts w:hint="eastAsia" w:ascii="仿宋_GB2312" w:hAnsi="仿宋_GB2312" w:eastAsia="仿宋_GB2312" w:cs="仿宋_GB2312"/>
          <w:kern w:val="2"/>
          <w:sz w:val="24"/>
          <w:szCs w:val="24"/>
        </w:rPr>
        <w:t>1.如涉及多个事项或多个科目之间调剂的，请自行增行或另行附表。</w:t>
      </w:r>
    </w:p>
    <w:p>
      <w:pPr>
        <w:keepNext w:val="0"/>
        <w:keepLines w:val="0"/>
        <w:pageBreakBefore w:val="0"/>
        <w:widowControl w:val="0"/>
        <w:kinsoku/>
        <w:wordWrap/>
        <w:autoSpaceDE/>
        <w:autoSpaceDN/>
        <w:bidi w:val="0"/>
        <w:adjustRightInd/>
        <w:snapToGrid w:val="0"/>
        <w:ind w:left="720"/>
        <w:textAlignment w:val="auto"/>
      </w:pPr>
      <w:r>
        <w:rPr>
          <w:rFonts w:hint="eastAsia" w:ascii="仿宋_GB2312" w:hAnsi="仿宋_GB2312" w:eastAsia="仿宋_GB2312" w:cs="仿宋_GB2312"/>
          <w:kern w:val="2"/>
          <w:sz w:val="24"/>
          <w:szCs w:val="24"/>
        </w:rPr>
        <w:t>2.调剂资金类型包括：上级专项转移支付资金、部门人员类项目资金、部门运转类项目资金、本级安排的财政专项资金、其他切块管理的资金。</w:t>
      </w:r>
    </w:p>
    <w:sectPr>
      <w:footerReference r:id="rId3" w:type="default"/>
      <w:pgSz w:w="11905" w:h="16838"/>
      <w:pgMar w:top="1871" w:right="1423" w:bottom="1763" w:left="1588" w:header="851" w:footer="1446" w:gutter="0"/>
      <w:pgNumType w:start="1"/>
      <w:cols w:space="0" w:num="1"/>
      <w:rtlGutter w:val="0"/>
      <w:docGrid w:type="linesAndChars" w:linePitch="600" w:charSpace="-4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9"/>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8"/>
    <w:rsid w:val="00006612"/>
    <w:rsid w:val="00057FA8"/>
    <w:rsid w:val="001416FD"/>
    <w:rsid w:val="00177471"/>
    <w:rsid w:val="0025362C"/>
    <w:rsid w:val="002837A8"/>
    <w:rsid w:val="002A47B3"/>
    <w:rsid w:val="002F1143"/>
    <w:rsid w:val="00390422"/>
    <w:rsid w:val="003A4EAC"/>
    <w:rsid w:val="003A7481"/>
    <w:rsid w:val="00421550"/>
    <w:rsid w:val="004A3D4F"/>
    <w:rsid w:val="004B2009"/>
    <w:rsid w:val="00501988"/>
    <w:rsid w:val="00564BC8"/>
    <w:rsid w:val="005E7D13"/>
    <w:rsid w:val="006A3AFE"/>
    <w:rsid w:val="006F1DE6"/>
    <w:rsid w:val="007740FB"/>
    <w:rsid w:val="007827E0"/>
    <w:rsid w:val="007B12F2"/>
    <w:rsid w:val="00833169"/>
    <w:rsid w:val="008561AB"/>
    <w:rsid w:val="0088163B"/>
    <w:rsid w:val="008F2692"/>
    <w:rsid w:val="0092077A"/>
    <w:rsid w:val="009940F2"/>
    <w:rsid w:val="009D6FE4"/>
    <w:rsid w:val="00A0230B"/>
    <w:rsid w:val="00A46A23"/>
    <w:rsid w:val="00A64927"/>
    <w:rsid w:val="00A65BDC"/>
    <w:rsid w:val="00A965CF"/>
    <w:rsid w:val="00AB528A"/>
    <w:rsid w:val="00B6769F"/>
    <w:rsid w:val="00BA1F88"/>
    <w:rsid w:val="00C13548"/>
    <w:rsid w:val="00C521F0"/>
    <w:rsid w:val="00D24970"/>
    <w:rsid w:val="00D52BD3"/>
    <w:rsid w:val="00D61995"/>
    <w:rsid w:val="00E40809"/>
    <w:rsid w:val="00EA3F62"/>
    <w:rsid w:val="00EA42DF"/>
    <w:rsid w:val="00ED18D2"/>
    <w:rsid w:val="00F13FF3"/>
    <w:rsid w:val="00FC461B"/>
    <w:rsid w:val="011D6628"/>
    <w:rsid w:val="01272810"/>
    <w:rsid w:val="025313B7"/>
    <w:rsid w:val="03566688"/>
    <w:rsid w:val="04721B22"/>
    <w:rsid w:val="04E22FF2"/>
    <w:rsid w:val="04F7578C"/>
    <w:rsid w:val="0607771C"/>
    <w:rsid w:val="061F611E"/>
    <w:rsid w:val="06A7629C"/>
    <w:rsid w:val="07B90158"/>
    <w:rsid w:val="07C26255"/>
    <w:rsid w:val="08227B64"/>
    <w:rsid w:val="08595207"/>
    <w:rsid w:val="087C5D9E"/>
    <w:rsid w:val="08E13F41"/>
    <w:rsid w:val="0AB53623"/>
    <w:rsid w:val="0AE94D30"/>
    <w:rsid w:val="0B9C1166"/>
    <w:rsid w:val="0BE733C6"/>
    <w:rsid w:val="0CEF740C"/>
    <w:rsid w:val="0D026D4E"/>
    <w:rsid w:val="0DCF6448"/>
    <w:rsid w:val="0E1C35C6"/>
    <w:rsid w:val="0E864C50"/>
    <w:rsid w:val="0FA07A83"/>
    <w:rsid w:val="1035261A"/>
    <w:rsid w:val="1180700D"/>
    <w:rsid w:val="11BB2C08"/>
    <w:rsid w:val="11BF6F2E"/>
    <w:rsid w:val="11E60061"/>
    <w:rsid w:val="12006963"/>
    <w:rsid w:val="12761EE6"/>
    <w:rsid w:val="129E061C"/>
    <w:rsid w:val="14230C38"/>
    <w:rsid w:val="159E0C96"/>
    <w:rsid w:val="15CA3755"/>
    <w:rsid w:val="15D76602"/>
    <w:rsid w:val="160814C7"/>
    <w:rsid w:val="168A18A5"/>
    <w:rsid w:val="16FF6D8F"/>
    <w:rsid w:val="17855ED1"/>
    <w:rsid w:val="179407A8"/>
    <w:rsid w:val="188F7DC3"/>
    <w:rsid w:val="19BD6E49"/>
    <w:rsid w:val="1A291E50"/>
    <w:rsid w:val="1A8247B4"/>
    <w:rsid w:val="1B687CF0"/>
    <w:rsid w:val="1B8164D8"/>
    <w:rsid w:val="1C294256"/>
    <w:rsid w:val="1C331EF7"/>
    <w:rsid w:val="1C3B2407"/>
    <w:rsid w:val="1CC10AD1"/>
    <w:rsid w:val="1CC133F1"/>
    <w:rsid w:val="1D030A9B"/>
    <w:rsid w:val="1D1B4FFA"/>
    <w:rsid w:val="1D6E625A"/>
    <w:rsid w:val="1E4B49DC"/>
    <w:rsid w:val="1F2A2234"/>
    <w:rsid w:val="1F5A58F8"/>
    <w:rsid w:val="21616DA2"/>
    <w:rsid w:val="219E23A4"/>
    <w:rsid w:val="21FC6FF8"/>
    <w:rsid w:val="22142199"/>
    <w:rsid w:val="237222C8"/>
    <w:rsid w:val="24443031"/>
    <w:rsid w:val="24802CB0"/>
    <w:rsid w:val="24D107C7"/>
    <w:rsid w:val="25783B09"/>
    <w:rsid w:val="25A86F6C"/>
    <w:rsid w:val="2698181B"/>
    <w:rsid w:val="26A663A1"/>
    <w:rsid w:val="26BB2C1F"/>
    <w:rsid w:val="26F30162"/>
    <w:rsid w:val="27B05AE0"/>
    <w:rsid w:val="27E93CE7"/>
    <w:rsid w:val="28185B67"/>
    <w:rsid w:val="28F93EA8"/>
    <w:rsid w:val="292B2FBB"/>
    <w:rsid w:val="29A471E2"/>
    <w:rsid w:val="29F50676"/>
    <w:rsid w:val="2A3627F7"/>
    <w:rsid w:val="2ABA3239"/>
    <w:rsid w:val="2C596FA7"/>
    <w:rsid w:val="2CA223E3"/>
    <w:rsid w:val="2CF30DE2"/>
    <w:rsid w:val="2D00003B"/>
    <w:rsid w:val="2D0B5D8E"/>
    <w:rsid w:val="2D1777EA"/>
    <w:rsid w:val="2D251473"/>
    <w:rsid w:val="2E4A39C8"/>
    <w:rsid w:val="2E6706BD"/>
    <w:rsid w:val="303311AF"/>
    <w:rsid w:val="30566E88"/>
    <w:rsid w:val="305B0E9A"/>
    <w:rsid w:val="30AB1E30"/>
    <w:rsid w:val="312E5389"/>
    <w:rsid w:val="317E7738"/>
    <w:rsid w:val="31B67EF2"/>
    <w:rsid w:val="327E19B5"/>
    <w:rsid w:val="32A02CD8"/>
    <w:rsid w:val="334D4BC1"/>
    <w:rsid w:val="33603089"/>
    <w:rsid w:val="33A36FB3"/>
    <w:rsid w:val="33F4613B"/>
    <w:rsid w:val="340F35FD"/>
    <w:rsid w:val="34AE7187"/>
    <w:rsid w:val="34B27155"/>
    <w:rsid w:val="357F0475"/>
    <w:rsid w:val="35C27531"/>
    <w:rsid w:val="35D557B5"/>
    <w:rsid w:val="36813305"/>
    <w:rsid w:val="37D745B7"/>
    <w:rsid w:val="381527CE"/>
    <w:rsid w:val="390E67F1"/>
    <w:rsid w:val="3A5373BD"/>
    <w:rsid w:val="3AA71098"/>
    <w:rsid w:val="3AAD1181"/>
    <w:rsid w:val="3AFD6D23"/>
    <w:rsid w:val="3B7D7D84"/>
    <w:rsid w:val="3C311392"/>
    <w:rsid w:val="3CE73900"/>
    <w:rsid w:val="3D4D005C"/>
    <w:rsid w:val="3D8510FB"/>
    <w:rsid w:val="3F253021"/>
    <w:rsid w:val="407A597D"/>
    <w:rsid w:val="414A2E06"/>
    <w:rsid w:val="421710DD"/>
    <w:rsid w:val="422E77D5"/>
    <w:rsid w:val="424A4063"/>
    <w:rsid w:val="42891864"/>
    <w:rsid w:val="44057614"/>
    <w:rsid w:val="448A23F1"/>
    <w:rsid w:val="4521593F"/>
    <w:rsid w:val="457D56E9"/>
    <w:rsid w:val="45EF2BDF"/>
    <w:rsid w:val="46442C19"/>
    <w:rsid w:val="46462243"/>
    <w:rsid w:val="46C87E41"/>
    <w:rsid w:val="46D76766"/>
    <w:rsid w:val="46E21201"/>
    <w:rsid w:val="476272EB"/>
    <w:rsid w:val="47906205"/>
    <w:rsid w:val="48072C06"/>
    <w:rsid w:val="49035EE2"/>
    <w:rsid w:val="494A6E09"/>
    <w:rsid w:val="49561BDE"/>
    <w:rsid w:val="49C36E82"/>
    <w:rsid w:val="4A022F2D"/>
    <w:rsid w:val="4BA67D1B"/>
    <w:rsid w:val="4C1972AE"/>
    <w:rsid w:val="4E41756E"/>
    <w:rsid w:val="4E8816DC"/>
    <w:rsid w:val="4F103B2F"/>
    <w:rsid w:val="4FA62C90"/>
    <w:rsid w:val="4FB01D79"/>
    <w:rsid w:val="506E7FA2"/>
    <w:rsid w:val="51804FA6"/>
    <w:rsid w:val="518C323B"/>
    <w:rsid w:val="52303EB1"/>
    <w:rsid w:val="52D424B4"/>
    <w:rsid w:val="53C165CB"/>
    <w:rsid w:val="53C37BA7"/>
    <w:rsid w:val="54497E57"/>
    <w:rsid w:val="546C33AB"/>
    <w:rsid w:val="54872CCC"/>
    <w:rsid w:val="549B1AE4"/>
    <w:rsid w:val="561F571C"/>
    <w:rsid w:val="562D4CE9"/>
    <w:rsid w:val="564E636B"/>
    <w:rsid w:val="567121F2"/>
    <w:rsid w:val="57886E55"/>
    <w:rsid w:val="58810A50"/>
    <w:rsid w:val="591D5782"/>
    <w:rsid w:val="59700E3D"/>
    <w:rsid w:val="5A106B8E"/>
    <w:rsid w:val="5A1310BE"/>
    <w:rsid w:val="5A8226CD"/>
    <w:rsid w:val="5A8B41D4"/>
    <w:rsid w:val="5B233ACD"/>
    <w:rsid w:val="5BE20B42"/>
    <w:rsid w:val="5C591F30"/>
    <w:rsid w:val="5C7F1F03"/>
    <w:rsid w:val="5F580FF8"/>
    <w:rsid w:val="6125738A"/>
    <w:rsid w:val="61283330"/>
    <w:rsid w:val="61E375C8"/>
    <w:rsid w:val="62133CFA"/>
    <w:rsid w:val="62F96C04"/>
    <w:rsid w:val="6329624E"/>
    <w:rsid w:val="637A69BD"/>
    <w:rsid w:val="640678DF"/>
    <w:rsid w:val="64900F9B"/>
    <w:rsid w:val="64A01E63"/>
    <w:rsid w:val="65C12BA8"/>
    <w:rsid w:val="660C1865"/>
    <w:rsid w:val="66373265"/>
    <w:rsid w:val="68B523BD"/>
    <w:rsid w:val="68F845F0"/>
    <w:rsid w:val="69010667"/>
    <w:rsid w:val="69C971F9"/>
    <w:rsid w:val="69F85FBB"/>
    <w:rsid w:val="6C4870D8"/>
    <w:rsid w:val="6C9D6D61"/>
    <w:rsid w:val="6CB61F8B"/>
    <w:rsid w:val="6D0269E7"/>
    <w:rsid w:val="6D255D06"/>
    <w:rsid w:val="6DBB1830"/>
    <w:rsid w:val="6F1766A5"/>
    <w:rsid w:val="6F4347F0"/>
    <w:rsid w:val="7145180D"/>
    <w:rsid w:val="72863CC3"/>
    <w:rsid w:val="73900A5E"/>
    <w:rsid w:val="74DA60DB"/>
    <w:rsid w:val="75C975CF"/>
    <w:rsid w:val="761519CE"/>
    <w:rsid w:val="762F24EB"/>
    <w:rsid w:val="76C24308"/>
    <w:rsid w:val="76F61E10"/>
    <w:rsid w:val="77014D7C"/>
    <w:rsid w:val="774B62FE"/>
    <w:rsid w:val="77DA650A"/>
    <w:rsid w:val="77DD0754"/>
    <w:rsid w:val="77E526FB"/>
    <w:rsid w:val="790C41E8"/>
    <w:rsid w:val="79C75219"/>
    <w:rsid w:val="7B0E3703"/>
    <w:rsid w:val="7B4507D1"/>
    <w:rsid w:val="7BD9305F"/>
    <w:rsid w:val="7C152950"/>
    <w:rsid w:val="7C753237"/>
    <w:rsid w:val="7C824B22"/>
    <w:rsid w:val="7CB25E91"/>
    <w:rsid w:val="7CB3707C"/>
    <w:rsid w:val="7CEC315C"/>
    <w:rsid w:val="7E044E72"/>
    <w:rsid w:val="7F662326"/>
    <w:rsid w:val="7FFE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32"/>
      <w:sz w:val="32"/>
      <w:szCs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02894-C973-4488-8907-D3E35F4B7138}">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Words>
  <Characters>585</Characters>
  <Lines>4</Lines>
  <Paragraphs>1</Paragraphs>
  <TotalTime>0</TotalTime>
  <ScaleCrop>false</ScaleCrop>
  <LinksUpToDate>false</LinksUpToDate>
  <CharactersWithSpaces>686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2021-03-02T06:49:00Z</dcterms:created>
  <dc:creator>lenovo</dc:creator>
  <cp:lastModifiedBy>Eflyer-谢工</cp:lastModifiedBy>
  <cp:lastPrinted>2021-06-16T06:28:00Z</cp:lastPrinted>
  <dcterms:modified xsi:type="dcterms:W3CDTF">2021-07-16T02:48:14Z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709918C5D8044DEBB854498F2806A2D8</vt:lpwstr>
  </property>
</Properties>
</file>