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kern w:val="21"/>
          <w:sz w:val="44"/>
          <w:szCs w:val="44"/>
          <w:highlight w:val="none"/>
          <w:lang w:val="en-US" w:eastAsia="zh-CN" w:bidi="ar-SA"/>
        </w:rPr>
      </w:pPr>
      <w:bookmarkStart w:id="0" w:name="_GoBack"/>
      <w:r>
        <w:rPr>
          <w:rFonts w:hint="eastAsia" w:ascii="方正小标宋简体" w:hAnsi="方正小标宋简体" w:eastAsia="方正小标宋简体" w:cs="方正小标宋简体"/>
          <w:kern w:val="21"/>
          <w:sz w:val="44"/>
          <w:szCs w:val="44"/>
          <w:highlight w:val="none"/>
          <w:lang w:val="en-US" w:eastAsia="zh-CN" w:bidi="ar-SA"/>
        </w:rPr>
        <w:t>连平县行政事业单位国有资产处置管理</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kern w:val="21"/>
          <w:sz w:val="44"/>
          <w:szCs w:val="44"/>
          <w:highlight w:val="none"/>
          <w:lang w:val="en-US" w:eastAsia="zh-CN" w:bidi="ar-SA"/>
        </w:rPr>
      </w:pPr>
      <w:r>
        <w:rPr>
          <w:rFonts w:hint="eastAsia" w:ascii="方正小标宋简体" w:hAnsi="方正小标宋简体" w:eastAsia="方正小标宋简体" w:cs="方正小标宋简体"/>
          <w:kern w:val="21"/>
          <w:sz w:val="44"/>
          <w:szCs w:val="44"/>
          <w:highlight w:val="none"/>
          <w:lang w:val="en-US" w:eastAsia="zh-CN" w:bidi="ar-SA"/>
        </w:rPr>
        <w:t>暂行办法（征求意见稿）</w:t>
      </w:r>
      <w:bookmarkEnd w:id="0"/>
    </w:p>
    <w:p>
      <w:pPr>
        <w:bidi w:val="0"/>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highlight w:val="none"/>
          <w:lang w:val="en-US" w:eastAsia="zh-CN"/>
        </w:rPr>
      </w:pPr>
      <w:r>
        <w:rPr>
          <w:rFonts w:hint="eastAsia" w:ascii="黑体" w:hAnsi="黑体" w:eastAsia="黑体" w:cs="黑体"/>
          <w:highlight w:val="none"/>
          <w:lang w:val="en-US" w:eastAsia="zh-CN"/>
        </w:rPr>
        <w:t>第一章  总  则</w:t>
      </w:r>
    </w:p>
    <w:p>
      <w:pPr>
        <w:bidi w:val="0"/>
        <w:rPr>
          <w:rFonts w:hint="default"/>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为加强我县行政事业单位国有资产处置的管理，维护资产安全和完整，有效地防止国有资产流失，提高资产使用效益，根据《行政单位国有资产管理暂行办法》（财政部令第35号）、《财政部关于修改〈事业单位国有资产管理暂行办法〉的决定》（财政部令第100号）、《地方行政单位国有资产处置管理暂行办法》(财行〔2014〕228号）、《财政部关于进一步规范和加强行政事业单位国有资产管理的指导意见》(财资〔2015〕90号）等规定，结合我县行政事业单位实际情况，制定本办法。</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default"/>
          <w:highlight w:val="none"/>
          <w:lang w:val="en-US" w:eastAsia="zh-CN"/>
        </w:rPr>
      </w:pPr>
      <w:r>
        <w:rPr>
          <w:rFonts w:hint="eastAsia"/>
          <w:highlight w:val="none"/>
          <w:lang w:val="en-US" w:eastAsia="zh-CN"/>
        </w:rPr>
        <w:t xml:space="preserve"> 本办法所称行政事业单位，是指各乡镇人民政府、县直党的机关、人大机关、行政机关、政协机关、各民主党派、县直参照公务员管理的各人民团体及各类占有、使用国有资产的县直行政事业单位。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default"/>
          <w:highlight w:val="none"/>
          <w:lang w:val="en-US" w:eastAsia="zh-CN"/>
        </w:rPr>
      </w:pPr>
      <w:r>
        <w:rPr>
          <w:rFonts w:hint="eastAsia"/>
          <w:highlight w:val="none"/>
          <w:lang w:val="en-US" w:eastAsia="zh-CN"/>
        </w:rPr>
        <w:t xml:space="preserve"> 本办法所称资产处置，是指行政事业单位对其占有、使用的国有资产进行产权转移及产权注销的行为，处置方式包括无偿调出、出售（出让、转让）、置换、报废、报损等。</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default"/>
          <w:highlight w:val="none"/>
          <w:lang w:val="en-US" w:eastAsia="zh-CN"/>
        </w:rPr>
      </w:pPr>
      <w:r>
        <w:rPr>
          <w:rFonts w:hint="eastAsia"/>
          <w:highlight w:val="none"/>
          <w:lang w:val="en-US" w:eastAsia="zh-CN"/>
        </w:rPr>
        <w:t xml:space="preserve"> 县财政局是县政府负责资产处置工作的职能部门，承担制度建设、处置审批及监督检查等管理工作。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32" w:firstLineChars="200"/>
        <w:textAlignment w:val="auto"/>
        <w:rPr>
          <w:rFonts w:hint="eastAsia"/>
          <w:highlight w:val="none"/>
          <w:lang w:val="en-US" w:eastAsia="zh-CN"/>
        </w:rPr>
      </w:pPr>
      <w:r>
        <w:rPr>
          <w:rFonts w:hint="eastAsia"/>
          <w:highlight w:val="none"/>
          <w:lang w:val="en-US" w:eastAsia="zh-CN"/>
        </w:rPr>
        <w:t>财政部门可以根据工作需要，将资产处置工作交由有关单位完成。有关单位应当完成所交给的国有资产管理工作，向财政部门负责，并报告工作的完成情况。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32" w:firstLineChars="200"/>
        <w:textAlignment w:val="auto"/>
        <w:rPr>
          <w:rFonts w:hint="eastAsia"/>
          <w:highlight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32"/>
          <w:szCs w:val="32"/>
          <w:highlight w:val="none"/>
          <w:lang w:val="en-US" w:eastAsia="zh-CN"/>
        </w:rPr>
      </w:pPr>
      <w:r>
        <w:rPr>
          <w:rFonts w:hint="eastAsia" w:ascii="方正小标宋简体" w:hAnsi="方正小标宋简体" w:eastAsia="方正小标宋简体" w:cs="方正小标宋简体"/>
          <w:sz w:val="32"/>
          <w:szCs w:val="32"/>
          <w:highlight w:val="none"/>
          <w:lang w:val="en-US" w:eastAsia="zh-CN"/>
        </w:rPr>
        <w:t xml:space="preserve"> </w:t>
      </w:r>
      <w:r>
        <w:rPr>
          <w:rFonts w:hint="eastAsia" w:ascii="黑体" w:hAnsi="黑体" w:eastAsia="黑体" w:cs="黑体"/>
          <w:sz w:val="32"/>
          <w:szCs w:val="32"/>
          <w:highlight w:val="none"/>
          <w:lang w:val="en-US" w:eastAsia="zh-CN"/>
        </w:rPr>
        <w:t>管理规定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32"/>
          <w:szCs w:val="32"/>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default"/>
          <w:highlight w:val="none"/>
          <w:lang w:val="en-US" w:eastAsia="zh-CN"/>
        </w:rPr>
      </w:pPr>
      <w:r>
        <w:rPr>
          <w:rFonts w:hint="eastAsia"/>
          <w:highlight w:val="none"/>
          <w:lang w:val="en-US" w:eastAsia="zh-CN"/>
        </w:rPr>
        <w:t xml:space="preserve"> 资产处置应当符合法律、法规和规章规定，按照公开、公平、公正、厉行勤俭节约的原则进行，并与资产配置、使用相结合。</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行政事业单位需处置的资产范围包括：</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闲置资产，处置资产应不影响单位正常办公；</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超标准配置的资产；</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已超过使用年限无需继续使用的资产，使用年限按照《行政事业单位常用固定资产使用年限表》（附件1）确定，国家另有规定的，按其规定；</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没有规定更新年限或未达到更新年限，因技术原因并经过科学论证，确需报废、淘汰的资产；</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因单位分立、撤销、合并、改制、隶属关系改变等原因发生的产权或者使用权转移的资产；</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非正常损失的资产；</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32" w:firstLineChars="200"/>
        <w:textAlignment w:val="auto"/>
        <w:rPr>
          <w:rFonts w:hint="default"/>
          <w:highlight w:val="none"/>
          <w:lang w:val="en-US" w:eastAsia="zh-CN"/>
        </w:rPr>
      </w:pPr>
      <w:r>
        <w:rPr>
          <w:rFonts w:hint="eastAsia"/>
          <w:highlight w:val="none"/>
          <w:lang w:val="en-US" w:eastAsia="zh-CN"/>
        </w:rPr>
        <w:t>依照国家有关规定需要进行资产处置的其他情形。</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拟处置资产应当产权清晰，权属关系不明或存在权属纠纷的资产，须待权属界定明确后方可处置。</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资产处置应当严格履行审批手续。未履行审批手续的，不得处置。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32" w:firstLineChars="200"/>
        <w:textAlignment w:val="auto"/>
        <w:rPr>
          <w:rFonts w:hint="eastAsia"/>
          <w:highlight w:val="none"/>
          <w:lang w:val="en-US" w:eastAsia="zh-CN"/>
        </w:rPr>
      </w:pPr>
      <w:r>
        <w:rPr>
          <w:rFonts w:hint="eastAsia"/>
          <w:highlight w:val="none"/>
          <w:lang w:val="en-US" w:eastAsia="zh-CN"/>
        </w:rPr>
        <w:t>资产处置事项的批复及处置交易凭证等文件，是编制资产配置预算的重要依据，也是单位进行相关资产和会计账务处理、相关部门办理资产产权变更和登记手续的依据。</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资产处置实行分类限额审批：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32" w:firstLineChars="200"/>
        <w:textAlignment w:val="auto"/>
        <w:rPr>
          <w:rFonts w:hint="eastAsia"/>
          <w:highlight w:val="none"/>
          <w:lang w:val="en-US" w:eastAsia="zh-CN"/>
        </w:rPr>
      </w:pPr>
      <w:r>
        <w:rPr>
          <w:rFonts w:hint="eastAsia"/>
          <w:highlight w:val="none"/>
          <w:lang w:val="en-US" w:eastAsia="zh-CN"/>
        </w:rPr>
        <w:t>资产处置应当由行政事业单位资产管理部门会同财务部门、技术部门审核鉴定，提出意见，按审批权限报送审批。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32" w:firstLineChars="200"/>
        <w:textAlignment w:val="auto"/>
        <w:rPr>
          <w:rFonts w:hint="eastAsia"/>
          <w:highlight w:val="none"/>
          <w:lang w:val="en-US" w:eastAsia="zh-CN"/>
        </w:rPr>
      </w:pPr>
      <w:r>
        <w:rPr>
          <w:rFonts w:hint="eastAsia"/>
          <w:b/>
          <w:bCs/>
          <w:highlight w:val="none"/>
          <w:lang w:val="en-US" w:eastAsia="zh-CN"/>
        </w:rPr>
        <w:t>（一）房屋、建筑物、土地类资产处置。</w:t>
      </w:r>
      <w:r>
        <w:rPr>
          <w:rFonts w:hint="eastAsia"/>
          <w:highlight w:val="none"/>
          <w:lang w:val="en-US" w:eastAsia="zh-CN"/>
        </w:rPr>
        <w:t>由主管部门、县财政局审核后报县人民政府审批。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32" w:firstLineChars="200"/>
        <w:textAlignment w:val="auto"/>
        <w:rPr>
          <w:rFonts w:hint="eastAsia"/>
          <w:highlight w:val="none"/>
          <w:lang w:val="en-US" w:eastAsia="zh-CN"/>
        </w:rPr>
      </w:pPr>
      <w:r>
        <w:rPr>
          <w:rFonts w:hint="eastAsia"/>
          <w:b/>
          <w:bCs/>
          <w:highlight w:val="none"/>
          <w:lang w:val="en-US" w:eastAsia="zh-CN"/>
        </w:rPr>
        <w:t>（二）交通工具处置。</w:t>
      </w:r>
      <w:r>
        <w:rPr>
          <w:rFonts w:hint="eastAsia"/>
          <w:highlight w:val="none"/>
          <w:lang w:val="en-US" w:eastAsia="zh-CN"/>
        </w:rPr>
        <w:t>由主管部门审核后，报县财政局审批。批量价值（原价）100万元（含100万元）以上的，由县财政局审核后报县人民政府审批。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32" w:firstLineChars="200"/>
        <w:textAlignment w:val="auto"/>
        <w:rPr>
          <w:rFonts w:hint="eastAsia"/>
          <w:highlight w:val="none"/>
          <w:lang w:val="en-US" w:eastAsia="zh-CN"/>
        </w:rPr>
      </w:pPr>
      <w:r>
        <w:rPr>
          <w:rFonts w:hint="eastAsia"/>
          <w:b/>
          <w:bCs/>
          <w:highlight w:val="none"/>
          <w:lang w:val="en-US" w:eastAsia="zh-CN"/>
        </w:rPr>
        <w:t>（三）其他资产处置实行限额审批。</w:t>
      </w:r>
      <w:r>
        <w:rPr>
          <w:rFonts w:hint="eastAsia"/>
          <w:highlight w:val="none"/>
          <w:lang w:val="en-US" w:eastAsia="zh-CN"/>
        </w:rPr>
        <w:t>审批限额根据无偿调出、出售（出让、转让）、置换、报废、报损等处置方式确定，具体按相应章节和条款的规定执行。</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行政事业单位按审批权限应当报县财政局审批的资产处置，按以下程序执行：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32" w:firstLineChars="200"/>
        <w:textAlignment w:val="auto"/>
        <w:rPr>
          <w:rFonts w:hint="eastAsia"/>
          <w:highlight w:val="none"/>
          <w:lang w:val="en-US" w:eastAsia="zh-CN"/>
        </w:rPr>
      </w:pPr>
      <w:r>
        <w:rPr>
          <w:rFonts w:hint="eastAsia"/>
          <w:b/>
          <w:bCs/>
          <w:highlight w:val="none"/>
          <w:lang w:val="en-US" w:eastAsia="zh-CN"/>
        </w:rPr>
        <w:t>（一）单位申报。</w:t>
      </w:r>
      <w:r>
        <w:rPr>
          <w:rFonts w:hint="eastAsia"/>
          <w:highlight w:val="none"/>
          <w:lang w:val="en-US" w:eastAsia="zh-CN"/>
        </w:rPr>
        <w:t>行政事业单位处置资产，须提交资产处置申请函件（格式详见附件2，其中，申请处置公务用车函件格式见附件3，下同），并附有关文件、证件及资料（资产无偿调出的，由调出方提交），以正式文件向主管部门申报，没有主管部门的，直接向县财政局申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32" w:firstLineChars="200"/>
        <w:textAlignment w:val="auto"/>
        <w:rPr>
          <w:rFonts w:hint="eastAsia"/>
          <w:highlight w:val="none"/>
          <w:lang w:val="en-US" w:eastAsia="zh-CN"/>
        </w:rPr>
      </w:pPr>
      <w:r>
        <w:rPr>
          <w:rFonts w:hint="eastAsia"/>
          <w:highlight w:val="none"/>
          <w:lang w:val="en-US" w:eastAsia="zh-CN"/>
        </w:rPr>
        <w:t>申报处置资产的账目与实物资产应当相符。账目与实物资产不相符的，主管部门或县财政局不予办理，特殊情况须进行书面说明。</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32" w:firstLineChars="200"/>
        <w:textAlignment w:val="auto"/>
        <w:rPr>
          <w:rFonts w:hint="eastAsia"/>
          <w:highlight w:val="none"/>
          <w:lang w:val="en-US" w:eastAsia="zh-CN"/>
        </w:rPr>
      </w:pPr>
      <w:r>
        <w:rPr>
          <w:rFonts w:hint="eastAsia"/>
          <w:b/>
          <w:bCs/>
          <w:highlight w:val="none"/>
          <w:lang w:val="en-US" w:eastAsia="zh-CN"/>
        </w:rPr>
        <w:t>（二）主管部门审核。</w:t>
      </w:r>
      <w:r>
        <w:rPr>
          <w:rFonts w:hint="eastAsia"/>
          <w:highlight w:val="none"/>
          <w:lang w:val="en-US" w:eastAsia="zh-CN"/>
        </w:rPr>
        <w:t>主管部门对行政事业单位的申报处置材料进行合规性、真实性等审核后，报县财政局审批。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32" w:firstLineChars="200"/>
        <w:textAlignment w:val="auto"/>
        <w:rPr>
          <w:rFonts w:hint="eastAsia"/>
          <w:highlight w:val="none"/>
          <w:lang w:val="en-US" w:eastAsia="zh-CN"/>
        </w:rPr>
      </w:pPr>
      <w:r>
        <w:rPr>
          <w:rFonts w:hint="eastAsia"/>
          <w:b/>
          <w:bCs/>
          <w:highlight w:val="none"/>
          <w:lang w:val="en-US" w:eastAsia="zh-CN"/>
        </w:rPr>
        <w:t>（三）审批。</w:t>
      </w:r>
      <w:r>
        <w:rPr>
          <w:rFonts w:hint="eastAsia"/>
          <w:highlight w:val="none"/>
          <w:lang w:val="en-US" w:eastAsia="zh-CN"/>
        </w:rPr>
        <w:t>县财政局根据国家和省、市的有关规定予以审批，其中资产批量价值（原价）100万元以上（含100万元）的，由县财政局审核后报县人民政府审批。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32" w:firstLineChars="200"/>
        <w:textAlignment w:val="auto"/>
        <w:rPr>
          <w:rFonts w:hint="eastAsia"/>
          <w:highlight w:val="none"/>
          <w:lang w:val="en-US" w:eastAsia="zh-CN"/>
        </w:rPr>
      </w:pPr>
      <w:r>
        <w:rPr>
          <w:rFonts w:hint="eastAsia"/>
          <w:b/>
          <w:bCs/>
          <w:highlight w:val="none"/>
          <w:lang w:val="en-US" w:eastAsia="zh-CN"/>
        </w:rPr>
        <w:t>（四）评估备案与核准。</w:t>
      </w:r>
      <w:r>
        <w:rPr>
          <w:rFonts w:hint="eastAsia"/>
          <w:highlight w:val="none"/>
          <w:lang w:val="en-US" w:eastAsia="zh-CN"/>
        </w:rPr>
        <w:t>按《行政单位国有资产管理暂行办法》（财政部令第35号）和《事业单位国有资产管理暂行办法》（财政部令第36号）规定需进行评估的资产处置事项，行政事业单位应当委托具备相关资质且纳入当年政府采购库的资产评估机构进行资产评估，评估报告须报县财政局备案，其中资产批量价值（原价）100万元以上（含100万元）的，评估报告须报县财政局核准。经核准后，行政事业单位以最终评估价作为资产转让的底价。</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32" w:firstLineChars="200"/>
        <w:textAlignment w:val="auto"/>
        <w:rPr>
          <w:rFonts w:hint="eastAsia"/>
          <w:highlight w:val="none"/>
          <w:lang w:val="en-US" w:eastAsia="zh-CN"/>
        </w:rPr>
      </w:pPr>
      <w:r>
        <w:rPr>
          <w:rFonts w:hint="eastAsia"/>
          <w:b/>
          <w:bCs/>
          <w:highlight w:val="none"/>
          <w:lang w:val="en-US" w:eastAsia="zh-CN"/>
        </w:rPr>
        <w:t>（五）处置。</w:t>
      </w:r>
      <w:r>
        <w:rPr>
          <w:rFonts w:hint="eastAsia"/>
          <w:highlight w:val="none"/>
          <w:lang w:val="en-US" w:eastAsia="zh-CN"/>
        </w:rPr>
        <w:t>属于资产无偿调出的，调入、调出单位应当办理交接手续（移交表的格式详见附件6）；属于资产出售（出让、转让）、置换的，单位应当到法定的交易机构或管理机构办理相关手续，资产出售或变价转让价低于评估价的，须报县财政局审批；属于资产报废的，申报单位应当到法定机构或具备报废资产回收资质的机构办理报废手续。</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32" w:firstLineChars="200"/>
        <w:textAlignment w:val="auto"/>
        <w:rPr>
          <w:rFonts w:hint="eastAsia"/>
          <w:highlight w:val="none"/>
          <w:lang w:val="en-US" w:eastAsia="zh-CN"/>
        </w:rPr>
      </w:pPr>
      <w:r>
        <w:rPr>
          <w:rFonts w:hint="eastAsia"/>
          <w:b/>
          <w:bCs/>
          <w:highlight w:val="none"/>
          <w:lang w:val="en-US" w:eastAsia="zh-CN"/>
        </w:rPr>
        <w:t>（六）账目处理、资产信息调整等。</w:t>
      </w:r>
      <w:r>
        <w:rPr>
          <w:rFonts w:hint="eastAsia"/>
          <w:highlight w:val="none"/>
          <w:lang w:val="en-US" w:eastAsia="zh-CN"/>
        </w:rPr>
        <w:t>资产处置后，行政事业单位根据主管部门或县财政局的批复文件进行账目处理，并及时更新行政事业资产管理信息系统中相应资产卡片信息，做到“账实相符”、“账账相符”。属于资产无偿调出的，调出、调入单位均应进行账目处理和信息更新工作。属于定编管理范围公务用车处置的，单位应当按照小汽车定编管理规定办理车辆编制注销或过户等相关手续。</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32" w:firstLineChars="200"/>
        <w:textAlignment w:val="auto"/>
        <w:rPr>
          <w:rFonts w:hint="eastAsia"/>
          <w:highlight w:val="none"/>
          <w:lang w:val="en-US" w:eastAsia="zh-CN"/>
        </w:rPr>
      </w:pPr>
      <w:r>
        <w:rPr>
          <w:rFonts w:hint="eastAsia"/>
          <w:b/>
          <w:bCs/>
          <w:highlight w:val="none"/>
          <w:lang w:val="en-US" w:eastAsia="zh-CN"/>
        </w:rPr>
        <w:t>（七）备案。</w:t>
      </w:r>
      <w:r>
        <w:rPr>
          <w:rFonts w:hint="eastAsia"/>
          <w:highlight w:val="none"/>
          <w:lang w:val="en-US" w:eastAsia="zh-CN"/>
        </w:rPr>
        <w:t>主管部门应定期将处置结果报县财政局备案。属于资产无偿调出的，调出方应将手续齐全的移交表交县财政局备案；属于资产出售（出让、转让）、置换、报废、报损的，应将处置结果有关材料报县财政局备案。</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32" w:firstLineChars="200"/>
        <w:textAlignment w:val="auto"/>
        <w:rPr>
          <w:rFonts w:hint="eastAsia"/>
          <w:highlight w:val="none"/>
          <w:lang w:val="en-US" w:eastAsia="zh-CN"/>
        </w:rPr>
      </w:pPr>
      <w:r>
        <w:rPr>
          <w:rFonts w:hint="eastAsia"/>
          <w:highlight w:val="none"/>
          <w:lang w:val="en-US" w:eastAsia="zh-CN"/>
        </w:rPr>
        <w:t>按权限无需报县财政局审批的资产处置事项，属于下属行政事业单位的资产，由下属单位按照“单位申报－主管部门审批－评估备案与核准－处置－账务调整及备案”程序，报主管部门审批，并完善有关处置手续后，报财政部门备案；属于主管部门（机关）的资产，由主管部门本身参照上述程序审批并完成处置后，报财政部门备案。</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行政事业单位应当建立资产内部管理制度，明确岗位职责，完善处置流程，规范处置行为。</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行政事业单位通过无偿调出和置换取得的资产，应当符合资产配置标准，与单位的工作职责和人员编制情况相符。</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32" w:firstLineChars="200"/>
        <w:textAlignment w:val="auto"/>
        <w:rPr>
          <w:rFonts w:hint="eastAsia"/>
          <w:highlight w:val="none"/>
          <w:lang w:val="en-US" w:eastAsia="zh-CN"/>
        </w:rPr>
      </w:pPr>
      <w:r>
        <w:rPr>
          <w:rFonts w:hint="eastAsia"/>
          <w:highlight w:val="none"/>
          <w:lang w:val="en-US" w:eastAsia="zh-CN"/>
        </w:rPr>
        <w:t>通过无偿调出和置换取得办公用房的，应当执行新建办公用房各项标准，不得以未使用政府预算建设资金、资产整合等名义规避审批。</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对涉及国家安全和秘密的资产处置，应当按规定做好保密工作，防止失密和泄密。</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行政事业单位应当按照档案管理的有关规定，加强资产处置档案管理。资产处置过程和结果的资料应当完整、真实。</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Chars="200"/>
        <w:textAlignment w:val="auto"/>
        <w:rPr>
          <w:rFonts w:hint="eastAsia"/>
          <w:highlight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32"/>
          <w:szCs w:val="32"/>
          <w:highlight w:val="none"/>
          <w:lang w:val="en-US" w:eastAsia="zh-CN"/>
        </w:rPr>
      </w:pPr>
      <w:r>
        <w:rPr>
          <w:rFonts w:hint="eastAsia" w:ascii="黑体" w:hAnsi="黑体" w:eastAsia="黑体" w:cs="黑体"/>
          <w:sz w:val="32"/>
          <w:szCs w:val="32"/>
          <w:highlight w:val="none"/>
          <w:lang w:val="en-US" w:eastAsia="zh-CN"/>
        </w:rPr>
        <w:t xml:space="preserve"> 无偿调出</w:t>
      </w:r>
    </w:p>
    <w:p>
      <w:pPr>
        <w:bidi w:val="0"/>
        <w:rPr>
          <w:rFonts w:hint="default"/>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无偿调出，是指国有资产在不变更所有权的前提下，以无偿转移的方式变更资产占有、使用权的行为，包括：</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（一）行政事业单位资产在本部门内上下级之间调拨；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（二）行政事业单位资产在本部门内同级之间调拨；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（三）行政事业单位资产在部门（单位）之间调拨；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（四）行政事业单位因隶属关系改变而发生的资产上划或下划；</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（五）行政事业单位因撤销、合并、分立、改制而发生的资产移交；</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（六）经国家和省、市特殊批准的调拨。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县直行政事业单位原则上不得向下级政府有关单位配发或调拨资产，确因工作需要配发或调拨的，应当同时符合以下条件：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（一）资产购置经费渠道合法合规，无下级财政配套资金的要求；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（二）下级单位接收资产符合配备标准和相关编制要求；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（三）经县级财政部门审批同意。</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向下级政府有关单位配发或调拨资产，应同时书面告知接受单位同级财政部门。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无偿调出实行限额审批。行政事业单位在本部门内调拨资产，且批量价值（原价）20万元以下（不含20万元）的，由行政事业单位主管部门审批，报县财政局备案；资产批量价值（原价）20万元以上（含20万元）至100万元以下（不含100万元）的，由行政事业单位主管部门审核后报县财政局审批，其中资产批量价值（原价）100万元以上（含100万元）的，由县财政局审核后报县人民政府审批。</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行政事业单位申请无偿调出资产，应提交以下材料：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（一）无偿调出申请函件（含资产处置清单）、权属证明和价值凭证；</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（二）接收单位同类资产存量情况；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（三）因单位划转撤并而移交资产的，需提供划转撤并批文以及由具备相应资质的中介机构出具的资产清查等相关报告；</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（四）经国家和省、市人民政府特殊批准调拨资产的，应提供有关批准文件；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（五）其他需提交的资料。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 xml:space="preserve"> 出售（出让、转让）和置换</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出售（出让、转让）是指以有偿转让的方式变更资产所有权（产权、股权）或占有、使用权，并收取相应收益的处置行为。</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置换是指以非货币性资产为主进行的交换，这种交换不涉及或只涉及少量的货币性资产（即补差价），包括：</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（一）行政事业单位资产在不同部门（单位）之间置换；</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（二）行政事业单位资产在不同政府级次之间置换；</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（三）行政事业单位资产在与非行政事业单位及个人之间置换。</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资产出售（出让、转让）或置换，应当由产权单位聘请具备相应资质的中介机构进行评估。</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资产的出售（出让、转让）和置换原则上应当以评估拍卖、公开招标等市场竞价方式处置，出售（出让、转让）、置换单位应到法定的交易机构（管理机构）办理相关手续；法律规定不适合拍卖、公开招标或经公开征集只有一个意向受让方的，经县人民政府批准可采取协议转让或国家法律、行政法规规定的其他方式进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采取拍卖和公开招标方式有偿转让资产的，应当将资产处置公告刊登在公开媒介，披露有关信息。</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当交易价格低于资产评估价时，应当暂停交易，在获得县财政局同意后方可继续进行。县财政局可最多两次批准下调拍卖底价，每次下调幅度不超过10%。如下调后仍无法拍出的，由产权单位委托第二家有资质的社会中介机构对拍卖标的物重新评估，以评估价格作为公开拍卖的标底价。</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涉及房屋征收的资产置换，应当确保单位工作正常开展，征收补偿应当达到国家或政府规定的补偿标准。</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出售（出让、转让）和置换资产按下列权限审批：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b/>
          <w:bCs/>
          <w:highlight w:val="none"/>
          <w:lang w:val="en-US" w:eastAsia="zh-CN"/>
        </w:rPr>
        <w:t>（一）出售（出让、转让）。</w:t>
      </w:r>
      <w:r>
        <w:rPr>
          <w:rFonts w:hint="eastAsia"/>
          <w:highlight w:val="none"/>
          <w:lang w:val="en-US" w:eastAsia="zh-CN"/>
        </w:rPr>
        <w:t>资产批量价值（原价）20万元以下（不含20万元）的，由行政事业单位主管部门审批，报县财政局备案，没有主管部门的单位直接报县财政局审批；资产批量价值（原价）20万元以上（含20万元）至100万元以下（不含100万元）的，由行政事业单位主管部门审核后报县财政局审批；其中资产批量价值（原价）100万元以上（含100万元）的，由县财政局审核后报县人民政府审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b/>
          <w:bCs/>
          <w:highlight w:val="none"/>
          <w:lang w:val="en-US" w:eastAsia="zh-CN"/>
        </w:rPr>
        <w:t>（二）置换。</w:t>
      </w:r>
      <w:r>
        <w:rPr>
          <w:rFonts w:hint="eastAsia"/>
          <w:highlight w:val="none"/>
          <w:lang w:val="en-US" w:eastAsia="zh-CN"/>
        </w:rPr>
        <w:t>行政事业单位在本部门内置换资产，且资产批量价值（原价）20万元以下（不含20万元）的，由行政事业单位主管部门审批，报县财政局备案；资产批量价值（原价）20万元以上（含20万元）至100万元以下（不含100万元）的，由行政事业单位主管部门审核后报县财政局审批，没有主管部门的单位直接报县财政局审批；其中资产批量价值（原价）100万元以上（含100万元）的，由县财政局审核后报县人民政府审批。</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行政事业单位申请出售（出让、转让）或置换资产，应提交以下材料：</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rPr>
        <w:t>（一）资产出售（出让、转让）或置换申请函件（含资产处置清单）、权属证明及价值凭证复印件、中介机构出具的资产评估报告及单位同类资产情况；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rPr>
        <w:t>（二）资产出售（出让、转让）的，应提供出售（出让、转让）方案，包括资产的基本情况，处置的原因、方式等；拟采用协议转让方式处置的，应提供转让意向书；</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rPr>
        <w:t>（三）资产置换的，应提供置换双方草拟的置换协议，双方单位拟用于置换资产的基本情况说明、是否已被设置为担保物等，双方单位的法人证书或营业执照的复印件（加盖单位公章），经国家、省、市人民政府批准置换资产的，须提供批准文件；</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rPr>
        <w:t>（四）其他需提交的资料。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 xml:space="preserve"> 报废（淘汰）和报损</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报废（淘汰）是指对达到使用年限，经技术鉴定或按有关规定，已不能继续使用的资产进行产权注销的处置行为。</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lang w:val="en-US" w:eastAsia="zh-CN"/>
        </w:rPr>
      </w:pPr>
      <w:r>
        <w:rPr>
          <w:rFonts w:hint="eastAsia"/>
          <w:highlight w:val="none"/>
        </w:rPr>
        <w:t>国家或行业对资产报废有技术要求的，应当由具备相应资质的专业机构进行技术鉴定。</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报废资产应当符合国家有关报废标准或达到规定的使用年限。达到使用年限或国家和地方更新标准，但仍可以继续使用的资产，不得报废。使用年限可按照《行政事业单位常用固定资产使用年限表》（附件1）确定，国家和省另有规定的，按其规定。</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车辆、电器电子产品、危险品报废处理按国家有关规定执行。</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报废（淘汰）资产按下列权限审批：</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rPr>
        <w:t>（一）资产达到或超过规定使用年限需要进行报废（淘汰）的，由行政事业单位主管部门审批，报</w:t>
      </w:r>
      <w:r>
        <w:rPr>
          <w:rFonts w:hint="eastAsia"/>
          <w:highlight w:val="none"/>
          <w:lang w:eastAsia="zh-CN"/>
        </w:rPr>
        <w:t>县</w:t>
      </w:r>
      <w:r>
        <w:rPr>
          <w:rFonts w:hint="eastAsia"/>
          <w:highlight w:val="none"/>
        </w:rPr>
        <w:t>财政局备案。</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rPr>
        <w:t>（二）资产没有规定可更新年限或</w:t>
      </w:r>
      <w:r>
        <w:rPr>
          <w:rFonts w:hint="eastAsia"/>
          <w:highlight w:val="none"/>
          <w:lang w:eastAsia="zh-CN"/>
        </w:rPr>
        <w:t>未</w:t>
      </w:r>
      <w:r>
        <w:rPr>
          <w:rFonts w:hint="eastAsia"/>
          <w:highlight w:val="none"/>
        </w:rPr>
        <w:t>达到规定使用年限需要进行报废，且批量价值（原价）</w:t>
      </w:r>
      <w:r>
        <w:rPr>
          <w:rFonts w:hint="eastAsia"/>
          <w:highlight w:val="none"/>
          <w:lang w:val="en-US" w:eastAsia="zh-CN"/>
        </w:rPr>
        <w:t>2</w:t>
      </w:r>
      <w:r>
        <w:rPr>
          <w:rFonts w:hint="eastAsia"/>
          <w:highlight w:val="none"/>
        </w:rPr>
        <w:t>0万元以下</w:t>
      </w:r>
      <w:r>
        <w:rPr>
          <w:rFonts w:hint="eastAsia"/>
          <w:highlight w:val="none"/>
          <w:lang w:eastAsia="zh-CN"/>
        </w:rPr>
        <w:t>（不含</w:t>
      </w:r>
      <w:r>
        <w:rPr>
          <w:rFonts w:hint="eastAsia"/>
          <w:highlight w:val="none"/>
          <w:lang w:val="en-US" w:eastAsia="zh-CN"/>
        </w:rPr>
        <w:t>20万元</w:t>
      </w:r>
      <w:r>
        <w:rPr>
          <w:rFonts w:hint="eastAsia"/>
          <w:highlight w:val="none"/>
          <w:lang w:eastAsia="zh-CN"/>
        </w:rPr>
        <w:t>）</w:t>
      </w:r>
      <w:r>
        <w:rPr>
          <w:rFonts w:hint="eastAsia"/>
          <w:highlight w:val="none"/>
        </w:rPr>
        <w:t>的，由行政事业单位主管部门审批，报</w:t>
      </w:r>
      <w:r>
        <w:rPr>
          <w:rFonts w:hint="eastAsia"/>
          <w:highlight w:val="none"/>
          <w:lang w:eastAsia="zh-CN"/>
        </w:rPr>
        <w:t>县</w:t>
      </w:r>
      <w:r>
        <w:rPr>
          <w:rFonts w:hint="eastAsia"/>
          <w:highlight w:val="none"/>
        </w:rPr>
        <w:t>财政局备案；</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lang w:val="en-US" w:eastAsia="zh-CN"/>
        </w:rPr>
      </w:pPr>
      <w:r>
        <w:rPr>
          <w:rFonts w:hint="eastAsia"/>
          <w:highlight w:val="none"/>
        </w:rPr>
        <w:t>（三）资产没有规定可更新年限或未达到规定使用年限需要进行报废，且</w:t>
      </w:r>
      <w:r>
        <w:rPr>
          <w:rFonts w:hint="eastAsia"/>
          <w:highlight w:val="none"/>
          <w:lang w:eastAsia="zh-CN"/>
        </w:rPr>
        <w:t>资产</w:t>
      </w:r>
      <w:r>
        <w:rPr>
          <w:rFonts w:hint="eastAsia"/>
          <w:highlight w:val="none"/>
        </w:rPr>
        <w:t>批量价值</w:t>
      </w:r>
      <w:r>
        <w:rPr>
          <w:rFonts w:hint="eastAsia"/>
          <w:highlight w:val="none"/>
          <w:lang w:eastAsia="zh-CN"/>
        </w:rPr>
        <w:t>（原价）</w:t>
      </w:r>
      <w:r>
        <w:rPr>
          <w:rFonts w:hint="eastAsia"/>
          <w:highlight w:val="none"/>
          <w:lang w:val="en-US" w:eastAsia="zh-CN"/>
        </w:rPr>
        <w:t>20万元以上（含20万元）至100万元以下（不含100万元）的</w:t>
      </w:r>
      <w:r>
        <w:rPr>
          <w:rFonts w:hint="eastAsia"/>
          <w:highlight w:val="none"/>
        </w:rPr>
        <w:t>，由行政事业单位主管部门审核后报</w:t>
      </w:r>
      <w:r>
        <w:rPr>
          <w:rFonts w:hint="eastAsia"/>
          <w:highlight w:val="none"/>
          <w:lang w:eastAsia="zh-CN"/>
        </w:rPr>
        <w:t>县</w:t>
      </w:r>
      <w:r>
        <w:rPr>
          <w:rFonts w:hint="eastAsia"/>
          <w:highlight w:val="none"/>
        </w:rPr>
        <w:t>财政局审批，其中资产批量价值（原价）100万元以上（含100万元）的，由</w:t>
      </w:r>
      <w:r>
        <w:rPr>
          <w:rFonts w:hint="eastAsia"/>
          <w:highlight w:val="none"/>
          <w:lang w:eastAsia="zh-CN"/>
        </w:rPr>
        <w:t>县</w:t>
      </w:r>
      <w:r>
        <w:rPr>
          <w:rFonts w:hint="eastAsia"/>
          <w:highlight w:val="none"/>
        </w:rPr>
        <w:t>财政局审核后报</w:t>
      </w:r>
      <w:r>
        <w:rPr>
          <w:rFonts w:hint="eastAsia"/>
          <w:highlight w:val="none"/>
          <w:lang w:eastAsia="zh-CN"/>
        </w:rPr>
        <w:t>县</w:t>
      </w:r>
      <w:r>
        <w:rPr>
          <w:rFonts w:hint="eastAsia"/>
          <w:highlight w:val="none"/>
        </w:rPr>
        <w:t>人民政府审批。</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行政事业单位申请资产报废（淘汰），应提交以下材料：</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rPr>
        <w:t>（一）资产报废处置申请函件（</w:t>
      </w:r>
      <w:r>
        <w:rPr>
          <w:rFonts w:hint="eastAsia"/>
          <w:highlight w:val="none"/>
          <w:lang w:eastAsia="zh-CN"/>
        </w:rPr>
        <w:t>含</w:t>
      </w:r>
      <w:r>
        <w:rPr>
          <w:rFonts w:hint="eastAsia"/>
          <w:highlight w:val="none"/>
        </w:rPr>
        <w:t>资产处置清单）、价值凭证和权属证明复印件；</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rPr>
        <w:t>（二）因技术原因报废的，应当提供相关技术鉴定；</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rPr>
        <w:t>（三）因房屋拆除等原因需办理资产报废手续的，提交相关职能部门的房屋拆除批复文件、建设项目拆建立项文件、双方签定的房屋拆迁补偿协议；</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lang w:val="en-US" w:eastAsia="zh-CN"/>
        </w:rPr>
      </w:pPr>
      <w:r>
        <w:rPr>
          <w:rFonts w:hint="eastAsia"/>
          <w:highlight w:val="none"/>
        </w:rPr>
        <w:t>（四）其他需提交的资料。</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报损是指对已发生的资产呆账及其他非正常损失的资产，按有关规定进行产权核销的行为。资产报损分为货币性资产报损和非货币性资产报损。</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资产存在下列情况之一的．可以报损：</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rPr>
        <w:t>（一）债务人已依法破产或者死亡（含依法宣告死亡）的，根据法律规定其清算财产或者遗产不足清偿的；</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rPr>
        <w:t>（二）因不可抗力因素造成损失的；</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rPr>
        <w:t>（三）根据国家有关规定，可以报损的其他情形。</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资产报损前，应当通过公告、诉讼等方式向债务人、担保人或责任人追索。</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32" w:firstLineChars="200"/>
        <w:textAlignment w:val="auto"/>
        <w:rPr>
          <w:rFonts w:hint="eastAsia" w:eastAsia="仿宋_GB2312"/>
          <w:highlight w:val="none"/>
          <w:lang w:val="en-US" w:eastAsia="zh-CN"/>
        </w:rPr>
      </w:pPr>
      <w:r>
        <w:rPr>
          <w:rFonts w:hint="eastAsia"/>
          <w:highlight w:val="none"/>
        </w:rPr>
        <w:t>单位应当对报损的资产备查登记，实行“账销案存”的方式管理，对已批准核销的资产损失，单位仍有追偿的权利和义务，对“账销案存”资产清理和追索收回的资产，应当及时入账，货币性资产上缴国库。</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报损资产实行限额审批。资产批量价值（原价）20万元以下（不含20万元）的，由行政事业单位主管部门审批，报县财政局备案，没有主管部门的单位直接报县财政局审批；资产批量价值（原价）20万元以上（含20万元）至100万元以下（不含100万元）的，由行政事业单位主管部门审核后报县财政局审批，其中资产批量价值（原价）100万元以上（含100万元）的，由县财政局审核后报县人民政府审批。</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行政事业单位申请报损，应提交以下材料：</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rPr>
        <w:t>（一）资产报损申请函件（含资产处置清单）、价值凭证及权属证明复印件，非正常损失的还需提供公安部门、保险公司等出具的证明，单位关于非正常损失的说明以及追究相关责任人经济责任的文件；</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rPr>
        <w:t>（二）货币性资产损失中的应收款项呆账损失核销，还应提供下列资料：</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rPr>
        <w:t>1．债务人已被依法宣告破产、撤销、关闭，用债务人清算财产清偿后仍不能弥补损失的，提供宣告破产的民事裁定书以及财产清算报告、注销工商登记或吊销执照的证明、政府有关部门决定关闭的文件；</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rPr>
        <w:t>2．债务人死亡或者依法被宣告失踪、死亡的，提供其财产或者遗产不足清偿且没有继承人的法律文件；</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rPr>
        <w:t>3．涉</w:t>
      </w:r>
      <w:r>
        <w:rPr>
          <w:rFonts w:hint="eastAsia"/>
          <w:highlight w:val="none"/>
          <w:lang w:eastAsia="zh-CN"/>
        </w:rPr>
        <w:t>及</w:t>
      </w:r>
      <w:r>
        <w:rPr>
          <w:rFonts w:hint="eastAsia"/>
          <w:highlight w:val="none"/>
        </w:rPr>
        <w:t>诉</w:t>
      </w:r>
      <w:r>
        <w:rPr>
          <w:rFonts w:hint="eastAsia"/>
          <w:highlight w:val="none"/>
          <w:lang w:eastAsia="zh-CN"/>
        </w:rPr>
        <w:t>讼</w:t>
      </w:r>
      <w:r>
        <w:rPr>
          <w:rFonts w:hint="eastAsia"/>
          <w:highlight w:val="none"/>
        </w:rPr>
        <w:t>的，提供已生效的判定、裁定申报单位败诉的人民法院判决书或裁定书，或者虽胜诉但因无法执行被裁定终止执行的法律文件。</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rPr>
        <w:t>（三）对外投资损失核销，还应提供下列资料：</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rPr>
        <w:t>1．被投资企业被依法宣告破产的，提供宣告破产的民事裁定书、财产清算报告；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rPr>
        <w:t>2．被投资企业被依法关闭、投资期限届满或其他原因导致终止的，提供被投资企业被依法关闭或终止的法律文件、注销或吊销工商登记的证明以及企业财产清算报告；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rPr>
        <w:t>3．涉</w:t>
      </w:r>
      <w:r>
        <w:rPr>
          <w:rFonts w:hint="eastAsia"/>
          <w:highlight w:val="none"/>
          <w:lang w:eastAsia="zh-CN"/>
        </w:rPr>
        <w:t>及</w:t>
      </w:r>
      <w:r>
        <w:rPr>
          <w:rFonts w:hint="eastAsia"/>
          <w:highlight w:val="none"/>
        </w:rPr>
        <w:t>诉</w:t>
      </w:r>
      <w:r>
        <w:rPr>
          <w:rFonts w:hint="eastAsia"/>
          <w:highlight w:val="none"/>
          <w:lang w:eastAsia="zh-CN"/>
        </w:rPr>
        <w:t>讼</w:t>
      </w:r>
      <w:r>
        <w:rPr>
          <w:rFonts w:hint="eastAsia"/>
          <w:highlight w:val="none"/>
        </w:rPr>
        <w:t>的，提供已生效的判定、裁定申报单位败诉的人民法院判决书、裁定书，或者虽胜诉但因无法执行被裁定终止执行的法律文件；</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rPr>
        <w:t>（四）因不可抗力造成损失的，应当提供相关案件证明材料、责任认定报告和赔偿情况；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rPr>
        <w:t>（五）其他需要提交的资料。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Chars="200"/>
        <w:textAlignment w:val="auto"/>
        <w:rPr>
          <w:rFonts w:hint="eastAsia"/>
          <w:highlight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 xml:space="preserve"> 收入管理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Chars="200"/>
        <w:textAlignment w:val="auto"/>
        <w:rPr>
          <w:rFonts w:hint="eastAsia"/>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资产处置收入包括出售（出让、转让）收入、置换差价收入、报废残值收入、报损补偿取得的收入、征收补偿收入、保险理赔收入以及处置资产取得的其它收入。</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资产处置收入应当纳入财政预算管理，按照政府非税收入管理的规定上缴县财政局专户，实行“收支两条线”管理，原则上不予返还。国家或省另有规定的，按其规定。</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资产处置收入上缴列政府收支分类科目“行政单位国有资产处置收入”或“事业单位国有资产处置收入”科目。</w:t>
      </w:r>
    </w:p>
    <w:p>
      <w:pPr>
        <w:bidi w:val="0"/>
        <w:rPr>
          <w:rFonts w:hint="default"/>
          <w:highlight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 xml:space="preserve"> 监督检查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Chars="0"/>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财政局和各行政事业单位主管部门，应当加强行政事业单位资产处置的监督管理，坚持单位内部监督与财政监督、审计监督、社会监督相结合，事前监督与事中监督、事后监督相结合，日常监督与专项检查相结合，制止资产处置中的各种违法、违纪行为，防止国有资产流失，维护国有资产的合法权益。</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除涉及国家安全和秘密外，行政事业单位应当实行资产处置内部公示制度。</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资产处置过程中，存在下列行为的，按照有关法律法规的规定处理：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Chars="200"/>
        <w:textAlignment w:val="auto"/>
        <w:rPr>
          <w:rFonts w:hint="eastAsia"/>
          <w:highlight w:val="none"/>
          <w:lang w:val="en-US" w:eastAsia="zh-CN"/>
        </w:rPr>
      </w:pPr>
      <w:r>
        <w:rPr>
          <w:rFonts w:hint="eastAsia"/>
          <w:highlight w:val="none"/>
          <w:lang w:val="en-US" w:eastAsia="zh-CN"/>
        </w:rPr>
        <w:t>（一）未经批准擅自处置的：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Chars="200"/>
        <w:textAlignment w:val="auto"/>
        <w:rPr>
          <w:rFonts w:hint="eastAsia"/>
          <w:highlight w:val="none"/>
          <w:lang w:val="en-US" w:eastAsia="zh-CN"/>
        </w:rPr>
      </w:pPr>
      <w:r>
        <w:rPr>
          <w:rFonts w:hint="eastAsia"/>
          <w:highlight w:val="none"/>
          <w:lang w:val="en-US" w:eastAsia="zh-CN"/>
        </w:rPr>
        <w:t>（二）在处置过程中弄虚作假，人为造成资产损失的；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Chars="200"/>
        <w:textAlignment w:val="auto"/>
        <w:rPr>
          <w:rFonts w:hint="eastAsia"/>
          <w:highlight w:val="none"/>
          <w:lang w:val="en-US" w:eastAsia="zh-CN"/>
        </w:rPr>
      </w:pPr>
      <w:r>
        <w:rPr>
          <w:rFonts w:hint="eastAsia"/>
          <w:highlight w:val="none"/>
          <w:lang w:val="en-US" w:eastAsia="zh-CN"/>
        </w:rPr>
        <w:t>（三）对已获准处置资产不进行处置，继续留用的；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Chars="200"/>
        <w:textAlignment w:val="auto"/>
        <w:rPr>
          <w:rFonts w:hint="eastAsia"/>
          <w:highlight w:val="none"/>
          <w:lang w:val="en-US" w:eastAsia="zh-CN"/>
        </w:rPr>
      </w:pPr>
      <w:r>
        <w:rPr>
          <w:rFonts w:hint="eastAsia"/>
          <w:highlight w:val="none"/>
          <w:lang w:val="en-US" w:eastAsia="zh-CN"/>
        </w:rPr>
        <w:t>（四）隐瞒、截留、挤占、坐支和挪用资产处置收入的：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Chars="200"/>
        <w:textAlignment w:val="auto"/>
        <w:rPr>
          <w:rFonts w:hint="eastAsia"/>
          <w:highlight w:val="none"/>
          <w:lang w:val="en-US" w:eastAsia="zh-CN"/>
        </w:rPr>
      </w:pPr>
      <w:r>
        <w:rPr>
          <w:rFonts w:hint="eastAsia"/>
          <w:highlight w:val="none"/>
          <w:lang w:val="en-US" w:eastAsia="zh-CN"/>
        </w:rPr>
        <w:t>（五）其他违法、违规的资产处置行为。</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Chars="0"/>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 xml:space="preserve"> 附则</w:t>
      </w:r>
    </w:p>
    <w:p>
      <w:pPr>
        <w:bidi w:val="0"/>
        <w:rPr>
          <w:rFonts w:hint="default"/>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各行政事业单位主管部门可根据本办法，结合本部门实际情况，制定具体实施细则，并报县财政局备案。</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行政事业单位在建工程、罚没资产处置按照国家有关规定办理。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本办法实施前有关行政事业单位资产管理规定与本办法不一致的，依照本办法的规定执行。</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本办法由县财政局负责解释。</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 xml:space="preserve"> 本办法自印发之日起施行。连平县财政局2019年8月30日印发的《连平县县直行政事业单位国有资产处置管理暂行办法》（连财资〔2019〕12号）同时废止。</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Chars="200"/>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highlight w:val="none"/>
        </w:rPr>
      </w:pPr>
      <w:r>
        <w:rPr>
          <w:rFonts w:hint="eastAsia"/>
          <w:highlight w:val="none"/>
          <w:lang w:val="en-US" w:eastAsia="zh-CN"/>
        </w:rPr>
        <w:t>附件：1.</w:t>
      </w:r>
      <w:r>
        <w:rPr>
          <w:rFonts w:hint="eastAsia"/>
          <w:highlight w:val="none"/>
        </w:rPr>
        <w:t>行政事业单位常用固定资产使用年限表</w:t>
      </w:r>
    </w:p>
    <w:p>
      <w:pPr>
        <w:keepNext w:val="0"/>
        <w:keepLines w:val="0"/>
        <w:pageBreakBefore w:val="0"/>
        <w:widowControl w:val="0"/>
        <w:kinsoku/>
        <w:wordWrap/>
        <w:overflowPunct/>
        <w:topLinePunct w:val="0"/>
        <w:autoSpaceDE/>
        <w:autoSpaceDN/>
        <w:bidi w:val="0"/>
        <w:adjustRightInd/>
        <w:snapToGrid/>
        <w:ind w:left="0" w:leftChars="0" w:firstLine="1580" w:firstLineChars="500"/>
        <w:textAlignment w:val="auto"/>
        <w:rPr>
          <w:rFonts w:hint="eastAsia"/>
          <w:highlight w:val="none"/>
        </w:rPr>
      </w:pPr>
      <w:r>
        <w:rPr>
          <w:rFonts w:hint="eastAsia"/>
          <w:highlight w:val="none"/>
        </w:rPr>
        <w:t>2.行政事业</w:t>
      </w:r>
      <w:r>
        <w:rPr>
          <w:rFonts w:hint="eastAsia"/>
          <w:highlight w:val="none"/>
          <w:lang w:eastAsia="zh-CN"/>
        </w:rPr>
        <w:t>单位</w:t>
      </w:r>
      <w:r>
        <w:rPr>
          <w:rFonts w:hint="eastAsia"/>
          <w:highlight w:val="none"/>
        </w:rPr>
        <w:t>国有资产处置申报函件通用格式</w:t>
      </w:r>
    </w:p>
    <w:p>
      <w:pPr>
        <w:keepNext w:val="0"/>
        <w:keepLines w:val="0"/>
        <w:pageBreakBefore w:val="0"/>
        <w:widowControl w:val="0"/>
        <w:kinsoku/>
        <w:wordWrap/>
        <w:overflowPunct/>
        <w:topLinePunct w:val="0"/>
        <w:autoSpaceDE/>
        <w:autoSpaceDN/>
        <w:bidi w:val="0"/>
        <w:adjustRightInd/>
        <w:snapToGrid/>
        <w:ind w:left="0" w:leftChars="0" w:firstLine="1580" w:firstLineChars="500"/>
        <w:textAlignment w:val="auto"/>
        <w:rPr>
          <w:rFonts w:hint="eastAsia"/>
          <w:highlight w:val="none"/>
        </w:rPr>
      </w:pPr>
      <w:r>
        <w:rPr>
          <w:rFonts w:hint="eastAsia"/>
          <w:highlight w:val="none"/>
        </w:rPr>
        <w:t>3.行政事业</w:t>
      </w:r>
      <w:r>
        <w:rPr>
          <w:rFonts w:hint="eastAsia"/>
          <w:highlight w:val="none"/>
          <w:lang w:eastAsia="zh-CN"/>
        </w:rPr>
        <w:t>单位</w:t>
      </w:r>
      <w:r>
        <w:rPr>
          <w:rFonts w:hint="eastAsia"/>
          <w:highlight w:val="none"/>
        </w:rPr>
        <w:t>公务用车处置申报函件通用格式</w:t>
      </w:r>
    </w:p>
    <w:p>
      <w:pPr>
        <w:keepNext w:val="0"/>
        <w:keepLines w:val="0"/>
        <w:pageBreakBefore w:val="0"/>
        <w:widowControl w:val="0"/>
        <w:kinsoku/>
        <w:wordWrap/>
        <w:overflowPunct/>
        <w:topLinePunct w:val="0"/>
        <w:autoSpaceDE/>
        <w:autoSpaceDN/>
        <w:bidi w:val="0"/>
        <w:adjustRightInd/>
        <w:snapToGrid/>
        <w:ind w:left="0" w:leftChars="0" w:firstLine="1580" w:firstLineChars="500"/>
        <w:textAlignment w:val="auto"/>
        <w:rPr>
          <w:rFonts w:hint="eastAsia"/>
          <w:highlight w:val="none"/>
        </w:rPr>
      </w:pPr>
      <w:r>
        <w:rPr>
          <w:rFonts w:hint="eastAsia"/>
          <w:highlight w:val="none"/>
        </w:rPr>
        <w:t>4.行政事业单位主管部门审核函件通用格式</w:t>
      </w:r>
    </w:p>
    <w:p>
      <w:pPr>
        <w:keepNext w:val="0"/>
        <w:keepLines w:val="0"/>
        <w:pageBreakBefore w:val="0"/>
        <w:widowControl w:val="0"/>
        <w:kinsoku/>
        <w:wordWrap/>
        <w:overflowPunct/>
        <w:topLinePunct w:val="0"/>
        <w:autoSpaceDE/>
        <w:autoSpaceDN/>
        <w:bidi w:val="0"/>
        <w:adjustRightInd/>
        <w:snapToGrid/>
        <w:ind w:left="0" w:leftChars="0" w:firstLine="1580" w:firstLineChars="500"/>
        <w:textAlignment w:val="auto"/>
        <w:rPr>
          <w:rFonts w:hint="eastAsia"/>
          <w:highlight w:val="none"/>
        </w:rPr>
      </w:pPr>
      <w:r>
        <w:rPr>
          <w:rFonts w:hint="eastAsia"/>
          <w:highlight w:val="none"/>
        </w:rPr>
        <w:t>5.行政事业单位主管部门批复函件参考格式</w:t>
      </w:r>
    </w:p>
    <w:p>
      <w:pPr>
        <w:keepNext w:val="0"/>
        <w:keepLines w:val="0"/>
        <w:pageBreakBefore w:val="0"/>
        <w:widowControl w:val="0"/>
        <w:kinsoku/>
        <w:wordWrap/>
        <w:overflowPunct/>
        <w:topLinePunct w:val="0"/>
        <w:autoSpaceDE/>
        <w:autoSpaceDN/>
        <w:bidi w:val="0"/>
        <w:adjustRightInd/>
        <w:snapToGrid/>
        <w:ind w:left="0" w:leftChars="0" w:firstLine="1580" w:firstLineChars="500"/>
        <w:textAlignment w:val="auto"/>
        <w:rPr>
          <w:rFonts w:hint="eastAsia"/>
          <w:highlight w:val="none"/>
        </w:rPr>
      </w:pPr>
      <w:r>
        <w:rPr>
          <w:rFonts w:hint="eastAsia"/>
          <w:highlight w:val="none"/>
        </w:rPr>
        <w:t>6.行政事业国有资产无偿调出审批表</w:t>
      </w:r>
    </w:p>
    <w:p>
      <w:pPr>
        <w:keepNext w:val="0"/>
        <w:keepLines w:val="0"/>
        <w:pageBreakBefore w:val="0"/>
        <w:widowControl w:val="0"/>
        <w:kinsoku/>
        <w:wordWrap/>
        <w:overflowPunct/>
        <w:topLinePunct w:val="0"/>
        <w:autoSpaceDE/>
        <w:autoSpaceDN/>
        <w:bidi w:val="0"/>
        <w:adjustRightInd/>
        <w:snapToGrid/>
        <w:ind w:left="0" w:leftChars="0" w:firstLine="1580" w:firstLineChars="500"/>
        <w:textAlignment w:val="auto"/>
        <w:rPr>
          <w:rFonts w:hint="eastAsia"/>
          <w:highlight w:val="none"/>
        </w:rPr>
      </w:pPr>
      <w:r>
        <w:rPr>
          <w:rFonts w:hint="eastAsia"/>
          <w:highlight w:val="none"/>
        </w:rPr>
        <w:t>7.行政事业单位公务用车无偿调出审批表</w:t>
      </w:r>
    </w:p>
    <w:p>
      <w:pPr>
        <w:keepNext w:val="0"/>
        <w:keepLines w:val="0"/>
        <w:pageBreakBefore w:val="0"/>
        <w:widowControl w:val="0"/>
        <w:kinsoku/>
        <w:wordWrap/>
        <w:overflowPunct/>
        <w:topLinePunct w:val="0"/>
        <w:autoSpaceDE/>
        <w:autoSpaceDN/>
        <w:bidi w:val="0"/>
        <w:adjustRightInd/>
        <w:snapToGrid/>
        <w:ind w:left="0" w:leftChars="0" w:firstLine="1580" w:firstLineChars="500"/>
        <w:textAlignment w:val="auto"/>
        <w:rPr>
          <w:rFonts w:hint="eastAsia"/>
          <w:highlight w:val="none"/>
        </w:rPr>
      </w:pPr>
      <w:r>
        <w:rPr>
          <w:rFonts w:hint="eastAsia"/>
          <w:highlight w:val="none"/>
        </w:rPr>
        <w:t>8.行政事业单位国有资产处置审批情况备案统计表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Chars="200"/>
        <w:textAlignment w:val="auto"/>
        <w:rPr>
          <w:rFonts w:hint="default"/>
          <w:highlight w:val="none"/>
          <w:lang w:val="en-US" w:eastAsia="zh-CN"/>
        </w:rPr>
      </w:pPr>
    </w:p>
    <w:p>
      <w:pPr>
        <w:bidi w:val="0"/>
        <w:rPr>
          <w:rFonts w:hint="eastAsia" w:ascii="黑体" w:hAnsi="黑体" w:eastAsia="黑体" w:cs="黑体"/>
          <w:highlight w:val="none"/>
          <w:lang w:val="en-US" w:eastAsia="zh-CN"/>
        </w:rPr>
      </w:pPr>
      <w:r>
        <w:rPr>
          <w:rFonts w:hint="eastAsia" w:ascii="黑体" w:hAnsi="黑体" w:eastAsia="黑体" w:cs="黑体"/>
          <w:highlight w:val="none"/>
          <w:lang w:val="en-US" w:eastAsia="zh-CN"/>
        </w:rPr>
        <w:t>附件1</w:t>
      </w:r>
    </w:p>
    <w:p>
      <w:pPr>
        <w:bidi w:val="0"/>
        <w:rPr>
          <w:rFonts w:hint="eastAsia" w:ascii="黑体" w:hAnsi="黑体" w:eastAsia="黑体" w:cs="黑体"/>
          <w:highlight w:val="none"/>
          <w:lang w:val="en-US" w:eastAsia="zh-CN"/>
        </w:rPr>
      </w:pPr>
    </w:p>
    <w:p>
      <w:pPr>
        <w:bidi w:val="0"/>
        <w:jc w:val="center"/>
        <w:rPr>
          <w:rFonts w:hint="eastAsia" w:ascii="宋体" w:hAnsi="宋体" w:eastAsia="宋体" w:cs="宋体"/>
          <w:b/>
          <w:bCs/>
          <w:sz w:val="40"/>
          <w:szCs w:val="40"/>
          <w:highlight w:val="none"/>
          <w:lang w:val="en-US" w:eastAsia="zh-CN"/>
        </w:rPr>
      </w:pPr>
      <w:r>
        <w:rPr>
          <w:rFonts w:hint="eastAsia" w:ascii="宋体" w:hAnsi="宋体" w:eastAsia="宋体" w:cs="宋体"/>
          <w:b/>
          <w:bCs/>
          <w:sz w:val="40"/>
          <w:szCs w:val="40"/>
          <w:highlight w:val="none"/>
          <w:lang w:val="en-US" w:eastAsia="zh-CN"/>
        </w:rPr>
        <w:t>行政事业单位常用固定资产使用年限表</w:t>
      </w:r>
    </w:p>
    <w:tbl>
      <w:tblPr>
        <w:tblStyle w:val="7"/>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6629"/>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序号</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资产类别</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可更新年限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一</w:t>
            </w:r>
          </w:p>
        </w:tc>
        <w:tc>
          <w:tcPr>
            <w:tcW w:w="6629" w:type="dxa"/>
            <w:noWrap w:val="0"/>
            <w:vAlign w:val="center"/>
          </w:tcPr>
          <w:p>
            <w:pPr>
              <w:snapToGrid w:val="0"/>
              <w:rPr>
                <w:rFonts w:hint="eastAsia" w:ascii="宋体" w:hAnsi="宋体" w:eastAsia="宋体" w:cs="Times New Roman"/>
                <w:b/>
                <w:bCs/>
                <w:kern w:val="2"/>
                <w:sz w:val="22"/>
                <w:szCs w:val="22"/>
                <w:highlight w:val="none"/>
              </w:rPr>
            </w:pPr>
            <w:r>
              <w:rPr>
                <w:rFonts w:hint="eastAsia" w:ascii="宋体" w:hAnsi="宋体" w:eastAsia="宋体" w:cs="Times New Roman"/>
                <w:b/>
                <w:bCs/>
                <w:kern w:val="2"/>
                <w:sz w:val="22"/>
                <w:szCs w:val="22"/>
                <w:highlight w:val="none"/>
              </w:rPr>
              <w:t>交通运输设备</w:t>
            </w:r>
          </w:p>
        </w:tc>
        <w:tc>
          <w:tcPr>
            <w:tcW w:w="1342" w:type="dxa"/>
            <w:noWrap w:val="0"/>
            <w:vAlign w:val="center"/>
          </w:tcPr>
          <w:p>
            <w:pPr>
              <w:snapToGrid w:val="0"/>
              <w:jc w:val="center"/>
              <w:rPr>
                <w:rFonts w:hint="eastAsia" w:ascii="宋体" w:hAnsi="宋体" w:eastAsia="宋体" w:cs="Times New Roman"/>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（一）</w:t>
            </w:r>
          </w:p>
        </w:tc>
        <w:tc>
          <w:tcPr>
            <w:tcW w:w="6629" w:type="dxa"/>
            <w:noWrap w:val="0"/>
            <w:vAlign w:val="center"/>
          </w:tcPr>
          <w:p>
            <w:pPr>
              <w:snapToGrid w:val="0"/>
              <w:rPr>
                <w:rFonts w:hint="eastAsia" w:ascii="宋体" w:hAnsi="宋体" w:eastAsia="宋体" w:cs="Times New Roman"/>
                <w:b/>
                <w:bCs/>
                <w:kern w:val="2"/>
                <w:sz w:val="22"/>
                <w:szCs w:val="22"/>
                <w:highlight w:val="none"/>
              </w:rPr>
            </w:pPr>
            <w:r>
              <w:rPr>
                <w:rFonts w:hint="eastAsia" w:ascii="宋体" w:hAnsi="宋体" w:eastAsia="宋体" w:cs="Times New Roman"/>
                <w:b/>
                <w:bCs/>
                <w:kern w:val="2"/>
                <w:sz w:val="22"/>
                <w:szCs w:val="22"/>
                <w:highlight w:val="none"/>
              </w:rPr>
              <w:t>机动车</w:t>
            </w:r>
          </w:p>
        </w:tc>
        <w:tc>
          <w:tcPr>
            <w:tcW w:w="1342" w:type="dxa"/>
            <w:noWrap w:val="0"/>
            <w:vAlign w:val="center"/>
          </w:tcPr>
          <w:p>
            <w:pPr>
              <w:snapToGrid w:val="0"/>
              <w:jc w:val="center"/>
              <w:rPr>
                <w:rFonts w:hint="eastAsia" w:ascii="宋体" w:hAnsi="宋体" w:eastAsia="宋体" w:cs="Times New Roman"/>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9座（含9座）以下非营运载客汽车（包括轿车、含越野型）</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2</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旅游载客汽车和9座以上非营运载客汽车</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3</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微型载货（总质量小于等于1.8吨）汽车</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4</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总质量大于1.8吨的载货汽车</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5</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带拖挂的载货汽车（指全挂汽车）</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6</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吊车、消防车、钻探车等从事专门作业的车辆</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7</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矿山作业专用车</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8</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三轮汽车（原三轮农用运输车）</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9</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装配单缸柴油机的低速载货汽车（原装配单缸柴油机的四轮农用运输车）</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6年</w:t>
            </w:r>
          </w:p>
        </w:tc>
      </w:tr>
      <w:tr>
        <w:tblPrEx>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10</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装配多缸柴油机的低速载货汽车（原装配多缸柴油机的四轮农用运输车）</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11</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两轮摩托车(15万公里)</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12</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三轮摩托车</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13</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医疗救护车</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（二）</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b/>
                <w:bCs/>
                <w:kern w:val="2"/>
                <w:sz w:val="22"/>
                <w:szCs w:val="22"/>
                <w:highlight w:val="none"/>
              </w:rPr>
              <w:t>船舶（含海船和河船）</w:t>
            </w:r>
          </w:p>
        </w:tc>
        <w:tc>
          <w:tcPr>
            <w:tcW w:w="1342" w:type="dxa"/>
            <w:noWrap w:val="0"/>
            <w:vAlign w:val="center"/>
          </w:tcPr>
          <w:p>
            <w:pPr>
              <w:snapToGrid w:val="0"/>
              <w:jc w:val="center"/>
              <w:rPr>
                <w:rFonts w:hint="eastAsia" w:ascii="宋体" w:hAnsi="宋体" w:eastAsia="宋体" w:cs="Times New Roman"/>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高速客船</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2</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客船类，包括客滚船、客货船、客渡船、客货渡船、旅游船、客船</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3</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液体货船类，包括油船、化学品船、液化气船</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31年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4</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散货船类，包括散货船、矿砂船</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33年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5</w:t>
            </w:r>
          </w:p>
        </w:tc>
        <w:tc>
          <w:tcPr>
            <w:tcW w:w="6629" w:type="dxa"/>
            <w:noWrap w:val="0"/>
            <w:vAlign w:val="center"/>
          </w:tcPr>
          <w:p>
            <w:pPr>
              <w:snapToGrid w:val="0"/>
              <w:rPr>
                <w:rFonts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杂货船类，包括滚装船、散装水泥船、冷藏船、杂货船、多用途船、集装</w:t>
            </w:r>
          </w:p>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箱船、木材船、拖／推轮、驳船</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34年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二</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b/>
                <w:bCs/>
                <w:kern w:val="2"/>
                <w:sz w:val="22"/>
                <w:szCs w:val="22"/>
                <w:highlight w:val="none"/>
              </w:rPr>
              <w:t>办公自动化设备</w:t>
            </w:r>
          </w:p>
        </w:tc>
        <w:tc>
          <w:tcPr>
            <w:tcW w:w="1342" w:type="dxa"/>
            <w:noWrap w:val="0"/>
            <w:vAlign w:val="center"/>
          </w:tcPr>
          <w:p>
            <w:pPr>
              <w:snapToGrid w:val="0"/>
              <w:jc w:val="center"/>
              <w:rPr>
                <w:rFonts w:hint="eastAsia" w:ascii="宋体" w:hAnsi="宋体" w:eastAsia="宋体" w:cs="Times New Roman"/>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大型计算机</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2</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计算机网络设备（服务器、路由器、调制解调器等）</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3</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台式电脑（包括：网络计算机、终端）</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4</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平板电脑、掌上电脑、笔记本电脑</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5</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移动硬盘、不间断电源( UPS)</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6</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传真机、投影机、扫描仪</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7</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复印机、速印机、打印机、碎纸机</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三</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b/>
                <w:bCs/>
                <w:kern w:val="2"/>
                <w:sz w:val="22"/>
                <w:szCs w:val="22"/>
                <w:highlight w:val="none"/>
              </w:rPr>
              <w:t>电器设备</w:t>
            </w:r>
          </w:p>
        </w:tc>
        <w:tc>
          <w:tcPr>
            <w:tcW w:w="1342" w:type="dxa"/>
            <w:noWrap w:val="0"/>
            <w:vAlign w:val="center"/>
          </w:tcPr>
          <w:p>
            <w:pPr>
              <w:snapToGrid w:val="0"/>
              <w:jc w:val="center"/>
              <w:rPr>
                <w:rFonts w:hint="eastAsia" w:ascii="宋体" w:hAnsi="宋体" w:eastAsia="宋体" w:cs="Times New Roman"/>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电视机</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2</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电冰箱</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3</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洗衣机</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4</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摄像器材</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5</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照相机和摄影器材</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6</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空气调节器、除湿设备</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7</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中央空调设备</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四</w:t>
            </w:r>
          </w:p>
        </w:tc>
        <w:tc>
          <w:tcPr>
            <w:tcW w:w="6629" w:type="dxa"/>
            <w:noWrap w:val="0"/>
            <w:vAlign w:val="center"/>
          </w:tcPr>
          <w:p>
            <w:pPr>
              <w:snapToGrid w:val="0"/>
              <w:rPr>
                <w:rFonts w:hint="eastAsia" w:ascii="宋体" w:hAnsi="宋体" w:eastAsia="宋体" w:cs="Times New Roman"/>
                <w:b/>
                <w:bCs/>
                <w:kern w:val="2"/>
                <w:sz w:val="22"/>
                <w:szCs w:val="22"/>
                <w:highlight w:val="none"/>
              </w:rPr>
            </w:pPr>
            <w:r>
              <w:rPr>
                <w:rFonts w:hint="eastAsia" w:ascii="宋体" w:hAnsi="宋体" w:eastAsia="宋体" w:cs="Times New Roman"/>
                <w:b/>
                <w:bCs/>
                <w:kern w:val="2"/>
                <w:sz w:val="22"/>
                <w:szCs w:val="22"/>
                <w:highlight w:val="none"/>
              </w:rPr>
              <w:t>家具，包括办公家具、宿舍家具、其他家具</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五</w:t>
            </w:r>
          </w:p>
        </w:tc>
        <w:tc>
          <w:tcPr>
            <w:tcW w:w="6629" w:type="dxa"/>
            <w:noWrap w:val="0"/>
            <w:vAlign w:val="center"/>
          </w:tcPr>
          <w:p>
            <w:pPr>
              <w:snapToGrid w:val="0"/>
              <w:rPr>
                <w:rFonts w:hint="eastAsia" w:ascii="宋体" w:hAnsi="宋体" w:eastAsia="宋体" w:cs="Times New Roman"/>
                <w:b/>
                <w:bCs/>
                <w:kern w:val="2"/>
                <w:sz w:val="22"/>
                <w:szCs w:val="22"/>
                <w:highlight w:val="none"/>
              </w:rPr>
            </w:pPr>
            <w:r>
              <w:rPr>
                <w:rFonts w:hint="eastAsia" w:ascii="宋体" w:hAnsi="宋体" w:eastAsia="宋体" w:cs="Times New Roman"/>
                <w:b/>
                <w:bCs/>
                <w:kern w:val="2"/>
                <w:sz w:val="22"/>
                <w:szCs w:val="22"/>
                <w:highlight w:val="none"/>
              </w:rPr>
              <w:t>专用设备</w:t>
            </w:r>
          </w:p>
        </w:tc>
        <w:tc>
          <w:tcPr>
            <w:tcW w:w="1342" w:type="dxa"/>
            <w:noWrap w:val="0"/>
            <w:vAlign w:val="center"/>
          </w:tcPr>
          <w:p>
            <w:pPr>
              <w:snapToGrid w:val="0"/>
              <w:jc w:val="center"/>
              <w:rPr>
                <w:rFonts w:hint="eastAsia" w:ascii="宋体" w:hAnsi="宋体" w:eastAsia="宋体" w:cs="Times New Roman"/>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消防设备</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2</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厨房设备</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3</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监控系统（包括监控设备设施、安全防范系统）</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4</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道路清扫设备</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5</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电子设备</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6</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广播电视、摄像设备（摄录设备、传送设备）</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7</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音响设备</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8</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健身房设备</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8年</w:t>
            </w:r>
          </w:p>
        </w:tc>
      </w:tr>
      <w:tr>
        <w:tblPrEx>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9</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通讯设备</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10</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自动化监控及仪器仪表</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11</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机械设备</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12</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动力设备</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13</w:t>
            </w:r>
          </w:p>
        </w:tc>
        <w:tc>
          <w:tcPr>
            <w:tcW w:w="6629" w:type="dxa"/>
            <w:noWrap w:val="0"/>
            <w:vAlign w:val="center"/>
          </w:tcPr>
          <w:p>
            <w:pPr>
              <w:snapToGrid w:val="0"/>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传导设备</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六</w:t>
            </w:r>
          </w:p>
        </w:tc>
        <w:tc>
          <w:tcPr>
            <w:tcW w:w="6629" w:type="dxa"/>
            <w:noWrap w:val="0"/>
            <w:vAlign w:val="center"/>
          </w:tcPr>
          <w:p>
            <w:pPr>
              <w:snapToGrid w:val="0"/>
              <w:rPr>
                <w:rFonts w:hint="eastAsia" w:ascii="宋体" w:hAnsi="宋体" w:eastAsia="宋体" w:cs="Times New Roman"/>
                <w:b/>
                <w:bCs/>
                <w:kern w:val="2"/>
                <w:sz w:val="22"/>
                <w:szCs w:val="22"/>
                <w:highlight w:val="none"/>
              </w:rPr>
            </w:pPr>
            <w:r>
              <w:rPr>
                <w:rFonts w:hint="eastAsia" w:ascii="宋体" w:hAnsi="宋体" w:eastAsia="宋体" w:cs="Times New Roman"/>
                <w:b/>
                <w:bCs/>
                <w:kern w:val="2"/>
                <w:sz w:val="22"/>
                <w:szCs w:val="22"/>
                <w:highlight w:val="none"/>
              </w:rPr>
              <w:t>通用测试仪器设备</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5"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七</w:t>
            </w:r>
          </w:p>
        </w:tc>
        <w:tc>
          <w:tcPr>
            <w:tcW w:w="6629" w:type="dxa"/>
            <w:noWrap w:val="0"/>
            <w:vAlign w:val="center"/>
          </w:tcPr>
          <w:p>
            <w:pPr>
              <w:snapToGrid w:val="0"/>
              <w:rPr>
                <w:rFonts w:hint="eastAsia" w:ascii="宋体" w:hAnsi="宋体" w:eastAsia="宋体" w:cs="Times New Roman"/>
                <w:b/>
                <w:bCs/>
                <w:kern w:val="2"/>
                <w:sz w:val="22"/>
                <w:szCs w:val="22"/>
                <w:highlight w:val="none"/>
              </w:rPr>
            </w:pPr>
            <w:r>
              <w:rPr>
                <w:rFonts w:hint="eastAsia" w:ascii="宋体" w:hAnsi="宋体" w:eastAsia="宋体" w:cs="Times New Roman"/>
                <w:b/>
                <w:bCs/>
                <w:kern w:val="2"/>
                <w:sz w:val="22"/>
                <w:szCs w:val="22"/>
                <w:highlight w:val="none"/>
              </w:rPr>
              <w:t>闭路电视播放设备</w:t>
            </w:r>
          </w:p>
        </w:tc>
        <w:tc>
          <w:tcPr>
            <w:tcW w:w="1342" w:type="dxa"/>
            <w:noWrap w:val="0"/>
            <w:vAlign w:val="center"/>
          </w:tcPr>
          <w:p>
            <w:pPr>
              <w:snapToGrid w:val="0"/>
              <w:jc w:val="center"/>
              <w:rPr>
                <w:rFonts w:hint="eastAsia" w:ascii="宋体" w:hAnsi="宋体" w:eastAsia="宋体" w:cs="Times New Roman"/>
                <w:kern w:val="2"/>
                <w:sz w:val="22"/>
                <w:szCs w:val="22"/>
                <w:highlight w:val="none"/>
              </w:rPr>
            </w:pPr>
            <w:r>
              <w:rPr>
                <w:rFonts w:hint="eastAsia" w:ascii="宋体" w:hAnsi="宋体" w:eastAsia="宋体" w:cs="Times New Roman"/>
                <w:kern w:val="2"/>
                <w:sz w:val="22"/>
                <w:szCs w:val="22"/>
                <w:highlight w:val="none"/>
              </w:rPr>
              <w:t>8年</w:t>
            </w:r>
          </w:p>
        </w:tc>
      </w:tr>
    </w:tbl>
    <w:p>
      <w:pPr>
        <w:bidi w:val="0"/>
        <w:rPr>
          <w:rFonts w:hint="default"/>
          <w:highlight w:val="none"/>
          <w:lang w:val="en-US" w:eastAsia="zh-CN"/>
        </w:rPr>
      </w:pPr>
    </w:p>
    <w:p>
      <w:pPr>
        <w:bidi w:val="0"/>
        <w:rPr>
          <w:rFonts w:hint="default"/>
          <w:highlight w:val="none"/>
          <w:lang w:val="en-US" w:eastAsia="zh-CN"/>
        </w:rPr>
      </w:pPr>
    </w:p>
    <w:p>
      <w:pPr>
        <w:bidi w:val="0"/>
        <w:rPr>
          <w:rFonts w:hint="default"/>
          <w:highlight w:val="none"/>
          <w:lang w:val="en-US" w:eastAsia="zh-CN"/>
        </w:rPr>
      </w:pPr>
    </w:p>
    <w:p>
      <w:pPr>
        <w:bidi w:val="0"/>
        <w:rPr>
          <w:rFonts w:hint="default"/>
          <w:highlight w:val="none"/>
          <w:lang w:val="en-US" w:eastAsia="zh-CN"/>
        </w:rPr>
      </w:pPr>
    </w:p>
    <w:p>
      <w:pPr>
        <w:bidi w:val="0"/>
        <w:rPr>
          <w:rFonts w:hint="eastAsia" w:ascii="黑体" w:hAnsi="黑体" w:eastAsia="黑体" w:cs="黑体"/>
          <w:b/>
          <w:bCs/>
          <w:highlight w:val="none"/>
          <w:lang w:val="en-US" w:eastAsia="zh-CN"/>
        </w:rPr>
      </w:pPr>
      <w:r>
        <w:rPr>
          <w:rFonts w:hint="eastAsia" w:ascii="黑体" w:hAnsi="黑体" w:eastAsia="黑体" w:cs="黑体"/>
          <w:b/>
          <w:bCs/>
          <w:highlight w:val="none"/>
          <w:lang w:val="en-US" w:eastAsia="zh-CN"/>
        </w:rPr>
        <w:t>附件2</w:t>
      </w:r>
    </w:p>
    <w:p>
      <w:pPr>
        <w:bidi w:val="0"/>
        <w:rPr>
          <w:rFonts w:hint="eastAsia" w:ascii="黑体" w:hAnsi="黑体" w:eastAsia="黑体" w:cs="黑体"/>
          <w:b/>
          <w:bCs/>
          <w:highlight w:val="none"/>
          <w:lang w:val="en-US" w:eastAsia="zh-CN"/>
        </w:rPr>
      </w:pPr>
    </w:p>
    <w:p>
      <w:pPr>
        <w:bidi w:val="0"/>
        <w:jc w:val="center"/>
        <w:rPr>
          <w:rFonts w:hint="eastAsia" w:ascii="黑体" w:hAnsi="黑体" w:eastAsia="黑体" w:cs="黑体"/>
          <w:highlight w:val="none"/>
          <w:lang w:val="en-US" w:eastAsia="zh-CN"/>
        </w:rPr>
      </w:pPr>
      <w:r>
        <w:rPr>
          <w:rFonts w:hint="eastAsia" w:ascii="黑体" w:hAnsi="黑体" w:eastAsia="黑体" w:cs="黑体"/>
          <w:highlight w:val="none"/>
          <w:lang w:val="en-US" w:eastAsia="zh-CN"/>
        </w:rPr>
        <w:t>行政事业单位国有资产处置申报函件通用格式</w:t>
      </w:r>
    </w:p>
    <w:p>
      <w:pPr>
        <w:bidi w:val="0"/>
        <w:jc w:val="center"/>
        <w:rPr>
          <w:rFonts w:hint="eastAsia"/>
          <w:highlight w:val="none"/>
          <w:lang w:val="en-US" w:eastAsia="zh-CN"/>
        </w:rPr>
      </w:pPr>
      <w:r>
        <w:rPr>
          <w:rFonts w:hint="eastAsia"/>
          <w:highlight w:val="none"/>
          <w:lang w:val="en-US" w:eastAsia="zh-CN"/>
        </w:rPr>
        <w:t>（单位根据实际情况填写）</w:t>
      </w:r>
    </w:p>
    <w:p>
      <w:pPr>
        <w:bidi w:val="0"/>
        <w:rPr>
          <w:rFonts w:hint="default"/>
          <w:highlight w:val="none"/>
          <w:lang w:val="en-US" w:eastAsia="zh-CN"/>
        </w:rPr>
      </w:pPr>
    </w:p>
    <w:p>
      <w:pPr>
        <w:bidi w:val="0"/>
        <w:rPr>
          <w:rFonts w:hint="default"/>
          <w:highlight w:val="none"/>
          <w:lang w:val="en-US" w:eastAsia="zh-CN"/>
        </w:rPr>
      </w:pPr>
    </w:p>
    <w:p>
      <w:pPr>
        <w:bidi w:val="0"/>
        <w:jc w:val="right"/>
        <w:rPr>
          <w:rFonts w:hint="default"/>
          <w:highlight w:val="none"/>
          <w:lang w:val="en-US" w:eastAsia="zh-CN"/>
        </w:rPr>
      </w:pPr>
      <w:r>
        <w:rPr>
          <w:rFonts w:hint="eastAsia"/>
          <w:highlight w:val="none"/>
          <w:lang w:val="en-US" w:eastAsia="zh-CN"/>
        </w:rPr>
        <w:t>连××函〔20××〕××号</w:t>
      </w:r>
    </w:p>
    <w:p>
      <w:pPr>
        <w:bidi w:val="0"/>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0"/>
          <w:szCs w:val="44"/>
          <w:highlight w:val="none"/>
        </w:rPr>
      </w:pPr>
      <w:r>
        <w:rPr>
          <w:rFonts w:hint="eastAsia" w:ascii="方正小标宋简体" w:hAnsi="方正小标宋简体" w:eastAsia="方正小标宋简体" w:cs="方正小标宋简体"/>
          <w:sz w:val="40"/>
          <w:szCs w:val="44"/>
          <w:highlight w:val="none"/>
        </w:rPr>
        <w:t>××（单位）关于申请××（建筑物、大型设备、</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0"/>
          <w:szCs w:val="44"/>
          <w:highlight w:val="none"/>
        </w:rPr>
      </w:pPr>
      <w:r>
        <w:rPr>
          <w:rFonts w:hint="eastAsia" w:ascii="方正小标宋简体" w:hAnsi="方正小标宋简体" w:eastAsia="方正小标宋简体" w:cs="方正小标宋简体"/>
          <w:sz w:val="40"/>
          <w:szCs w:val="44"/>
          <w:highlight w:val="none"/>
        </w:rPr>
        <w:t>办公设备等）××（无偿调出、出售、置换、</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0"/>
          <w:szCs w:val="44"/>
          <w:highlight w:val="none"/>
        </w:rPr>
      </w:pPr>
      <w:r>
        <w:rPr>
          <w:rFonts w:hint="eastAsia" w:ascii="方正小标宋简体" w:hAnsi="方正小标宋简体" w:eastAsia="方正小标宋简体" w:cs="方正小标宋简体"/>
          <w:sz w:val="40"/>
          <w:szCs w:val="44"/>
          <w:highlight w:val="none"/>
        </w:rPr>
        <w:t>报废、报损等方式）处置的函</w:t>
      </w:r>
    </w:p>
    <w:p>
      <w:pPr>
        <w:bidi w:val="0"/>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highlight w:val="none"/>
          <w:lang w:val="en-US" w:eastAsia="zh-CN"/>
        </w:rPr>
      </w:pPr>
      <w:r>
        <w:rPr>
          <w:rFonts w:hint="eastAsia"/>
          <w:highlight w:val="none"/>
          <w:lang w:val="en-US" w:eastAsia="zh-CN"/>
        </w:rPr>
        <w:t>（主管部门或县财政局）：</w:t>
      </w:r>
    </w:p>
    <w:p>
      <w:pPr>
        <w:ind w:firstLine="632" w:firstLineChars="200"/>
        <w:rPr>
          <w:rFonts w:hint="eastAsia"/>
          <w:highlight w:val="none"/>
        </w:rPr>
      </w:pPr>
      <w:r>
        <w:rPr>
          <w:rFonts w:hint="eastAsia"/>
          <w:highlight w:val="none"/>
        </w:rPr>
        <w:t>根据财政部《行政单位国有资产管理暂行办法》（财政部令第35号）、《事业单位国有资产管理暂行办法》（财政部令第36号）和</w:t>
      </w:r>
      <w:r>
        <w:rPr>
          <w:rFonts w:hint="eastAsia"/>
          <w:highlight w:val="none"/>
          <w:lang w:eastAsia="zh-CN"/>
        </w:rPr>
        <w:t>县</w:t>
      </w:r>
      <w:r>
        <w:rPr>
          <w:rFonts w:hint="eastAsia"/>
          <w:highlight w:val="none"/>
        </w:rPr>
        <w:t>财政局《</w:t>
      </w:r>
      <w:r>
        <w:rPr>
          <w:rFonts w:hint="eastAsia"/>
          <w:highlight w:val="none"/>
          <w:lang w:eastAsia="zh-CN"/>
        </w:rPr>
        <w:t>连平县</w:t>
      </w:r>
      <w:r>
        <w:rPr>
          <w:rFonts w:hint="eastAsia"/>
          <w:highlight w:val="none"/>
        </w:rPr>
        <w:t>行政事业单位国有资产处置管理暂行办法》(</w:t>
      </w:r>
      <w:r>
        <w:rPr>
          <w:rFonts w:hint="eastAsia"/>
          <w:highlight w:val="none"/>
          <w:lang w:val="en-US" w:eastAsia="zh-CN"/>
        </w:rPr>
        <w:t>连××〔2021〕××</w:t>
      </w:r>
      <w:r>
        <w:rPr>
          <w:rFonts w:hint="eastAsia"/>
          <w:highlight w:val="none"/>
        </w:rPr>
        <w:t>号）等资产管理有关规定，我单位（或所属单位）拟对国有资产××（资产名称）进行××（无偿调出、出售、置换、报废、报损等）处置。现就有关情况申报如下：</w:t>
      </w:r>
    </w:p>
    <w:p>
      <w:pPr>
        <w:ind w:firstLine="632" w:firstLineChars="200"/>
        <w:rPr>
          <w:rFonts w:hint="eastAsia"/>
          <w:highlight w:val="none"/>
        </w:rPr>
      </w:pPr>
      <w:r>
        <w:rPr>
          <w:rFonts w:hint="eastAsia"/>
          <w:highlight w:val="none"/>
        </w:rPr>
        <w:t>一、处置资产的基本情况。申请处置的××（资产名称）共××（数量及单位），属××（规格型号），购置于××年，已使用××年，账面价值××，×××．××元，（近期使用状况）。</w:t>
      </w:r>
    </w:p>
    <w:p>
      <w:pPr>
        <w:ind w:firstLine="632" w:firstLineChars="200"/>
        <w:rPr>
          <w:rFonts w:hint="eastAsia"/>
          <w:highlight w:val="none"/>
        </w:rPr>
      </w:pPr>
      <w:r>
        <w:rPr>
          <w:rFonts w:hint="eastAsia"/>
          <w:highlight w:val="none"/>
        </w:rPr>
        <w:t>二、该资产处置原因和方式。（针对不同的处置方式，详细阐述相应的处置理由）。现按有关规定报</w:t>
      </w:r>
      <w:r>
        <w:rPr>
          <w:rFonts w:hint="eastAsia"/>
          <w:highlight w:val="none"/>
          <w:lang w:eastAsia="zh-CN"/>
        </w:rPr>
        <w:t>贵</w:t>
      </w:r>
      <w:r>
        <w:rPr>
          <w:rFonts w:hint="eastAsia"/>
          <w:highlight w:val="none"/>
        </w:rPr>
        <w:t>局审批。</w:t>
      </w:r>
    </w:p>
    <w:p>
      <w:pPr>
        <w:ind w:firstLine="632" w:firstLineChars="200"/>
        <w:rPr>
          <w:rFonts w:hint="eastAsia"/>
          <w:highlight w:val="none"/>
        </w:rPr>
      </w:pPr>
      <w:r>
        <w:rPr>
          <w:rFonts w:hint="eastAsia"/>
          <w:highlight w:val="none"/>
        </w:rPr>
        <w:t>当否，请审批。</w:t>
      </w:r>
    </w:p>
    <w:p>
      <w:pPr>
        <w:bidi w:val="0"/>
        <w:rPr>
          <w:rFonts w:hint="default"/>
          <w:highlight w:val="none"/>
          <w:lang w:val="en-US" w:eastAsia="zh-CN"/>
        </w:rPr>
      </w:pPr>
    </w:p>
    <w:p>
      <w:pPr>
        <w:bidi w:val="0"/>
        <w:ind w:left="0" w:leftChars="0" w:firstLine="638" w:firstLineChars="202"/>
        <w:rPr>
          <w:rFonts w:hint="default"/>
          <w:highlight w:val="none"/>
          <w:lang w:val="en-US" w:eastAsia="zh-CN"/>
        </w:rPr>
      </w:pPr>
      <w:r>
        <w:rPr>
          <w:rFonts w:hint="default"/>
          <w:highlight w:val="none"/>
          <w:lang w:val="en-US" w:eastAsia="zh-CN"/>
        </w:rPr>
        <w:t>附件：1．××（单位）处置资产清单</w:t>
      </w:r>
    </w:p>
    <w:p>
      <w:pPr>
        <w:bidi w:val="0"/>
        <w:ind w:left="0" w:leftChars="0" w:firstLine="1580" w:firstLineChars="500"/>
        <w:rPr>
          <w:rFonts w:hint="default"/>
          <w:highlight w:val="none"/>
          <w:lang w:val="en-US" w:eastAsia="zh-CN"/>
        </w:rPr>
      </w:pPr>
      <w:r>
        <w:rPr>
          <w:rFonts w:hint="default"/>
          <w:highlight w:val="none"/>
          <w:lang w:val="en-US" w:eastAsia="zh-CN"/>
        </w:rPr>
        <w:t>2. ××××××××</w:t>
      </w:r>
    </w:p>
    <w:p>
      <w:pPr>
        <w:bidi w:val="0"/>
        <w:ind w:left="0" w:leftChars="0" w:firstLine="1580" w:firstLineChars="500"/>
        <w:rPr>
          <w:rFonts w:hint="default"/>
          <w:highlight w:val="none"/>
          <w:lang w:val="en-US" w:eastAsia="zh-CN"/>
        </w:rPr>
      </w:pPr>
      <w:r>
        <w:rPr>
          <w:rFonts w:hint="default"/>
          <w:highlight w:val="none"/>
          <w:lang w:val="en-US" w:eastAsia="zh-CN"/>
        </w:rPr>
        <w:t>3. ××××××××</w:t>
      </w:r>
    </w:p>
    <w:p>
      <w:pPr>
        <w:bidi w:val="0"/>
        <w:rPr>
          <w:rFonts w:hint="default"/>
          <w:highlight w:val="none"/>
          <w:lang w:val="en-US" w:eastAsia="zh-CN"/>
        </w:rPr>
      </w:pPr>
    </w:p>
    <w:p>
      <w:pPr>
        <w:bidi w:val="0"/>
        <w:rPr>
          <w:rFonts w:hint="default"/>
          <w:highlight w:val="none"/>
          <w:lang w:val="en-US" w:eastAsia="zh-CN"/>
        </w:rPr>
      </w:pPr>
    </w:p>
    <w:p>
      <w:pPr>
        <w:ind w:firstLine="4740" w:firstLineChars="1500"/>
        <w:jc w:val="both"/>
        <w:rPr>
          <w:rFonts w:hint="eastAsia"/>
          <w:highlight w:val="none"/>
        </w:rPr>
      </w:pPr>
      <w:r>
        <w:rPr>
          <w:rFonts w:hint="eastAsia"/>
          <w:highlight w:val="none"/>
        </w:rPr>
        <w:t>单位名称（公章）</w:t>
      </w:r>
    </w:p>
    <w:p>
      <w:pPr>
        <w:keepNext w:val="0"/>
        <w:keepLines w:val="0"/>
        <w:pageBreakBefore w:val="0"/>
        <w:widowControl w:val="0"/>
        <w:kinsoku/>
        <w:wordWrap/>
        <w:overflowPunct/>
        <w:topLinePunct w:val="0"/>
        <w:autoSpaceDE/>
        <w:autoSpaceDN/>
        <w:bidi w:val="0"/>
        <w:adjustRightInd/>
        <w:snapToGrid/>
        <w:ind w:right="1264" w:rightChars="400" w:firstLine="0" w:firstLineChars="0"/>
        <w:jc w:val="right"/>
        <w:textAlignment w:val="auto"/>
        <w:rPr>
          <w:rFonts w:hint="eastAsia"/>
          <w:highlight w:val="none"/>
        </w:rPr>
      </w:pPr>
      <w:r>
        <w:rPr>
          <w:rFonts w:hint="eastAsia"/>
          <w:highlight w:val="none"/>
        </w:rPr>
        <w:t>20××年××月××日</w:t>
      </w:r>
    </w:p>
    <w:p>
      <w:pPr>
        <w:ind w:firstLine="632" w:firstLineChars="200"/>
        <w:rPr>
          <w:rFonts w:hint="eastAsia"/>
          <w:highlight w:val="none"/>
        </w:rPr>
      </w:pPr>
      <w:r>
        <w:rPr>
          <w:rFonts w:hint="eastAsia"/>
          <w:highlight w:val="none"/>
        </w:rPr>
        <w:t>(联系人：×××电话：×××××××)</w:t>
      </w:r>
    </w:p>
    <w:p>
      <w:pPr>
        <w:bidi w:val="0"/>
        <w:rPr>
          <w:rFonts w:hint="default"/>
          <w:highlight w:val="none"/>
          <w:lang w:val="en-US" w:eastAsia="zh-CN"/>
        </w:rPr>
      </w:pPr>
    </w:p>
    <w:p>
      <w:pPr>
        <w:ind w:left="0" w:leftChars="0" w:firstLine="638" w:firstLineChars="202"/>
        <w:rPr>
          <w:rFonts w:hint="default"/>
          <w:highlight w:val="none"/>
          <w:lang w:val="en-US" w:eastAsia="zh-CN"/>
        </w:rPr>
      </w:pPr>
      <w:r>
        <w:rPr>
          <w:rFonts w:hint="eastAsia"/>
          <w:highlight w:val="none"/>
        </w:rPr>
        <w:t>备注：各单位应将此件提交给主管部门审核，由主管部门审核后报</w:t>
      </w:r>
      <w:r>
        <w:rPr>
          <w:rFonts w:hint="eastAsia"/>
          <w:highlight w:val="none"/>
          <w:lang w:eastAsia="zh-CN"/>
        </w:rPr>
        <w:t>县</w:t>
      </w:r>
      <w:r>
        <w:rPr>
          <w:rFonts w:hint="eastAsia"/>
          <w:highlight w:val="none"/>
        </w:rPr>
        <w:t>财政局。没有主管部门的单位直接报送</w:t>
      </w:r>
      <w:r>
        <w:rPr>
          <w:rFonts w:hint="eastAsia"/>
          <w:highlight w:val="none"/>
          <w:lang w:eastAsia="zh-CN"/>
        </w:rPr>
        <w:t>县</w:t>
      </w:r>
      <w:r>
        <w:rPr>
          <w:rFonts w:hint="eastAsia"/>
          <w:highlight w:val="none"/>
        </w:rPr>
        <w:t>财政局。</w:t>
      </w:r>
    </w:p>
    <w:p>
      <w:pPr>
        <w:bidi w:val="0"/>
        <w:rPr>
          <w:rFonts w:hint="default"/>
          <w:highlight w:val="none"/>
          <w:lang w:val="en-US" w:eastAsia="zh-CN"/>
        </w:rPr>
      </w:pPr>
    </w:p>
    <w:p>
      <w:pPr>
        <w:bidi w:val="0"/>
        <w:rPr>
          <w:rFonts w:hint="default"/>
          <w:highlight w:val="none"/>
          <w:lang w:val="en-US" w:eastAsia="zh-CN"/>
        </w:rPr>
      </w:pPr>
    </w:p>
    <w:p>
      <w:pPr>
        <w:bidi w:val="0"/>
        <w:rPr>
          <w:rFonts w:hint="default"/>
          <w:highlight w:val="none"/>
          <w:lang w:val="en-US" w:eastAsia="zh-CN"/>
        </w:rPr>
      </w:pPr>
    </w:p>
    <w:p>
      <w:pPr>
        <w:bidi w:val="0"/>
        <w:rPr>
          <w:rFonts w:hint="default"/>
          <w:highlight w:val="none"/>
          <w:lang w:val="en-US" w:eastAsia="zh-CN"/>
        </w:rPr>
      </w:pPr>
    </w:p>
    <w:p>
      <w:pPr>
        <w:bidi w:val="0"/>
        <w:rPr>
          <w:rFonts w:hint="default"/>
          <w:highlight w:val="none"/>
          <w:lang w:val="en-US" w:eastAsia="zh-CN"/>
        </w:rPr>
      </w:pPr>
    </w:p>
    <w:p>
      <w:pPr>
        <w:bidi w:val="0"/>
        <w:rPr>
          <w:rFonts w:hint="default"/>
          <w:highlight w:val="none"/>
          <w:lang w:val="en-US" w:eastAsia="zh-CN"/>
        </w:rPr>
      </w:pPr>
    </w:p>
    <w:p>
      <w:pPr>
        <w:bidi w:val="0"/>
        <w:rPr>
          <w:rFonts w:hint="default"/>
          <w:highlight w:val="none"/>
          <w:lang w:val="en-US" w:eastAsia="zh-CN"/>
        </w:rPr>
        <w:sectPr>
          <w:footerReference r:id="rId3" w:type="default"/>
          <w:pgSz w:w="11905" w:h="16838"/>
          <w:pgMar w:top="2098" w:right="1474" w:bottom="1984" w:left="1587" w:header="851" w:footer="1502" w:gutter="0"/>
          <w:pgBorders>
            <w:top w:val="none" w:sz="0" w:space="0"/>
            <w:left w:val="none" w:sz="0" w:space="0"/>
            <w:bottom w:val="none" w:sz="0" w:space="0"/>
            <w:right w:val="none" w:sz="0" w:space="0"/>
          </w:pgBorders>
          <w:pgNumType w:fmt="decimal" w:start="1"/>
          <w:cols w:space="0" w:num="1"/>
          <w:rtlGutter w:val="0"/>
          <w:docGrid w:type="linesAndChars" w:linePitch="579" w:charSpace="-849"/>
        </w:sectPr>
      </w:pPr>
    </w:p>
    <w:p>
      <w:pPr>
        <w:keepNext w:val="0"/>
        <w:keepLines w:val="0"/>
        <w:pageBreakBefore w:val="0"/>
        <w:widowControl w:val="0"/>
        <w:kinsoku/>
        <w:wordWrap/>
        <w:overflowPunct/>
        <w:topLinePunct w:val="0"/>
        <w:autoSpaceDE/>
        <w:autoSpaceDN/>
        <w:bidi w:val="0"/>
        <w:adjustRightInd/>
        <w:snapToGrid w:val="0"/>
        <w:ind w:firstLine="638" w:firstLineChars="200"/>
        <w:textAlignment w:val="auto"/>
        <w:rPr>
          <w:rFonts w:hint="eastAsia" w:ascii="黑体" w:hAnsi="黑体" w:eastAsia="黑体" w:cs="黑体"/>
          <w:highlight w:val="none"/>
        </w:rPr>
      </w:pPr>
      <w:r>
        <w:rPr>
          <w:rFonts w:hint="eastAsia" w:ascii="黑体" w:hAnsi="黑体" w:eastAsia="黑体" w:cs="黑体"/>
          <w:highlight w:val="none"/>
        </w:rPr>
        <w:t>附件1</w:t>
      </w:r>
    </w:p>
    <w:p>
      <w:pPr>
        <w:keepNext w:val="0"/>
        <w:keepLines w:val="0"/>
        <w:pageBreakBefore w:val="0"/>
        <w:widowControl w:val="0"/>
        <w:kinsoku/>
        <w:wordWrap/>
        <w:overflowPunct/>
        <w:topLinePunct w:val="0"/>
        <w:autoSpaceDE/>
        <w:autoSpaceDN/>
        <w:bidi w:val="0"/>
        <w:adjustRightInd/>
        <w:snapToGrid w:val="0"/>
        <w:ind w:left="0" w:leftChars="0" w:firstLine="641" w:firstLineChars="146"/>
        <w:jc w:val="center"/>
        <w:textAlignment w:val="auto"/>
        <w:rPr>
          <w:rFonts w:hint="eastAsia" w:ascii="黑体" w:hAnsi="黑体" w:eastAsia="黑体"/>
          <w:sz w:val="44"/>
          <w:szCs w:val="44"/>
          <w:highlight w:val="none"/>
        </w:rPr>
      </w:pPr>
      <w:r>
        <w:rPr>
          <w:rFonts w:hint="eastAsia" w:ascii="黑体" w:hAnsi="黑体" w:eastAsia="黑体"/>
          <w:sz w:val="44"/>
          <w:szCs w:val="44"/>
          <w:highlight w:val="none"/>
        </w:rPr>
        <w:t>××（单位）资产处置清单</w:t>
      </w:r>
    </w:p>
    <w:p>
      <w:pPr>
        <w:keepNext w:val="0"/>
        <w:keepLines w:val="0"/>
        <w:pageBreakBefore w:val="0"/>
        <w:widowControl w:val="0"/>
        <w:kinsoku/>
        <w:wordWrap/>
        <w:overflowPunct/>
        <w:topLinePunct w:val="0"/>
        <w:autoSpaceDE/>
        <w:autoSpaceDN/>
        <w:bidi w:val="0"/>
        <w:adjustRightInd/>
        <w:snapToGrid w:val="0"/>
        <w:ind w:left="635" w:leftChars="161" w:hanging="122" w:hangingChars="47"/>
        <w:textAlignment w:val="auto"/>
        <w:rPr>
          <w:rFonts w:hint="eastAsia"/>
          <w:sz w:val="26"/>
          <w:highlight w:val="none"/>
        </w:rPr>
      </w:pPr>
      <w:r>
        <w:rPr>
          <w:rFonts w:hint="eastAsia"/>
          <w:sz w:val="26"/>
          <w:highlight w:val="none"/>
        </w:rPr>
        <w:t>填报单位：</w:t>
      </w:r>
      <w:r>
        <w:rPr>
          <w:rFonts w:hint="eastAsia"/>
          <w:sz w:val="26"/>
          <w:highlight w:val="none"/>
          <w:lang w:eastAsia="zh-CN"/>
        </w:rPr>
        <w:t>连平县</w:t>
      </w:r>
      <w:r>
        <w:rPr>
          <w:rFonts w:hint="eastAsia"/>
          <w:sz w:val="26"/>
          <w:highlight w:val="none"/>
        </w:rPr>
        <w:t>××          主管部门：</w:t>
      </w:r>
      <w:r>
        <w:rPr>
          <w:rFonts w:hint="eastAsia"/>
          <w:sz w:val="26"/>
          <w:highlight w:val="none"/>
          <w:lang w:eastAsia="zh-CN"/>
        </w:rPr>
        <w:t>连平县</w:t>
      </w:r>
      <w:r>
        <w:rPr>
          <w:rFonts w:hint="eastAsia"/>
          <w:sz w:val="26"/>
          <w:highlight w:val="none"/>
        </w:rPr>
        <w:t xml:space="preserve">××          填报日期：××××-××-××       </w:t>
      </w:r>
      <w:r>
        <w:rPr>
          <w:rFonts w:hint="eastAsia"/>
          <w:sz w:val="26"/>
          <w:highlight w:val="none"/>
          <w:lang w:eastAsia="zh-CN"/>
        </w:rPr>
        <w:t>　</w:t>
      </w:r>
      <w:r>
        <w:rPr>
          <w:rFonts w:hint="eastAsia"/>
          <w:sz w:val="26"/>
          <w:highlight w:val="none"/>
        </w:rPr>
        <w:t>金额单位：元</w:t>
      </w:r>
    </w:p>
    <w:tbl>
      <w:tblPr>
        <w:tblStyle w:val="7"/>
        <w:tblW w:w="14285" w:type="dxa"/>
        <w:tblInd w:w="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325"/>
        <w:gridCol w:w="1305"/>
        <w:gridCol w:w="705"/>
        <w:gridCol w:w="795"/>
        <w:gridCol w:w="1350"/>
        <w:gridCol w:w="930"/>
        <w:gridCol w:w="945"/>
        <w:gridCol w:w="945"/>
        <w:gridCol w:w="915"/>
        <w:gridCol w:w="900"/>
        <w:gridCol w:w="23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序号</w:t>
            </w:r>
          </w:p>
        </w:tc>
        <w:tc>
          <w:tcPr>
            <w:tcW w:w="132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资产名称</w:t>
            </w:r>
          </w:p>
        </w:tc>
        <w:tc>
          <w:tcPr>
            <w:tcW w:w="13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型号规格</w:t>
            </w:r>
          </w:p>
        </w:tc>
        <w:tc>
          <w:tcPr>
            <w:tcW w:w="7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数</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量</w:t>
            </w:r>
          </w:p>
        </w:tc>
        <w:tc>
          <w:tcPr>
            <w:tcW w:w="79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计量</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单位</w:t>
            </w:r>
          </w:p>
        </w:tc>
        <w:tc>
          <w:tcPr>
            <w:tcW w:w="135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购置（建造）日期</w:t>
            </w:r>
          </w:p>
        </w:tc>
        <w:tc>
          <w:tcPr>
            <w:tcW w:w="2820" w:type="dxa"/>
            <w:gridSpan w:val="3"/>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r>
              <w:rPr>
                <w:rFonts w:hint="eastAsia"/>
                <w:sz w:val="24"/>
                <w:highlight w:val="none"/>
              </w:rPr>
              <w:t>账面价值</w:t>
            </w:r>
          </w:p>
        </w:tc>
        <w:tc>
          <w:tcPr>
            <w:tcW w:w="91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评估</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价值</w:t>
            </w:r>
          </w:p>
        </w:tc>
        <w:tc>
          <w:tcPr>
            <w:tcW w:w="90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处置</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形式</w:t>
            </w:r>
          </w:p>
        </w:tc>
        <w:tc>
          <w:tcPr>
            <w:tcW w:w="234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处置原因</w:t>
            </w:r>
          </w:p>
        </w:tc>
        <w:tc>
          <w:tcPr>
            <w:tcW w:w="108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32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9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3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原值</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已提</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折旧</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净值</w:t>
            </w:r>
          </w:p>
        </w:tc>
        <w:tc>
          <w:tcPr>
            <w:tcW w:w="91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234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1</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联想电脑</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启天M440</w:t>
            </w: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1</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台</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1995/10/25</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5680</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报废</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已到报废期限、无法使用</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杂物房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2</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打印机</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爱普生</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1600K</w:t>
            </w: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1</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台</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2010/5/1</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7500</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r>
              <w:rPr>
                <w:rFonts w:hint="eastAsia"/>
                <w:sz w:val="24"/>
                <w:highlight w:val="none"/>
              </w:rPr>
              <w:t>1000</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出售</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r>
              <w:rPr>
                <w:rFonts w:hint="eastAsia"/>
                <w:sz w:val="24"/>
                <w:highlight w:val="none"/>
              </w:rPr>
              <w:t>已到报废期限，残旧</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3</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4</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5</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仿宋_GB2312"/>
                <w:sz w:val="24"/>
                <w:highlight w:val="none"/>
                <w:lang w:val="en-US" w:eastAsia="zh-CN"/>
              </w:rPr>
            </w:pPr>
            <w:r>
              <w:rPr>
                <w:rFonts w:hint="eastAsia"/>
                <w:sz w:val="24"/>
                <w:highlight w:val="none"/>
                <w:lang w:val="en-US" w:eastAsia="zh-CN"/>
              </w:rPr>
              <w:t>6</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仿宋_GB2312"/>
                <w:sz w:val="24"/>
                <w:highlight w:val="none"/>
                <w:lang w:val="en-US" w:eastAsia="zh-CN"/>
              </w:rPr>
            </w:pPr>
            <w:r>
              <w:rPr>
                <w:rFonts w:hint="eastAsia"/>
                <w:sz w:val="24"/>
                <w:highlight w:val="none"/>
                <w:lang w:val="en-US" w:eastAsia="zh-CN"/>
              </w:rPr>
              <w:t>7</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仿宋_GB2312"/>
                <w:sz w:val="24"/>
                <w:highlight w:val="none"/>
                <w:lang w:val="en-US" w:eastAsia="zh-CN"/>
              </w:rPr>
            </w:pPr>
            <w:r>
              <w:rPr>
                <w:rFonts w:hint="eastAsia"/>
                <w:sz w:val="24"/>
                <w:highlight w:val="none"/>
                <w:lang w:val="en-US" w:eastAsia="zh-CN"/>
              </w:rPr>
              <w:t>8</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仿宋_GB2312"/>
                <w:sz w:val="24"/>
                <w:highlight w:val="none"/>
                <w:lang w:val="en-US" w:eastAsia="zh-CN"/>
              </w:rPr>
            </w:pPr>
            <w:r>
              <w:rPr>
                <w:rFonts w:hint="eastAsia"/>
                <w:sz w:val="24"/>
                <w:highlight w:val="none"/>
                <w:lang w:val="en-US" w:eastAsia="zh-CN"/>
              </w:rPr>
              <w:t>9</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仿宋_GB2312"/>
                <w:sz w:val="24"/>
                <w:highlight w:val="none"/>
                <w:lang w:val="en-US" w:eastAsia="zh-CN"/>
              </w:rPr>
            </w:pPr>
            <w:r>
              <w:rPr>
                <w:rFonts w:hint="eastAsia"/>
                <w:sz w:val="24"/>
                <w:highlight w:val="none"/>
                <w:lang w:val="en-US" w:eastAsia="zh-CN"/>
              </w:rPr>
              <w:t>10</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合计</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说明</w:t>
            </w:r>
          </w:p>
        </w:tc>
        <w:tc>
          <w:tcPr>
            <w:tcW w:w="13535" w:type="dxa"/>
            <w:gridSpan w:val="12"/>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r>
              <w:rPr>
                <w:rFonts w:hint="eastAsia"/>
                <w:sz w:val="24"/>
                <w:highlight w:val="none"/>
              </w:rPr>
              <w:t>1．处置形式：是指国有资产无偿调出、出售（出让、转让）、置换、报废、报损以及货币性资产损失核销等。</w:t>
            </w: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r>
              <w:rPr>
                <w:rFonts w:hint="eastAsia"/>
                <w:sz w:val="24"/>
                <w:highlight w:val="none"/>
              </w:rPr>
              <w:t>2．本表一式三份：填报单位一份、主管部门、财政部门各一份。</w:t>
            </w:r>
          </w:p>
          <w:p>
            <w:pPr>
              <w:keepNext w:val="0"/>
              <w:keepLines w:val="0"/>
              <w:pageBreakBefore w:val="0"/>
              <w:widowControl w:val="0"/>
              <w:kinsoku/>
              <w:wordWrap/>
              <w:overflowPunct/>
              <w:topLinePunct w:val="0"/>
              <w:autoSpaceDE/>
              <w:autoSpaceDN/>
              <w:bidi w:val="0"/>
              <w:adjustRightInd/>
              <w:snapToGrid w:val="0"/>
              <w:textAlignment w:val="auto"/>
              <w:rPr>
                <w:sz w:val="24"/>
                <w:highlight w:val="none"/>
              </w:rPr>
            </w:pPr>
            <w:r>
              <w:rPr>
                <w:rFonts w:hint="eastAsia"/>
                <w:sz w:val="24"/>
                <w:highlight w:val="none"/>
              </w:rPr>
              <w:t>3．此表栏数不够的，可自行增加栏数或另附明细表。</w:t>
            </w:r>
          </w:p>
        </w:tc>
      </w:tr>
    </w:tbl>
    <w:p>
      <w:pPr>
        <w:bidi w:val="0"/>
        <w:rPr>
          <w:rFonts w:hint="default"/>
          <w:highlight w:val="none"/>
          <w:lang w:val="en-US" w:eastAsia="zh-CN"/>
        </w:rPr>
        <w:sectPr>
          <w:headerReference r:id="rId4" w:type="default"/>
          <w:footerReference r:id="rId5" w:type="default"/>
          <w:pgSz w:w="16838" w:h="11905" w:orient="landscape"/>
          <w:pgMar w:top="1247" w:right="998" w:bottom="1400" w:left="1202" w:header="851" w:footer="1502" w:gutter="0"/>
          <w:pgBorders>
            <w:top w:val="none" w:sz="0" w:space="0"/>
            <w:left w:val="none" w:sz="0" w:space="0"/>
            <w:bottom w:val="none" w:sz="0" w:space="0"/>
            <w:right w:val="none" w:sz="0" w:space="0"/>
          </w:pgBorders>
          <w:pgNumType w:fmt="decimal"/>
          <w:cols w:space="0" w:num="1"/>
          <w:rtlGutter w:val="0"/>
          <w:docGrid w:type="linesAndChars" w:linePitch="589" w:charSpace="-366"/>
        </w:sectPr>
      </w:pPr>
    </w:p>
    <w:p>
      <w:pPr>
        <w:rPr>
          <w:rFonts w:hint="eastAsia" w:ascii="黑体" w:hAnsi="黑体" w:eastAsia="黑体" w:cs="黑体"/>
          <w:highlight w:val="none"/>
        </w:rPr>
      </w:pPr>
      <w:r>
        <w:rPr>
          <w:rFonts w:hint="eastAsia" w:ascii="黑体" w:hAnsi="黑体" w:eastAsia="黑体" w:cs="黑体"/>
          <w:highlight w:val="none"/>
        </w:rPr>
        <w:t>附件3</w:t>
      </w:r>
    </w:p>
    <w:p>
      <w:pPr>
        <w:rPr>
          <w:rFonts w:hint="eastAsia" w:ascii="黑体" w:hAnsi="黑体" w:eastAsia="黑体" w:cs="黑体"/>
          <w:highlight w:val="none"/>
        </w:rPr>
      </w:pPr>
    </w:p>
    <w:p>
      <w:pPr>
        <w:jc w:val="center"/>
        <w:rPr>
          <w:rFonts w:hint="eastAsia" w:ascii="黑体" w:hAnsi="黑体" w:eastAsia="黑体" w:cs="黑体"/>
          <w:highlight w:val="none"/>
        </w:rPr>
      </w:pPr>
      <w:r>
        <w:rPr>
          <w:rFonts w:hint="eastAsia" w:ascii="黑体" w:hAnsi="黑体" w:eastAsia="黑体" w:cs="黑体"/>
          <w:highlight w:val="none"/>
        </w:rPr>
        <w:t>行政事业公务用车处置申报函件通用格式</w:t>
      </w:r>
    </w:p>
    <w:p>
      <w:pPr>
        <w:bidi w:val="0"/>
        <w:rPr>
          <w:rFonts w:hint="default"/>
          <w:highlight w:val="none"/>
          <w:lang w:val="en-US" w:eastAsia="zh-CN"/>
        </w:rPr>
      </w:pPr>
    </w:p>
    <w:p>
      <w:pPr>
        <w:bidi w:val="0"/>
        <w:rPr>
          <w:rFonts w:hint="default"/>
          <w:highlight w:val="none"/>
          <w:lang w:val="en-US" w:eastAsia="zh-CN"/>
        </w:rPr>
      </w:pPr>
    </w:p>
    <w:p>
      <w:pPr>
        <w:bidi w:val="0"/>
        <w:jc w:val="right"/>
        <w:rPr>
          <w:rFonts w:hint="default"/>
          <w:highlight w:val="none"/>
          <w:lang w:val="en-US" w:eastAsia="zh-CN"/>
        </w:rPr>
      </w:pPr>
      <w:r>
        <w:rPr>
          <w:rFonts w:hint="default"/>
          <w:highlight w:val="none"/>
          <w:lang w:val="en-US" w:eastAsia="zh-CN"/>
        </w:rPr>
        <w:t>连××函〔20××〕××号</w:t>
      </w:r>
    </w:p>
    <w:p>
      <w:pPr>
        <w:bidi w:val="0"/>
        <w:jc w:val="right"/>
        <w:rPr>
          <w:rFonts w:hint="default"/>
          <w:highlight w:val="none"/>
          <w:lang w:val="en-US" w:eastAsia="zh-CN"/>
        </w:rPr>
      </w:pPr>
    </w:p>
    <w:p>
      <w:pPr>
        <w:bidi w:val="0"/>
        <w:jc w:val="right"/>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××（单位）关于申请公务用车报废处置的函</w:t>
      </w:r>
    </w:p>
    <w:p>
      <w:pPr>
        <w:keepNext w:val="0"/>
        <w:keepLines w:val="0"/>
        <w:pageBreakBefore w:val="0"/>
        <w:widowControl w:val="0"/>
        <w:kinsoku/>
        <w:wordWrap/>
        <w:overflowPunct/>
        <w:topLinePunct w:val="0"/>
        <w:autoSpaceDE/>
        <w:autoSpaceDN/>
        <w:bidi w:val="0"/>
        <w:adjustRightInd/>
        <w:snapToGrid w:val="0"/>
        <w:textAlignment w:val="auto"/>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highlight w:val="none"/>
          <w:lang w:val="en-US" w:eastAsia="zh-CN"/>
        </w:rPr>
      </w:pPr>
      <w:r>
        <w:rPr>
          <w:rFonts w:hint="default"/>
          <w:highlight w:val="none"/>
          <w:lang w:val="en-US" w:eastAsia="zh-CN"/>
        </w:rPr>
        <w:t>县财政局：</w:t>
      </w:r>
    </w:p>
    <w:p>
      <w:pPr>
        <w:ind w:firstLine="632" w:firstLineChars="200"/>
        <w:rPr>
          <w:rFonts w:hint="eastAsia"/>
          <w:highlight w:val="none"/>
        </w:rPr>
      </w:pPr>
      <w:r>
        <w:rPr>
          <w:rFonts w:hint="eastAsia"/>
          <w:highlight w:val="none"/>
        </w:rPr>
        <w:t>根据《</w:t>
      </w:r>
      <w:r>
        <w:rPr>
          <w:rFonts w:hint="eastAsia"/>
          <w:highlight w:val="none"/>
          <w:lang w:eastAsia="zh-CN"/>
        </w:rPr>
        <w:t>连平县</w:t>
      </w:r>
      <w:r>
        <w:rPr>
          <w:rFonts w:hint="eastAsia"/>
          <w:highlight w:val="none"/>
        </w:rPr>
        <w:t>行政事业单位国有资产处置管理暂行办法》（</w:t>
      </w:r>
      <w:r>
        <w:rPr>
          <w:rFonts w:hint="eastAsia"/>
          <w:highlight w:val="none"/>
          <w:lang w:eastAsia="zh-CN"/>
        </w:rPr>
        <w:t>连</w:t>
      </w:r>
      <w:r>
        <w:rPr>
          <w:rFonts w:hint="eastAsia"/>
          <w:highlight w:val="none"/>
        </w:rPr>
        <w:t>××〔20</w:t>
      </w:r>
      <w:r>
        <w:rPr>
          <w:rFonts w:hint="eastAsia"/>
          <w:highlight w:val="none"/>
          <w:lang w:val="en-US" w:eastAsia="zh-CN"/>
        </w:rPr>
        <w:t>21</w:t>
      </w:r>
      <w:r>
        <w:rPr>
          <w:rFonts w:hint="eastAsia"/>
          <w:highlight w:val="none"/>
        </w:rPr>
        <w:t>〕</w:t>
      </w:r>
      <w:r>
        <w:rPr>
          <w:rFonts w:hint="eastAsia"/>
          <w:highlight w:val="none"/>
          <w:lang w:val="en-US" w:eastAsia="zh-CN"/>
        </w:rPr>
        <w:t>××</w:t>
      </w:r>
      <w:r>
        <w:rPr>
          <w:rFonts w:hint="eastAsia"/>
          <w:highlight w:val="none"/>
        </w:rPr>
        <w:t>号）等资产管理有关规定，我单位（或所属单位）经党组会议研究，拟对公务用车粤PXXXXX进行××报废处置。现就有关情况申报如下：</w:t>
      </w:r>
    </w:p>
    <w:p>
      <w:pPr>
        <w:ind w:firstLine="632" w:firstLineChars="200"/>
        <w:rPr>
          <w:rFonts w:hint="eastAsia"/>
          <w:highlight w:val="none"/>
        </w:rPr>
      </w:pPr>
      <w:r>
        <w:rPr>
          <w:rFonts w:hint="eastAsia"/>
          <w:highlight w:val="none"/>
        </w:rPr>
        <w:t>一、处置车辆基本情况。申请处置的公务用车粤PXXXXX车辆类型××××××，品牌型号×××××，车辆识别代号XXXXXX.购买于××××年××月××日，已使用××年，超过使用年限×年；目前行驶里程××万公里；该车原价值××，×××．××元。</w:t>
      </w:r>
    </w:p>
    <w:p>
      <w:pPr>
        <w:ind w:firstLine="632" w:firstLineChars="200"/>
        <w:rPr>
          <w:rFonts w:hint="eastAsia"/>
          <w:highlight w:val="none"/>
        </w:rPr>
        <w:sectPr>
          <w:headerReference r:id="rId6" w:type="default"/>
          <w:footerReference r:id="rId7" w:type="default"/>
          <w:pgSz w:w="11905" w:h="16838"/>
          <w:pgMar w:top="2098" w:right="1474" w:bottom="1984" w:left="1587" w:header="851" w:footer="1502" w:gutter="0"/>
          <w:pgBorders>
            <w:top w:val="none" w:sz="0" w:space="0"/>
            <w:left w:val="none" w:sz="0" w:space="0"/>
            <w:bottom w:val="none" w:sz="0" w:space="0"/>
            <w:right w:val="none" w:sz="0" w:space="0"/>
          </w:pgBorders>
          <w:pgNumType w:fmt="decimal"/>
          <w:cols w:space="0" w:num="1"/>
          <w:rtlGutter w:val="0"/>
          <w:docGrid w:type="linesAndChars" w:linePitch="579" w:charSpace="-849"/>
        </w:sectPr>
      </w:pPr>
      <w:r>
        <w:rPr>
          <w:rFonts w:hint="eastAsia"/>
          <w:highlight w:val="none"/>
        </w:rPr>
        <w:t>二、车辆处置原因和方式。（针对不同的处置方式，阐述相应的处置理由，如已达到报废年限，汽车部件损耗严重，车况差，</w:t>
      </w:r>
    </w:p>
    <w:p>
      <w:pPr>
        <w:rPr>
          <w:rFonts w:hint="eastAsia"/>
          <w:highlight w:val="none"/>
        </w:rPr>
      </w:pPr>
      <w:r>
        <w:rPr>
          <w:rFonts w:hint="eastAsia"/>
          <w:highlight w:val="none"/>
        </w:rPr>
        <w:t>行驶安全性低，维修成本高，油耗大，使用成本高……）。现按有关规定报</w:t>
      </w:r>
      <w:r>
        <w:rPr>
          <w:rFonts w:hint="eastAsia"/>
          <w:highlight w:val="none"/>
          <w:lang w:eastAsia="zh-CN"/>
        </w:rPr>
        <w:t>贵</w:t>
      </w:r>
      <w:r>
        <w:rPr>
          <w:rFonts w:hint="eastAsia"/>
          <w:highlight w:val="none"/>
        </w:rPr>
        <w:t>局审批。</w:t>
      </w:r>
    </w:p>
    <w:p>
      <w:pPr>
        <w:ind w:firstLine="632" w:firstLineChars="200"/>
        <w:rPr>
          <w:rFonts w:hint="eastAsia"/>
          <w:highlight w:val="none"/>
        </w:rPr>
      </w:pPr>
      <w:r>
        <w:rPr>
          <w:rFonts w:hint="eastAsia"/>
          <w:highlight w:val="none"/>
        </w:rPr>
        <w:t>当否，请审批。</w:t>
      </w:r>
    </w:p>
    <w:p>
      <w:pPr>
        <w:ind w:firstLine="632" w:firstLineChars="200"/>
        <w:rPr>
          <w:rFonts w:hint="eastAsia"/>
          <w:highlight w:val="none"/>
        </w:rPr>
      </w:pPr>
    </w:p>
    <w:p>
      <w:pPr>
        <w:ind w:firstLine="632" w:firstLineChars="200"/>
        <w:rPr>
          <w:rFonts w:hint="eastAsia"/>
          <w:highlight w:val="none"/>
        </w:rPr>
      </w:pPr>
      <w:r>
        <w:rPr>
          <w:rFonts w:hint="eastAsia"/>
          <w:highlight w:val="none"/>
        </w:rPr>
        <w:t>附件：1．车辆行驶证 复印件</w:t>
      </w:r>
    </w:p>
    <w:p>
      <w:pPr>
        <w:ind w:firstLine="632" w:firstLineChars="200"/>
        <w:rPr>
          <w:rFonts w:hint="eastAsia"/>
          <w:highlight w:val="none"/>
        </w:rPr>
      </w:pPr>
      <w:r>
        <w:rPr>
          <w:rFonts w:hint="eastAsia"/>
          <w:highlight w:val="none"/>
        </w:rPr>
        <w:t xml:space="preserve">      2．车辆外观照片</w:t>
      </w:r>
    </w:p>
    <w:p>
      <w:pPr>
        <w:ind w:left="0" w:leftChars="0" w:firstLine="1583" w:firstLineChars="501"/>
        <w:rPr>
          <w:rFonts w:hint="eastAsia"/>
          <w:highlight w:val="none"/>
        </w:rPr>
      </w:pPr>
      <w:r>
        <w:rPr>
          <w:rFonts w:hint="eastAsia"/>
          <w:highlight w:val="none"/>
        </w:rPr>
        <w:t>3．……</w:t>
      </w:r>
    </w:p>
    <w:p>
      <w:pPr>
        <w:ind w:left="0" w:leftChars="0" w:firstLine="1583" w:firstLineChars="501"/>
        <w:rPr>
          <w:rFonts w:hint="eastAsia"/>
          <w:highlight w:val="none"/>
        </w:rPr>
      </w:pPr>
    </w:p>
    <w:p>
      <w:pPr>
        <w:ind w:left="0" w:leftChars="0" w:firstLine="1583" w:firstLineChars="501"/>
        <w:rPr>
          <w:rFonts w:hint="eastAsia"/>
          <w:highlight w:val="none"/>
        </w:rPr>
      </w:pPr>
    </w:p>
    <w:p>
      <w:pPr>
        <w:keepNext w:val="0"/>
        <w:keepLines w:val="0"/>
        <w:pageBreakBefore w:val="0"/>
        <w:widowControl w:val="0"/>
        <w:kinsoku/>
        <w:wordWrap/>
        <w:overflowPunct/>
        <w:topLinePunct w:val="0"/>
        <w:autoSpaceDE/>
        <w:autoSpaceDN/>
        <w:bidi w:val="0"/>
        <w:adjustRightInd/>
        <w:snapToGrid/>
        <w:ind w:right="1264" w:rightChars="400" w:firstLine="632" w:firstLineChars="200"/>
        <w:jc w:val="right"/>
        <w:textAlignment w:val="auto"/>
        <w:rPr>
          <w:rFonts w:hint="eastAsia"/>
          <w:highlight w:val="none"/>
        </w:rPr>
      </w:pPr>
      <w:r>
        <w:rPr>
          <w:rFonts w:hint="eastAsia"/>
          <w:highlight w:val="none"/>
        </w:rPr>
        <w:t>××××××（单位）</w:t>
      </w:r>
    </w:p>
    <w:p>
      <w:pPr>
        <w:keepNext w:val="0"/>
        <w:keepLines w:val="0"/>
        <w:pageBreakBefore w:val="0"/>
        <w:widowControl w:val="0"/>
        <w:kinsoku/>
        <w:wordWrap/>
        <w:overflowPunct/>
        <w:topLinePunct w:val="0"/>
        <w:autoSpaceDE/>
        <w:autoSpaceDN/>
        <w:bidi w:val="0"/>
        <w:adjustRightInd/>
        <w:snapToGrid/>
        <w:ind w:right="1264" w:rightChars="400" w:firstLine="632" w:firstLineChars="200"/>
        <w:jc w:val="right"/>
        <w:textAlignment w:val="auto"/>
        <w:rPr>
          <w:rFonts w:hint="eastAsia"/>
          <w:highlight w:val="none"/>
        </w:rPr>
      </w:pPr>
      <w:r>
        <w:rPr>
          <w:rFonts w:hint="eastAsia"/>
          <w:highlight w:val="none"/>
        </w:rPr>
        <w:t>20××年××月××日</w:t>
      </w:r>
    </w:p>
    <w:p>
      <w:pPr>
        <w:bidi w:val="0"/>
        <w:ind w:left="0" w:leftChars="0" w:firstLine="632" w:firstLineChars="200"/>
        <w:rPr>
          <w:rFonts w:hint="default"/>
          <w:highlight w:val="none"/>
          <w:lang w:val="en-US" w:eastAsia="zh-CN"/>
        </w:rPr>
      </w:pPr>
      <w:r>
        <w:rPr>
          <w:rFonts w:hint="default"/>
          <w:highlight w:val="none"/>
          <w:lang w:val="en-US" w:eastAsia="zh-CN"/>
        </w:rPr>
        <w:t>（联系人：×××电话：×××××××）</w:t>
      </w:r>
    </w:p>
    <w:p>
      <w:pPr>
        <w:bidi w:val="0"/>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color w:val="auto"/>
          <w:highlight w:val="none"/>
          <w:lang w:val="en-US" w:eastAsia="zh-CN"/>
        </w:rPr>
      </w:pPr>
      <w:r>
        <w:rPr>
          <w:rFonts w:hint="default"/>
          <w:color w:val="auto"/>
          <w:highlight w:val="none"/>
          <w:lang w:val="en-US" w:eastAsia="zh-CN"/>
        </w:rPr>
        <w:t>备注：各单位应将此件提交给主管部门审核，由主管部门审核后报县财政局。没有主管部门的单位直接报送县财政局。</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highlight w:val="none"/>
          <w:lang w:val="en-US" w:eastAsia="zh-CN"/>
        </w:rPr>
        <w:sectPr>
          <w:headerReference r:id="rId8" w:type="default"/>
          <w:pgSz w:w="11905" w:h="16838"/>
          <w:pgMar w:top="2098" w:right="1474" w:bottom="1984" w:left="1587" w:header="851" w:footer="1502" w:gutter="0"/>
          <w:pgBorders>
            <w:top w:val="none" w:sz="0" w:space="0"/>
            <w:left w:val="none" w:sz="0" w:space="0"/>
            <w:bottom w:val="none" w:sz="0" w:space="0"/>
            <w:right w:val="none" w:sz="0" w:space="0"/>
          </w:pgBorders>
          <w:pgNumType w:fmt="decimal"/>
          <w:cols w:space="0" w:num="1"/>
          <w:rtlGutter w:val="0"/>
          <w:docGrid w:type="linesAndChars" w:linePitch="579" w:charSpace="-849"/>
        </w:sect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highlight w:val="none"/>
          <w:lang w:val="en-US" w:eastAsia="zh-CN"/>
        </w:rPr>
      </w:pPr>
      <w:r>
        <w:rPr>
          <w:rFonts w:hint="eastAsia" w:ascii="黑体" w:hAnsi="黑体" w:eastAsia="黑体" w:cs="黑体"/>
          <w:highlight w:val="none"/>
          <w:lang w:val="en-US" w:eastAsia="zh-CN"/>
        </w:rPr>
        <w:t>附件4：</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highlight w:val="no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highlight w:val="none"/>
          <w:lang w:val="en-US" w:eastAsia="zh-CN"/>
        </w:rPr>
      </w:pPr>
      <w:r>
        <w:rPr>
          <w:rFonts w:hint="eastAsia" w:ascii="黑体" w:hAnsi="黑体" w:eastAsia="黑体" w:cs="黑体"/>
          <w:highlight w:val="none"/>
          <w:lang w:val="en-US" w:eastAsia="zh-CN"/>
        </w:rPr>
        <w:t>行政事业单位主管部门审核函件通用格式</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highlight w:val="none"/>
          <w:lang w:val="en-US" w:eastAsia="zh-CN"/>
        </w:rPr>
      </w:pPr>
      <w:r>
        <w:rPr>
          <w:rFonts w:hint="eastAsia"/>
          <w:highlight w:val="none"/>
          <w:lang w:val="en-US" w:eastAsia="zh-CN"/>
        </w:rPr>
        <w:t>连××函〔20××〕××号</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关于商请×××单位处置部分国有资产的函</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highlight w:val="none"/>
          <w:lang w:val="en-US" w:eastAsia="zh-CN"/>
        </w:rPr>
      </w:pPr>
      <w:r>
        <w:rPr>
          <w:rFonts w:hint="eastAsia"/>
          <w:highlight w:val="none"/>
          <w:lang w:val="en-US" w:eastAsia="zh-CN"/>
        </w:rPr>
        <w:t>县财政局：</w:t>
      </w:r>
    </w:p>
    <w:p>
      <w:pPr>
        <w:keepNext w:val="0"/>
        <w:keepLines w:val="0"/>
        <w:widowControl w:val="0"/>
        <w:suppressLineNumbers w:val="0"/>
        <w:spacing w:before="0" w:beforeAutospacing="0" w:after="0" w:afterAutospacing="0"/>
        <w:ind w:left="0" w:leftChars="0" w:right="0" w:firstLine="638" w:firstLineChars="202"/>
        <w:jc w:val="both"/>
        <w:rPr>
          <w:rFonts w:hint="eastAsia"/>
          <w:highlight w:val="none"/>
          <w:lang w:val="en-US" w:eastAsia="zh-CN"/>
        </w:rPr>
      </w:pPr>
      <w:r>
        <w:rPr>
          <w:rFonts w:hint="eastAsia"/>
          <w:highlight w:val="none"/>
          <w:lang w:val="en-US" w:eastAsia="zh-CN"/>
        </w:rPr>
        <w:t>我局下属×××事业单位通过×××文上报，拟处置国有资产合计×××元。经核，该单位处置申报手续齐备、资料齐全，经研究，我局拟同意该单位（无偿调出、出售、置换、报废、报损等）×××，数量×××，账面价值××,×××.××元。现根据《连平县行政、企事业单位国有资产管理暂行办法》(连府办〔2005〕123号）和《连平县行政事业单位国有资产处置管理暂行办法》(</w:t>
      </w:r>
      <w:r>
        <w:rPr>
          <w:rFonts w:hint="eastAsia" w:ascii="仿宋_GB2312" w:hAnsi="仿宋_GB2312" w:eastAsia="仿宋_GB2312" w:cs="仿宋_GB2312"/>
          <w:kern w:val="21"/>
          <w:sz w:val="32"/>
          <w:szCs w:val="32"/>
          <w:lang w:val="en-US" w:eastAsia="zh-CN" w:bidi="ar"/>
        </w:rPr>
        <w:t>连××〔2021〕××号</w:t>
      </w:r>
      <w:r>
        <w:rPr>
          <w:rFonts w:hint="eastAsia"/>
          <w:highlight w:val="none"/>
          <w:lang w:val="en-US" w:eastAsia="zh-CN"/>
        </w:rPr>
        <w:t>）的有关规定，现报贵局审批。</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请批复。</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val="0"/>
        <w:ind w:left="0" w:leftChars="0" w:firstLine="632" w:firstLineChars="200"/>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sectPr>
          <w:headerReference r:id="rId9" w:type="default"/>
          <w:pgSz w:w="11905" w:h="16838"/>
          <w:pgMar w:top="2098" w:right="1474" w:bottom="1984" w:left="1587" w:header="851" w:footer="1502" w:gutter="0"/>
          <w:pgBorders>
            <w:top w:val="none" w:sz="0" w:space="0"/>
            <w:left w:val="none" w:sz="0" w:space="0"/>
            <w:bottom w:val="none" w:sz="0" w:space="0"/>
            <w:right w:val="none" w:sz="0" w:space="0"/>
          </w:pgBorders>
          <w:pgNumType w:fmt="decimal"/>
          <w:cols w:space="0" w:num="1"/>
          <w:rtlGutter w:val="0"/>
          <w:docGrid w:type="linesAndChars" w:linePitch="579" w:charSpace="-849"/>
        </w:sectPr>
      </w:pP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r>
        <w:rPr>
          <w:rFonts w:hint="eastAsia"/>
          <w:highlight w:val="none"/>
          <w:lang w:val="en-US" w:eastAsia="zh-CN"/>
        </w:rPr>
        <w:t>附：×××单位处置申请函及相关附件</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ind w:left="0" w:leftChars="0" w:right="1264" w:rightChars="400" w:firstLine="632" w:firstLineChars="200"/>
        <w:jc w:val="right"/>
        <w:textAlignment w:val="auto"/>
        <w:rPr>
          <w:rFonts w:hint="eastAsia"/>
          <w:highlight w:val="none"/>
          <w:lang w:val="en-US" w:eastAsia="zh-CN"/>
        </w:rPr>
      </w:pPr>
      <w:r>
        <w:rPr>
          <w:rFonts w:hint="eastAsia"/>
          <w:highlight w:val="none"/>
          <w:lang w:val="en-US" w:eastAsia="zh-CN"/>
        </w:rPr>
        <w:t>××××××（单位）</w:t>
      </w:r>
    </w:p>
    <w:p>
      <w:pPr>
        <w:keepNext w:val="0"/>
        <w:keepLines w:val="0"/>
        <w:pageBreakBefore w:val="0"/>
        <w:widowControl w:val="0"/>
        <w:kinsoku/>
        <w:wordWrap/>
        <w:overflowPunct/>
        <w:topLinePunct w:val="0"/>
        <w:autoSpaceDE/>
        <w:autoSpaceDN/>
        <w:bidi w:val="0"/>
        <w:adjustRightInd/>
        <w:snapToGrid/>
        <w:ind w:left="0" w:leftChars="0" w:right="1264" w:rightChars="400" w:firstLine="632" w:firstLineChars="200"/>
        <w:jc w:val="right"/>
        <w:textAlignment w:val="auto"/>
        <w:rPr>
          <w:rFonts w:hint="eastAsia"/>
          <w:highlight w:val="none"/>
          <w:lang w:val="en-US" w:eastAsia="zh-CN"/>
        </w:rPr>
      </w:pPr>
      <w:r>
        <w:rPr>
          <w:rFonts w:hint="eastAsia"/>
          <w:highlight w:val="none"/>
          <w:lang w:val="en-US" w:eastAsia="zh-CN"/>
        </w:rPr>
        <w:t>20××年××月××日</w:t>
      </w:r>
    </w:p>
    <w:p>
      <w:pPr>
        <w:keepNext w:val="0"/>
        <w:keepLines w:val="0"/>
        <w:pageBreakBefore w:val="0"/>
        <w:widowControl w:val="0"/>
        <w:kinsoku/>
        <w:wordWrap/>
        <w:overflowPunct/>
        <w:topLinePunct w:val="0"/>
        <w:autoSpaceDE/>
        <w:autoSpaceDN/>
        <w:bidi w:val="0"/>
        <w:adjustRightInd/>
        <w:snapToGrid/>
        <w:ind w:left="0" w:leftChars="0" w:firstLine="632" w:firstLineChars="200"/>
        <w:jc w:val="both"/>
        <w:textAlignment w:val="auto"/>
        <w:rPr>
          <w:rFonts w:hint="eastAsia"/>
          <w:highlight w:val="none"/>
          <w:lang w:val="en-US" w:eastAsia="zh-CN"/>
        </w:rPr>
      </w:pPr>
      <w:r>
        <w:rPr>
          <w:rFonts w:hint="eastAsia"/>
          <w:highlight w:val="none"/>
          <w:lang w:val="en-US" w:eastAsia="zh-CN"/>
        </w:rPr>
        <w:t>（联系人：×××  电话：×××××××）</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sectPr>
          <w:headerReference r:id="rId10" w:type="default"/>
          <w:pgSz w:w="11905" w:h="16838"/>
          <w:pgMar w:top="2098" w:right="1474" w:bottom="1984" w:left="1587" w:header="851" w:footer="1502" w:gutter="0"/>
          <w:pgBorders>
            <w:top w:val="none" w:sz="0" w:space="0"/>
            <w:left w:val="none" w:sz="0" w:space="0"/>
            <w:bottom w:val="none" w:sz="0" w:space="0"/>
            <w:right w:val="none" w:sz="0" w:space="0"/>
          </w:pgBorders>
          <w:pgNumType w:fmt="decimal"/>
          <w:cols w:space="0" w:num="1"/>
          <w:rtlGutter w:val="0"/>
          <w:docGrid w:type="linesAndChars" w:linePitch="579" w:charSpace="-849"/>
        </w:sect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highlight w:val="none"/>
          <w:lang w:val="en-US" w:eastAsia="zh-CN"/>
        </w:rPr>
      </w:pPr>
      <w:r>
        <w:rPr>
          <w:rFonts w:hint="eastAsia" w:ascii="黑体" w:hAnsi="黑体" w:eastAsia="黑体" w:cs="黑体"/>
          <w:highlight w:val="none"/>
          <w:lang w:val="en-US" w:eastAsia="zh-CN"/>
        </w:rPr>
        <w:t>附件5：</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highlight w:val="none"/>
          <w:lang w:val="en-US" w:eastAsia="zh-CN"/>
        </w:rPr>
      </w:pPr>
      <w:r>
        <w:rPr>
          <w:rFonts w:hint="eastAsia" w:ascii="黑体" w:hAnsi="黑体" w:eastAsia="黑体" w:cs="黑体"/>
          <w:highlight w:val="none"/>
          <w:lang w:val="en-US" w:eastAsia="zh-CN"/>
        </w:rPr>
        <w:t>行政事业单位主管部门或财政部门批复函件参考格式</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highlight w:val="none"/>
          <w:lang w:val="en-US" w:eastAsia="zh-CN"/>
        </w:rPr>
      </w:pPr>
      <w:r>
        <w:rPr>
          <w:rFonts w:hint="eastAsia"/>
          <w:highlight w:val="none"/>
          <w:lang w:val="en-US" w:eastAsia="zh-CN"/>
        </w:rPr>
        <w:t>连××函〔20××〕××号</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关于同意×××单位处置部分国有资产的复函</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highlight w:val="none"/>
          <w:lang w:val="en-US" w:eastAsia="zh-CN"/>
        </w:rPr>
      </w:pPr>
      <w:r>
        <w:rPr>
          <w:rFonts w:hint="eastAsia"/>
          <w:highlight w:val="none"/>
          <w:lang w:val="en-US" w:eastAsia="zh-CN"/>
        </w:rPr>
        <w:t>×××（单位名称）：</w:t>
      </w:r>
    </w:p>
    <w:p>
      <w:pPr>
        <w:keepNext w:val="0"/>
        <w:keepLines w:val="0"/>
        <w:widowControl w:val="0"/>
        <w:suppressLineNumbers w:val="0"/>
        <w:spacing w:before="0" w:beforeAutospacing="0" w:after="0" w:afterAutospacing="0"/>
        <w:ind w:left="0" w:leftChars="0" w:right="0" w:firstLine="638" w:firstLineChars="202"/>
        <w:jc w:val="both"/>
        <w:rPr>
          <w:rFonts w:hint="eastAsia"/>
          <w:highlight w:val="none"/>
          <w:lang w:val="en-US" w:eastAsia="zh-CN"/>
        </w:rPr>
      </w:pPr>
      <w:r>
        <w:rPr>
          <w:rFonts w:hint="eastAsia"/>
          <w:highlight w:val="none"/>
          <w:lang w:val="en-US" w:eastAsia="zh-CN"/>
        </w:rPr>
        <w:t>来文《××关于申请×××处置的函》(连××函〔20××〕　号）收悉。现根据《连平县行政、企事业单位国有资产管理暂行办法》(连府办〔2005〕123号）和《连平县行政事业单位国有资产处置管理暂行办法》(</w:t>
      </w:r>
      <w:r>
        <w:rPr>
          <w:rFonts w:hint="eastAsia" w:ascii="仿宋_GB2312" w:hAnsi="仿宋_GB2312" w:eastAsia="仿宋_GB2312" w:cs="仿宋_GB2312"/>
          <w:kern w:val="21"/>
          <w:sz w:val="32"/>
          <w:szCs w:val="32"/>
          <w:lang w:val="en-US" w:eastAsia="zh-CN" w:bidi="ar"/>
        </w:rPr>
        <w:t>连××〔2021〕××号</w:t>
      </w:r>
      <w:r>
        <w:rPr>
          <w:rFonts w:hint="eastAsia"/>
          <w:highlight w:val="none"/>
          <w:lang w:val="en-US" w:eastAsia="zh-CN"/>
        </w:rPr>
        <w:t>）的有关规定，经研究，函复如下：</w:t>
      </w:r>
    </w:p>
    <w:p>
      <w:pPr>
        <w:keepNext w:val="0"/>
        <w:keepLines w:val="0"/>
        <w:pageBreakBefore w:val="0"/>
        <w:widowControl w:val="0"/>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一、同意你单位（无偿调出、出售、置换、报废、报损等）×××，数量×××，账面价值××，×××，××元。</w:t>
      </w:r>
    </w:p>
    <w:p>
      <w:pPr>
        <w:keepNext w:val="0"/>
        <w:keepLines w:val="0"/>
        <w:pageBreakBefore w:val="0"/>
        <w:widowControl w:val="0"/>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二、出售的房屋（车辆），请你单位按规定委托有资质的中介机构对该房屋（车辆）进行评估，评估价格经我局备案后，自备案之日起30日内，到河源市公共资源交易中心办理公开处置手续，处置价格不得低于备案评估价格。</w:t>
      </w:r>
    </w:p>
    <w:p>
      <w:pPr>
        <w:keepNext w:val="0"/>
        <w:keepLines w:val="0"/>
        <w:pageBreakBefore w:val="0"/>
        <w:widowControl w:val="0"/>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三、报废的电脑等办公设备交由废旧资产回收机构按保密、环保等有关规定处置，废旧资产回收机构应从县财政局通过政府采购方式确定的几间资产回收机构选取。</w:t>
      </w:r>
    </w:p>
    <w:p>
      <w:pPr>
        <w:keepNext w:val="0"/>
        <w:keepLines w:val="0"/>
        <w:pageBreakBefore w:val="0"/>
        <w:widowControl w:val="0"/>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四、报废的汽车，请你单位按规定到车辆管理部门办理机动车报废注销等手续。</w:t>
      </w:r>
    </w:p>
    <w:p>
      <w:pPr>
        <w:keepNext w:val="0"/>
        <w:keepLines w:val="0"/>
        <w:pageBreakBefore w:val="0"/>
        <w:widowControl w:val="0"/>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w:t>
      </w:r>
    </w:p>
    <w:p>
      <w:pPr>
        <w:keepNext w:val="0"/>
        <w:keepLines w:val="0"/>
        <w:pageBreakBefore w:val="0"/>
        <w:widowControl w:val="0"/>
        <w:kinsoku/>
        <w:wordWrap/>
        <w:overflowPunct/>
        <w:topLinePunct w:val="0"/>
        <w:autoSpaceDE/>
        <w:autoSpaceDN/>
        <w:bidi w:val="0"/>
        <w:adjustRightInd/>
        <w:snapToGrid/>
        <w:ind w:left="0" w:leftChars="0" w:firstLine="638" w:firstLineChars="202"/>
        <w:textAlignment w:val="auto"/>
        <w:rPr>
          <w:rFonts w:hint="eastAsia"/>
          <w:highlight w:val="none"/>
          <w:lang w:val="en-US" w:eastAsia="zh-CN"/>
        </w:rPr>
      </w:pPr>
      <w:r>
        <w:rPr>
          <w:rFonts w:hint="eastAsia"/>
          <w:highlight w:val="none"/>
          <w:lang w:val="en-US" w:eastAsia="zh-CN"/>
        </w:rPr>
        <w:t>上述资产处置收入按县级非税收入收缴管理规定，上缴县财政专户（户名：连平县财政局，开户银行：工商银行连平县支行，帐号：2006002609024906382），实行“收支两条线”管理；同时请你单位及时做好处置资产的账目处理、信息调整等工作。处置完毕后，请及时填好《连平县行政事业单位国有资产处置情况备案统计表》，并附上有关处置结果报送我局，由我局汇总后上报县财政局备案。</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ind w:left="0" w:leftChars="0" w:right="1264" w:rightChars="400" w:firstLine="632" w:firstLineChars="200"/>
        <w:jc w:val="right"/>
        <w:textAlignment w:val="auto"/>
        <w:rPr>
          <w:rFonts w:hint="eastAsia"/>
          <w:highlight w:val="none"/>
          <w:lang w:val="en-US" w:eastAsia="zh-CN"/>
        </w:rPr>
      </w:pPr>
      <w:r>
        <w:rPr>
          <w:rFonts w:hint="eastAsia"/>
          <w:highlight w:val="none"/>
          <w:lang w:val="en-US" w:eastAsia="zh-CN"/>
        </w:rPr>
        <w:t>××××××（单位）</w:t>
      </w:r>
    </w:p>
    <w:p>
      <w:pPr>
        <w:keepNext w:val="0"/>
        <w:keepLines w:val="0"/>
        <w:pageBreakBefore w:val="0"/>
        <w:widowControl w:val="0"/>
        <w:kinsoku/>
        <w:wordWrap/>
        <w:overflowPunct/>
        <w:topLinePunct w:val="0"/>
        <w:autoSpaceDE/>
        <w:autoSpaceDN/>
        <w:bidi w:val="0"/>
        <w:adjustRightInd/>
        <w:snapToGrid/>
        <w:ind w:left="0" w:leftChars="0" w:right="1264" w:rightChars="400" w:firstLine="632" w:firstLineChars="200"/>
        <w:jc w:val="right"/>
        <w:textAlignment w:val="auto"/>
        <w:rPr>
          <w:rFonts w:hint="eastAsia"/>
          <w:highlight w:val="none"/>
          <w:lang w:val="en-US" w:eastAsia="zh-CN"/>
        </w:rPr>
      </w:pPr>
      <w:r>
        <w:rPr>
          <w:rFonts w:hint="eastAsia"/>
          <w:highlight w:val="none"/>
          <w:lang w:val="en-US" w:eastAsia="zh-CN"/>
        </w:rPr>
        <w:t>20××年××月××日</w:t>
      </w:r>
    </w:p>
    <w:p>
      <w:pPr>
        <w:keepNext w:val="0"/>
        <w:keepLines w:val="0"/>
        <w:pageBreakBefore w:val="0"/>
        <w:widowControl w:val="0"/>
        <w:kinsoku/>
        <w:wordWrap/>
        <w:overflowPunct/>
        <w:topLinePunct w:val="0"/>
        <w:autoSpaceDE/>
        <w:autoSpaceDN/>
        <w:bidi w:val="0"/>
        <w:adjustRightInd/>
        <w:snapToGrid/>
        <w:ind w:left="0" w:leftChars="0" w:firstLine="632" w:firstLineChars="200"/>
        <w:jc w:val="both"/>
        <w:textAlignment w:val="auto"/>
        <w:rPr>
          <w:rFonts w:hint="eastAsia"/>
          <w:highlight w:val="none"/>
          <w:lang w:val="en-US" w:eastAsia="zh-CN"/>
        </w:rPr>
      </w:pPr>
      <w:r>
        <w:rPr>
          <w:rFonts w:hint="eastAsia"/>
          <w:highlight w:val="none"/>
          <w:lang w:val="en-US" w:eastAsia="zh-CN"/>
        </w:rPr>
        <w:t>（联系人：×××  电话：×××××××）</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sectPr>
          <w:headerReference r:id="rId11" w:type="default"/>
          <w:pgSz w:w="11905" w:h="16838"/>
          <w:pgMar w:top="2098" w:right="1474" w:bottom="1984" w:left="1587" w:header="851" w:footer="1502" w:gutter="0"/>
          <w:pgBorders>
            <w:top w:val="none" w:sz="0" w:space="0"/>
            <w:left w:val="none" w:sz="0" w:space="0"/>
            <w:bottom w:val="none" w:sz="0" w:space="0"/>
            <w:right w:val="none" w:sz="0" w:space="0"/>
          </w:pgBorders>
          <w:pgNumType w:fmt="decimal"/>
          <w:cols w:space="0" w:num="1"/>
          <w:rtlGutter w:val="0"/>
          <w:docGrid w:type="linesAndChars" w:linePitch="579" w:charSpace="-849"/>
        </w:sectPr>
      </w:pP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黑体" w:hAnsi="黑体" w:eastAsia="黑体" w:cs="黑体"/>
          <w:highlight w:val="none"/>
          <w:lang w:val="en-US" w:eastAsia="zh-CN"/>
        </w:rPr>
      </w:pPr>
      <w:r>
        <w:rPr>
          <w:rFonts w:hint="eastAsia" w:ascii="黑体" w:hAnsi="黑体" w:eastAsia="黑体" w:cs="黑体"/>
          <w:highlight w:val="none"/>
          <w:lang w:val="en-US" w:eastAsia="zh-CN"/>
        </w:rPr>
        <w:t>附件6</w:t>
      </w:r>
    </w:p>
    <w:p>
      <w:pPr>
        <w:keepNext w:val="0"/>
        <w:keepLines w:val="0"/>
        <w:pageBreakBefore w:val="0"/>
        <w:widowControl w:val="0"/>
        <w:kinsoku/>
        <w:wordWrap/>
        <w:overflowPunct/>
        <w:topLinePunct w:val="0"/>
        <w:autoSpaceDE/>
        <w:autoSpaceDN/>
        <w:bidi w:val="0"/>
        <w:adjustRightInd/>
        <w:snapToGrid w:val="0"/>
        <w:ind w:left="0" w:leftChars="0" w:firstLine="638" w:firstLineChars="145"/>
        <w:jc w:val="center"/>
        <w:textAlignment w:val="auto"/>
        <w:rPr>
          <w:rFonts w:hint="eastAsia" w:ascii="黑体" w:hAnsi="黑体" w:eastAsia="黑体" w:cs="黑体"/>
          <w:sz w:val="44"/>
          <w:szCs w:val="44"/>
          <w:highlight w:val="none"/>
          <w:lang w:val="en-US" w:eastAsia="zh-CN"/>
        </w:rPr>
      </w:pPr>
      <w:r>
        <w:rPr>
          <w:rFonts w:hint="eastAsia" w:ascii="黑体" w:hAnsi="黑体" w:eastAsia="黑体" w:cs="黑体"/>
          <w:sz w:val="44"/>
          <w:szCs w:val="44"/>
          <w:highlight w:val="none"/>
          <w:lang w:val="en-US" w:eastAsia="zh-CN"/>
        </w:rPr>
        <w:t>行政事业国有资产无偿调出审批表</w:t>
      </w:r>
    </w:p>
    <w:p>
      <w:pPr>
        <w:ind w:left="0" w:leftChars="0" w:firstLine="639" w:firstLineChars="246"/>
        <w:rPr>
          <w:rFonts w:hint="eastAsia" w:ascii="黑体" w:hAnsi="黑体" w:eastAsia="黑体" w:cs="黑体"/>
          <w:sz w:val="44"/>
          <w:szCs w:val="44"/>
          <w:highlight w:val="none"/>
          <w:lang w:val="en-US" w:eastAsia="zh-CN"/>
        </w:rPr>
      </w:pPr>
      <w:r>
        <w:rPr>
          <w:rFonts w:hint="eastAsia"/>
          <w:sz w:val="26"/>
          <w:highlight w:val="none"/>
        </w:rPr>
        <w:t>填报单位：</w:t>
      </w:r>
      <w:r>
        <w:rPr>
          <w:rFonts w:hint="eastAsia"/>
          <w:sz w:val="26"/>
          <w:highlight w:val="none"/>
          <w:lang w:eastAsia="zh-CN"/>
        </w:rPr>
        <w:t>连平县</w:t>
      </w:r>
      <w:r>
        <w:rPr>
          <w:rFonts w:hint="eastAsia"/>
          <w:sz w:val="26"/>
          <w:highlight w:val="none"/>
        </w:rPr>
        <w:t>××          经办人：×××          联系电话：××××××××             金额单位：元</w:t>
      </w:r>
    </w:p>
    <w:tbl>
      <w:tblPr>
        <w:tblStyle w:val="7"/>
        <w:tblW w:w="14088" w:type="dxa"/>
        <w:tblInd w:w="7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920"/>
        <w:gridCol w:w="1515"/>
        <w:gridCol w:w="675"/>
        <w:gridCol w:w="735"/>
        <w:gridCol w:w="1425"/>
        <w:gridCol w:w="840"/>
        <w:gridCol w:w="900"/>
        <w:gridCol w:w="840"/>
        <w:gridCol w:w="975"/>
        <w:gridCol w:w="247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序号</w:t>
            </w:r>
          </w:p>
        </w:tc>
        <w:tc>
          <w:tcPr>
            <w:tcW w:w="192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调出资产名称</w:t>
            </w:r>
          </w:p>
        </w:tc>
        <w:tc>
          <w:tcPr>
            <w:tcW w:w="151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型号规格</w:t>
            </w:r>
          </w:p>
        </w:tc>
        <w:tc>
          <w:tcPr>
            <w:tcW w:w="67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数</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量</w:t>
            </w:r>
          </w:p>
        </w:tc>
        <w:tc>
          <w:tcPr>
            <w:tcW w:w="73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计量</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单位</w:t>
            </w:r>
          </w:p>
        </w:tc>
        <w:tc>
          <w:tcPr>
            <w:tcW w:w="142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购置（建造）日期</w:t>
            </w:r>
          </w:p>
        </w:tc>
        <w:tc>
          <w:tcPr>
            <w:tcW w:w="3555" w:type="dxa"/>
            <w:gridSpan w:val="4"/>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账面价值</w:t>
            </w:r>
          </w:p>
        </w:tc>
        <w:tc>
          <w:tcPr>
            <w:tcW w:w="247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无偿调出原因</w:t>
            </w:r>
          </w:p>
        </w:tc>
        <w:tc>
          <w:tcPr>
            <w:tcW w:w="108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92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51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67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3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42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原值</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已提</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折旧</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净值</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评估</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价值</w:t>
            </w:r>
          </w:p>
        </w:tc>
        <w:tc>
          <w:tcPr>
            <w:tcW w:w="24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08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1</w:t>
            </w:r>
          </w:p>
        </w:tc>
        <w:tc>
          <w:tcPr>
            <w:tcW w:w="192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247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2</w:t>
            </w:r>
          </w:p>
        </w:tc>
        <w:tc>
          <w:tcPr>
            <w:tcW w:w="192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p>
        </w:tc>
        <w:tc>
          <w:tcPr>
            <w:tcW w:w="247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3</w:t>
            </w:r>
          </w:p>
        </w:tc>
        <w:tc>
          <w:tcPr>
            <w:tcW w:w="192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247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4</w:t>
            </w:r>
          </w:p>
        </w:tc>
        <w:tc>
          <w:tcPr>
            <w:tcW w:w="192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247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rPr>
            </w:pPr>
            <w:r>
              <w:rPr>
                <w:rFonts w:hint="eastAsia"/>
                <w:sz w:val="24"/>
                <w:highlight w:val="none"/>
              </w:rPr>
              <w:t>5</w:t>
            </w:r>
          </w:p>
        </w:tc>
        <w:tc>
          <w:tcPr>
            <w:tcW w:w="192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247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trPr>
        <w:tc>
          <w:tcPr>
            <w:tcW w:w="5550" w:type="dxa"/>
            <w:gridSpan w:val="5"/>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r>
              <w:rPr>
                <w:rFonts w:hint="eastAsia"/>
                <w:sz w:val="24"/>
                <w:highlight w:val="none"/>
              </w:rPr>
              <w:t>调出单位（公章）</w:t>
            </w: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snapToGrid w:val="0"/>
              <w:ind w:firstLine="2880" w:firstLineChars="1200"/>
              <w:textAlignment w:val="auto"/>
              <w:rPr>
                <w:rFonts w:hint="eastAsia"/>
                <w:sz w:val="24"/>
                <w:highlight w:val="none"/>
              </w:rPr>
            </w:pPr>
            <w:r>
              <w:rPr>
                <w:rFonts w:hint="eastAsia"/>
                <w:sz w:val="24"/>
                <w:highlight w:val="none"/>
              </w:rPr>
              <w:t>财务负责人：</w:t>
            </w: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snapToGrid w:val="0"/>
              <w:ind w:firstLine="2880" w:firstLineChars="1200"/>
              <w:textAlignment w:val="auto"/>
              <w:rPr>
                <w:rFonts w:hint="eastAsia"/>
                <w:sz w:val="24"/>
                <w:highlight w:val="none"/>
              </w:rPr>
            </w:pPr>
            <w:r>
              <w:rPr>
                <w:rFonts w:hint="eastAsia"/>
                <w:sz w:val="24"/>
                <w:highlight w:val="none"/>
              </w:rPr>
              <w:t>单位负责人：</w:t>
            </w:r>
          </w:p>
          <w:p>
            <w:pPr>
              <w:keepNext w:val="0"/>
              <w:keepLines w:val="0"/>
              <w:pageBreakBefore w:val="0"/>
              <w:widowControl w:val="0"/>
              <w:kinsoku/>
              <w:wordWrap/>
              <w:overflowPunct/>
              <w:topLinePunct w:val="0"/>
              <w:autoSpaceDE/>
              <w:autoSpaceDN/>
              <w:bidi w:val="0"/>
              <w:adjustRightInd/>
              <w:snapToGrid w:val="0"/>
              <w:ind w:firstLine="2760" w:firstLineChars="1150"/>
              <w:textAlignment w:val="auto"/>
              <w:rPr>
                <w:rFonts w:hint="eastAsia"/>
                <w:sz w:val="24"/>
                <w:highlight w:val="none"/>
              </w:rPr>
            </w:pPr>
            <w:r>
              <w:rPr>
                <w:rFonts w:hint="eastAsia"/>
                <w:sz w:val="24"/>
                <w:highlight w:val="none"/>
              </w:rPr>
              <w:t>年    月    日</w:t>
            </w:r>
          </w:p>
        </w:tc>
        <w:tc>
          <w:tcPr>
            <w:tcW w:w="4980" w:type="dxa"/>
            <w:gridSpan w:val="5"/>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r>
              <w:rPr>
                <w:rFonts w:hint="eastAsia"/>
                <w:sz w:val="24"/>
                <w:highlight w:val="none"/>
              </w:rPr>
              <w:t>调出主管部门意见（公章）：</w:t>
            </w: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snapToGrid w:val="0"/>
              <w:ind w:firstLine="3000" w:firstLineChars="1250"/>
              <w:textAlignment w:val="auto"/>
              <w:rPr>
                <w:rFonts w:hint="eastAsia"/>
                <w:sz w:val="24"/>
                <w:highlight w:val="none"/>
              </w:rPr>
            </w:pPr>
            <w:r>
              <w:rPr>
                <w:rFonts w:hint="eastAsia"/>
                <w:sz w:val="24"/>
                <w:highlight w:val="none"/>
              </w:rPr>
              <w:t>年    月    日</w:t>
            </w:r>
          </w:p>
        </w:tc>
        <w:tc>
          <w:tcPr>
            <w:tcW w:w="3558"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r>
              <w:rPr>
                <w:rFonts w:hint="eastAsia"/>
                <w:sz w:val="24"/>
                <w:highlight w:val="none"/>
                <w:lang w:eastAsia="zh-CN"/>
              </w:rPr>
              <w:t>县</w:t>
            </w:r>
            <w:r>
              <w:rPr>
                <w:rFonts w:hint="eastAsia"/>
                <w:sz w:val="24"/>
                <w:highlight w:val="none"/>
              </w:rPr>
              <w:t>财政部门意见（公章）：</w:t>
            </w: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r>
              <w:rPr>
                <w:rFonts w:hint="eastAsia"/>
                <w:sz w:val="24"/>
                <w:highlight w:val="none"/>
              </w:rPr>
              <w:t xml:space="preserve">     </w:t>
            </w: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r>
              <w:rPr>
                <w:rFonts w:hint="eastAsia"/>
                <w:sz w:val="24"/>
                <w:highlight w:val="none"/>
                <w:lang w:eastAsia="zh-CN"/>
              </w:rPr>
              <w:t>　　</w:t>
            </w:r>
            <w:r>
              <w:rPr>
                <w:rFonts w:hint="eastAsia"/>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5550" w:type="dxa"/>
            <w:gridSpan w:val="5"/>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r>
              <w:rPr>
                <w:rFonts w:hint="eastAsia"/>
                <w:sz w:val="24"/>
                <w:highlight w:val="none"/>
              </w:rPr>
              <w:t>调入单位盖章（公章）</w:t>
            </w: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snapToGrid w:val="0"/>
              <w:ind w:firstLine="2880" w:firstLineChars="1200"/>
              <w:textAlignment w:val="auto"/>
              <w:rPr>
                <w:rFonts w:hint="eastAsia"/>
                <w:sz w:val="24"/>
                <w:highlight w:val="none"/>
              </w:rPr>
            </w:pPr>
            <w:r>
              <w:rPr>
                <w:rFonts w:hint="eastAsia"/>
                <w:sz w:val="24"/>
                <w:highlight w:val="none"/>
              </w:rPr>
              <w:t>财务负责人：</w:t>
            </w: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snapToGrid w:val="0"/>
              <w:ind w:firstLine="2880" w:firstLineChars="1200"/>
              <w:textAlignment w:val="auto"/>
              <w:rPr>
                <w:rFonts w:hint="eastAsia"/>
                <w:sz w:val="24"/>
                <w:highlight w:val="none"/>
              </w:rPr>
            </w:pPr>
            <w:r>
              <w:rPr>
                <w:rFonts w:hint="eastAsia"/>
                <w:sz w:val="24"/>
                <w:highlight w:val="none"/>
              </w:rPr>
              <w:t>单位负责人：</w:t>
            </w:r>
          </w:p>
          <w:p>
            <w:pPr>
              <w:keepNext w:val="0"/>
              <w:keepLines w:val="0"/>
              <w:pageBreakBefore w:val="0"/>
              <w:widowControl w:val="0"/>
              <w:kinsoku/>
              <w:wordWrap/>
              <w:overflowPunct/>
              <w:topLinePunct w:val="0"/>
              <w:autoSpaceDE/>
              <w:autoSpaceDN/>
              <w:bidi w:val="0"/>
              <w:adjustRightInd/>
              <w:snapToGrid w:val="0"/>
              <w:ind w:firstLine="2760" w:firstLineChars="1150"/>
              <w:textAlignment w:val="auto"/>
              <w:rPr>
                <w:rFonts w:hint="eastAsia"/>
                <w:sz w:val="24"/>
                <w:highlight w:val="none"/>
              </w:rPr>
            </w:pPr>
            <w:r>
              <w:rPr>
                <w:rFonts w:hint="eastAsia"/>
                <w:sz w:val="24"/>
                <w:highlight w:val="none"/>
              </w:rPr>
              <w:t>年    月    日</w:t>
            </w:r>
          </w:p>
        </w:tc>
        <w:tc>
          <w:tcPr>
            <w:tcW w:w="4980" w:type="dxa"/>
            <w:gridSpan w:val="5"/>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r>
              <w:rPr>
                <w:rFonts w:hint="eastAsia"/>
                <w:sz w:val="24"/>
                <w:highlight w:val="none"/>
              </w:rPr>
              <w:t>调入主管部门意见（公章）：</w:t>
            </w: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snapToGrid w:val="0"/>
              <w:ind w:firstLine="3000" w:firstLineChars="1250"/>
              <w:textAlignment w:val="auto"/>
              <w:rPr>
                <w:rFonts w:hint="eastAsia"/>
                <w:sz w:val="24"/>
                <w:highlight w:val="none"/>
              </w:rPr>
            </w:pPr>
            <w:r>
              <w:rPr>
                <w:rFonts w:hint="eastAsia"/>
                <w:sz w:val="24"/>
                <w:highlight w:val="none"/>
              </w:rPr>
              <w:t>年    月    日</w:t>
            </w:r>
          </w:p>
        </w:tc>
        <w:tc>
          <w:tcPr>
            <w:tcW w:w="3558"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p>
        </w:tc>
      </w:tr>
    </w:tbl>
    <w:p>
      <w:pPr>
        <w:ind w:left="0" w:leftChars="0" w:firstLine="638" w:firstLineChars="266"/>
        <w:rPr>
          <w:rFonts w:hint="eastAsia"/>
          <w:sz w:val="24"/>
          <w:highlight w:val="none"/>
        </w:rPr>
        <w:sectPr>
          <w:headerReference r:id="rId12" w:type="default"/>
          <w:footerReference r:id="rId13" w:type="default"/>
          <w:pgSz w:w="16838" w:h="11906" w:orient="landscape"/>
          <w:pgMar w:top="1246" w:right="998" w:bottom="1402" w:left="1204"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r>
        <w:rPr>
          <w:rFonts w:hint="eastAsia"/>
          <w:sz w:val="24"/>
          <w:highlight w:val="none"/>
        </w:rPr>
        <w:t>备注：本表一式</w:t>
      </w:r>
      <w:r>
        <w:rPr>
          <w:rFonts w:hint="eastAsia"/>
          <w:sz w:val="24"/>
          <w:highlight w:val="none"/>
          <w:lang w:eastAsia="zh-CN"/>
        </w:rPr>
        <w:t>五</w:t>
      </w:r>
      <w:r>
        <w:rPr>
          <w:rFonts w:hint="eastAsia"/>
          <w:sz w:val="24"/>
          <w:highlight w:val="none"/>
        </w:rPr>
        <w:t>份，调出、调入单位，调出、调入方主管部门，</w:t>
      </w:r>
      <w:r>
        <w:rPr>
          <w:rFonts w:hint="eastAsia"/>
          <w:sz w:val="24"/>
          <w:highlight w:val="none"/>
          <w:lang w:eastAsia="zh-CN"/>
        </w:rPr>
        <w:t>县财政部门</w:t>
      </w:r>
      <w:r>
        <w:rPr>
          <w:rFonts w:hint="eastAsia"/>
          <w:sz w:val="24"/>
          <w:highlight w:val="none"/>
        </w:rPr>
        <w:t>一份。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黑体" w:hAnsi="黑体" w:eastAsia="黑体" w:cs="黑体"/>
          <w:highlight w:val="none"/>
          <w:lang w:val="en-US" w:eastAsia="zh-CN"/>
        </w:rPr>
      </w:pPr>
      <w:r>
        <w:rPr>
          <w:rFonts w:hint="eastAsia" w:ascii="黑体" w:hAnsi="黑体" w:eastAsia="黑体" w:cs="黑体"/>
          <w:highlight w:val="none"/>
          <w:lang w:val="en-US" w:eastAsia="zh-CN"/>
        </w:rPr>
        <w:t>附件7</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sz w:val="40"/>
          <w:szCs w:val="40"/>
          <w:highlight w:val="none"/>
          <w:lang w:val="en-US" w:eastAsia="zh-CN"/>
        </w:rPr>
      </w:pPr>
      <w:r>
        <w:rPr>
          <w:rFonts w:hint="eastAsia" w:ascii="黑体" w:hAnsi="黑体" w:eastAsia="黑体" w:cs="黑体"/>
          <w:sz w:val="40"/>
          <w:szCs w:val="40"/>
          <w:highlight w:val="none"/>
          <w:lang w:val="en-US" w:eastAsia="zh-CN"/>
        </w:rPr>
        <w:t>行政事业单位公务用车无偿调出审批表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sz w:val="28"/>
          <w:szCs w:val="28"/>
          <w:highlight w:val="none"/>
        </w:rPr>
      </w:pPr>
      <w:r>
        <w:rPr>
          <w:rFonts w:hint="eastAsia"/>
          <w:sz w:val="28"/>
          <w:szCs w:val="28"/>
          <w:highlight w:val="none"/>
        </w:rPr>
        <w:t>编制单位：</w:t>
      </w:r>
      <w:r>
        <w:rPr>
          <w:rFonts w:hint="eastAsia"/>
          <w:sz w:val="28"/>
          <w:szCs w:val="28"/>
          <w:highlight w:val="none"/>
          <w:lang w:eastAsia="zh-CN"/>
        </w:rPr>
        <w:t>连平县</w:t>
      </w:r>
      <w:r>
        <w:rPr>
          <w:rFonts w:hint="eastAsia"/>
          <w:sz w:val="28"/>
          <w:szCs w:val="28"/>
          <w:highlight w:val="none"/>
        </w:rPr>
        <w:t>×××  经办人：×××  联系电话：××× 单位：元</w:t>
      </w:r>
    </w:p>
    <w:tbl>
      <w:tblPr>
        <w:tblStyle w:val="7"/>
        <w:tblW w:w="9176"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
        <w:gridCol w:w="1227"/>
        <w:gridCol w:w="673"/>
        <w:gridCol w:w="961"/>
        <w:gridCol w:w="1387"/>
        <w:gridCol w:w="1353"/>
        <w:gridCol w:w="1161"/>
        <w:gridCol w:w="1149"/>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序</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号</w:t>
            </w:r>
          </w:p>
        </w:tc>
        <w:tc>
          <w:tcPr>
            <w:tcW w:w="122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车牌号</w:t>
            </w:r>
          </w:p>
        </w:tc>
        <w:tc>
          <w:tcPr>
            <w:tcW w:w="67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资产</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编号</w:t>
            </w:r>
          </w:p>
        </w:tc>
        <w:tc>
          <w:tcPr>
            <w:tcW w:w="96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车辆</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类型</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厂牌型号</w:t>
            </w: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车架号</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登记日期</w:t>
            </w:r>
          </w:p>
        </w:tc>
        <w:tc>
          <w:tcPr>
            <w:tcW w:w="114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资产原值</w:t>
            </w:r>
          </w:p>
        </w:tc>
        <w:tc>
          <w:tcPr>
            <w:tcW w:w="88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38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1</w:t>
            </w:r>
          </w:p>
        </w:tc>
        <w:tc>
          <w:tcPr>
            <w:tcW w:w="122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粤P12345</w:t>
            </w:r>
          </w:p>
        </w:tc>
        <w:tc>
          <w:tcPr>
            <w:tcW w:w="67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96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小型普通客车</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北京现代</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BH6*****</w:t>
            </w: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LMGBF1G8</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2015.6.6</w:t>
            </w:r>
          </w:p>
        </w:tc>
        <w:tc>
          <w:tcPr>
            <w:tcW w:w="114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179800</w:t>
            </w:r>
          </w:p>
        </w:tc>
        <w:tc>
          <w:tcPr>
            <w:tcW w:w="88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38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2</w:t>
            </w:r>
          </w:p>
        </w:tc>
        <w:tc>
          <w:tcPr>
            <w:tcW w:w="122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67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96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114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88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122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67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96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114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88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122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67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96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114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88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8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122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67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96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114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c>
          <w:tcPr>
            <w:tcW w:w="88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3245" w:type="dxa"/>
            <w:gridSpan w:val="4"/>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调出单位名称</w:t>
            </w:r>
          </w:p>
        </w:tc>
        <w:tc>
          <w:tcPr>
            <w:tcW w:w="2740"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调出单位主管部门意见</w:t>
            </w:r>
          </w:p>
        </w:tc>
        <w:tc>
          <w:tcPr>
            <w:tcW w:w="3191" w:type="dxa"/>
            <w:gridSpan w:val="3"/>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lang w:eastAsia="zh-CN"/>
              </w:rPr>
              <w:t>县</w:t>
            </w:r>
            <w:r>
              <w:rPr>
                <w:rFonts w:hint="eastAsia"/>
                <w:sz w:val="22"/>
                <w:highlight w:val="none"/>
              </w:rPr>
              <w:t>财政部门意见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3245" w:type="dxa"/>
            <w:gridSpan w:val="4"/>
            <w:noWrap w:val="0"/>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2"/>
                <w:highlight w:val="none"/>
              </w:rPr>
            </w:pPr>
            <w:r>
              <w:rPr>
                <w:rFonts w:hint="eastAsia"/>
                <w:sz w:val="22"/>
                <w:highlight w:val="none"/>
              </w:rPr>
              <w:t>财务负责人：</w:t>
            </w:r>
          </w:p>
          <w:p>
            <w:pPr>
              <w:keepNext w:val="0"/>
              <w:keepLines w:val="0"/>
              <w:pageBreakBefore w:val="0"/>
              <w:widowControl w:val="0"/>
              <w:kinsoku/>
              <w:wordWrap/>
              <w:overflowPunct/>
              <w:topLinePunct w:val="0"/>
              <w:autoSpaceDE/>
              <w:autoSpaceDN/>
              <w:bidi w:val="0"/>
              <w:adjustRightInd/>
              <w:snapToGrid w:val="0"/>
              <w:textAlignment w:val="auto"/>
              <w:rPr>
                <w:rFonts w:hint="eastAsia"/>
                <w:sz w:val="22"/>
                <w:highlight w:val="none"/>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2"/>
                <w:highlight w:val="none"/>
              </w:rPr>
            </w:pPr>
            <w:r>
              <w:rPr>
                <w:rFonts w:hint="eastAsia"/>
                <w:sz w:val="22"/>
                <w:highlight w:val="none"/>
              </w:rPr>
              <w:t>单位负责人：</w:t>
            </w:r>
          </w:p>
          <w:p>
            <w:pPr>
              <w:keepNext w:val="0"/>
              <w:keepLines w:val="0"/>
              <w:pageBreakBefore w:val="0"/>
              <w:widowControl w:val="0"/>
              <w:kinsoku/>
              <w:wordWrap/>
              <w:overflowPunct/>
              <w:topLinePunct w:val="0"/>
              <w:autoSpaceDE/>
              <w:autoSpaceDN/>
              <w:bidi w:val="0"/>
              <w:adjustRightInd/>
              <w:snapToGrid w:val="0"/>
              <w:textAlignment w:val="auto"/>
              <w:rPr>
                <w:rFonts w:hint="eastAsia"/>
                <w:sz w:val="42"/>
                <w:highlight w:val="none"/>
              </w:rPr>
            </w:pPr>
          </w:p>
          <w:p>
            <w:pPr>
              <w:keepNext w:val="0"/>
              <w:keepLines w:val="0"/>
              <w:pageBreakBefore w:val="0"/>
              <w:widowControl w:val="0"/>
              <w:kinsoku/>
              <w:wordWrap/>
              <w:overflowPunct/>
              <w:topLinePunct w:val="0"/>
              <w:autoSpaceDE/>
              <w:autoSpaceDN/>
              <w:bidi w:val="0"/>
              <w:adjustRightInd/>
              <w:snapToGrid w:val="0"/>
              <w:ind w:firstLine="1620" w:firstLineChars="750"/>
              <w:textAlignment w:val="auto"/>
              <w:rPr>
                <w:rFonts w:hint="eastAsia"/>
                <w:sz w:val="22"/>
                <w:highlight w:val="none"/>
              </w:rPr>
            </w:pPr>
            <w:r>
              <w:rPr>
                <w:rFonts w:hint="eastAsia"/>
                <w:sz w:val="22"/>
                <w:highlight w:val="none"/>
              </w:rPr>
              <w:t>（盖章）</w:t>
            </w:r>
          </w:p>
          <w:p>
            <w:pPr>
              <w:keepNext w:val="0"/>
              <w:keepLines w:val="0"/>
              <w:pageBreakBefore w:val="0"/>
              <w:widowControl w:val="0"/>
              <w:kinsoku/>
              <w:wordWrap/>
              <w:overflowPunct/>
              <w:topLinePunct w:val="0"/>
              <w:autoSpaceDE/>
              <w:autoSpaceDN/>
              <w:bidi w:val="0"/>
              <w:adjustRightInd/>
              <w:snapToGrid w:val="0"/>
              <w:ind w:firstLine="1296" w:firstLineChars="600"/>
              <w:textAlignment w:val="auto"/>
              <w:rPr>
                <w:rFonts w:hint="eastAsia"/>
                <w:sz w:val="22"/>
                <w:highlight w:val="none"/>
              </w:rPr>
            </w:pPr>
            <w:r>
              <w:rPr>
                <w:rFonts w:hint="eastAsia"/>
                <w:sz w:val="22"/>
                <w:highlight w:val="none"/>
              </w:rPr>
              <w:t>年    月    日</w:t>
            </w:r>
          </w:p>
        </w:tc>
        <w:tc>
          <w:tcPr>
            <w:tcW w:w="2740"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42"/>
                <w:szCs w:val="42"/>
                <w:highlight w:val="none"/>
              </w:rPr>
            </w:pPr>
          </w:p>
          <w:p>
            <w:pPr>
              <w:keepNext w:val="0"/>
              <w:keepLines w:val="0"/>
              <w:pageBreakBefore w:val="0"/>
              <w:widowControl w:val="0"/>
              <w:kinsoku/>
              <w:wordWrap/>
              <w:overflowPunct/>
              <w:topLinePunct w:val="0"/>
              <w:autoSpaceDE/>
              <w:autoSpaceDN/>
              <w:bidi w:val="0"/>
              <w:adjustRightInd/>
              <w:snapToGrid w:val="0"/>
              <w:ind w:firstLine="1188" w:firstLineChars="550"/>
              <w:textAlignment w:val="auto"/>
              <w:rPr>
                <w:rFonts w:hint="eastAsia"/>
                <w:sz w:val="22"/>
                <w:highlight w:val="none"/>
              </w:rPr>
            </w:pPr>
            <w:r>
              <w:rPr>
                <w:rFonts w:hint="eastAsia"/>
                <w:sz w:val="22"/>
                <w:highlight w:val="none"/>
              </w:rPr>
              <w:t>（盖章）</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 xml:space="preserve">       年    月    日</w:t>
            </w:r>
          </w:p>
        </w:tc>
        <w:tc>
          <w:tcPr>
            <w:tcW w:w="3191"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42"/>
                <w:szCs w:val="42"/>
                <w:highlight w:val="none"/>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42"/>
                <w:szCs w:val="42"/>
                <w:highlight w:val="none"/>
              </w:rPr>
            </w:pPr>
          </w:p>
          <w:p>
            <w:pPr>
              <w:keepNext w:val="0"/>
              <w:keepLines w:val="0"/>
              <w:pageBreakBefore w:val="0"/>
              <w:widowControl w:val="0"/>
              <w:kinsoku/>
              <w:wordWrap/>
              <w:overflowPunct/>
              <w:topLinePunct w:val="0"/>
              <w:autoSpaceDE/>
              <w:autoSpaceDN/>
              <w:bidi w:val="0"/>
              <w:adjustRightInd/>
              <w:snapToGrid w:val="0"/>
              <w:ind w:firstLine="1620" w:firstLineChars="750"/>
              <w:textAlignment w:val="auto"/>
              <w:rPr>
                <w:rFonts w:hint="eastAsia"/>
                <w:sz w:val="22"/>
                <w:highlight w:val="none"/>
              </w:rPr>
            </w:pPr>
            <w:r>
              <w:rPr>
                <w:rFonts w:hint="eastAsia"/>
                <w:sz w:val="22"/>
                <w:highlight w:val="none"/>
              </w:rPr>
              <w:t>（盖章）</w:t>
            </w:r>
          </w:p>
          <w:p>
            <w:pPr>
              <w:keepNext w:val="0"/>
              <w:keepLines w:val="0"/>
              <w:pageBreakBefore w:val="0"/>
              <w:widowControl w:val="0"/>
              <w:kinsoku/>
              <w:wordWrap/>
              <w:overflowPunct/>
              <w:topLinePunct w:val="0"/>
              <w:autoSpaceDE/>
              <w:autoSpaceDN/>
              <w:bidi w:val="0"/>
              <w:adjustRightInd/>
              <w:snapToGrid w:val="0"/>
              <w:ind w:firstLine="1620" w:firstLineChars="750"/>
              <w:textAlignment w:val="auto"/>
              <w:rPr>
                <w:rFonts w:hint="eastAsia"/>
                <w:sz w:val="22"/>
                <w:highlight w:val="none"/>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3245" w:type="dxa"/>
            <w:gridSpan w:val="4"/>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调入单位名称</w:t>
            </w:r>
          </w:p>
        </w:tc>
        <w:tc>
          <w:tcPr>
            <w:tcW w:w="2740"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调入单位主管部门意见</w:t>
            </w:r>
          </w:p>
        </w:tc>
        <w:tc>
          <w:tcPr>
            <w:tcW w:w="3191"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3245" w:type="dxa"/>
            <w:gridSpan w:val="4"/>
            <w:noWrap w:val="0"/>
            <w:vAlign w:val="top"/>
          </w:tcPr>
          <w:p>
            <w:pPr>
              <w:keepNext w:val="0"/>
              <w:keepLines w:val="0"/>
              <w:pageBreakBefore w:val="0"/>
              <w:widowControl w:val="0"/>
              <w:kinsoku/>
              <w:wordWrap/>
              <w:overflowPunct/>
              <w:topLinePunct w:val="0"/>
              <w:autoSpaceDE/>
              <w:autoSpaceDN/>
              <w:bidi w:val="0"/>
              <w:adjustRightInd/>
              <w:snapToGrid w:val="0"/>
              <w:textAlignment w:val="auto"/>
              <w:rPr>
                <w:rFonts w:hint="eastAsia"/>
                <w:sz w:val="22"/>
                <w:highlight w:val="none"/>
              </w:rPr>
            </w:pPr>
            <w:r>
              <w:rPr>
                <w:rFonts w:hint="eastAsia"/>
                <w:sz w:val="22"/>
                <w:highlight w:val="none"/>
              </w:rPr>
              <w:t>财务负责人：</w:t>
            </w:r>
          </w:p>
          <w:p>
            <w:pPr>
              <w:keepNext w:val="0"/>
              <w:keepLines w:val="0"/>
              <w:pageBreakBefore w:val="0"/>
              <w:widowControl w:val="0"/>
              <w:kinsoku/>
              <w:wordWrap/>
              <w:overflowPunct/>
              <w:topLinePunct w:val="0"/>
              <w:autoSpaceDE/>
              <w:autoSpaceDN/>
              <w:bidi w:val="0"/>
              <w:adjustRightInd/>
              <w:snapToGrid w:val="0"/>
              <w:textAlignment w:val="auto"/>
              <w:rPr>
                <w:rFonts w:hint="eastAsia"/>
                <w:sz w:val="22"/>
                <w:highlight w:val="none"/>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2"/>
                <w:highlight w:val="none"/>
              </w:rPr>
            </w:pPr>
            <w:r>
              <w:rPr>
                <w:rFonts w:hint="eastAsia"/>
                <w:sz w:val="22"/>
                <w:highlight w:val="none"/>
              </w:rPr>
              <w:t>单位负责人：</w:t>
            </w:r>
          </w:p>
          <w:p>
            <w:pPr>
              <w:keepNext w:val="0"/>
              <w:keepLines w:val="0"/>
              <w:pageBreakBefore w:val="0"/>
              <w:widowControl w:val="0"/>
              <w:kinsoku/>
              <w:wordWrap/>
              <w:overflowPunct/>
              <w:topLinePunct w:val="0"/>
              <w:autoSpaceDE/>
              <w:autoSpaceDN/>
              <w:bidi w:val="0"/>
              <w:adjustRightInd/>
              <w:snapToGrid w:val="0"/>
              <w:textAlignment w:val="auto"/>
              <w:rPr>
                <w:rFonts w:hint="eastAsia"/>
                <w:sz w:val="42"/>
                <w:highlight w:val="none"/>
              </w:rPr>
            </w:pPr>
          </w:p>
          <w:p>
            <w:pPr>
              <w:keepNext w:val="0"/>
              <w:keepLines w:val="0"/>
              <w:pageBreakBefore w:val="0"/>
              <w:widowControl w:val="0"/>
              <w:kinsoku/>
              <w:wordWrap/>
              <w:overflowPunct/>
              <w:topLinePunct w:val="0"/>
              <w:autoSpaceDE/>
              <w:autoSpaceDN/>
              <w:bidi w:val="0"/>
              <w:adjustRightInd/>
              <w:snapToGrid w:val="0"/>
              <w:ind w:firstLine="1620" w:firstLineChars="750"/>
              <w:textAlignment w:val="auto"/>
              <w:rPr>
                <w:rFonts w:hint="eastAsia"/>
                <w:sz w:val="22"/>
                <w:highlight w:val="none"/>
              </w:rPr>
            </w:pPr>
            <w:r>
              <w:rPr>
                <w:rFonts w:hint="eastAsia"/>
                <w:sz w:val="22"/>
                <w:highlight w:val="none"/>
              </w:rPr>
              <w:t>（盖章）</w:t>
            </w:r>
          </w:p>
          <w:p>
            <w:pPr>
              <w:keepNext w:val="0"/>
              <w:keepLines w:val="0"/>
              <w:pageBreakBefore w:val="0"/>
              <w:widowControl w:val="0"/>
              <w:kinsoku/>
              <w:wordWrap/>
              <w:overflowPunct/>
              <w:topLinePunct w:val="0"/>
              <w:autoSpaceDE/>
              <w:autoSpaceDN/>
              <w:bidi w:val="0"/>
              <w:adjustRightInd/>
              <w:snapToGrid w:val="0"/>
              <w:ind w:firstLine="1296" w:firstLineChars="600"/>
              <w:textAlignment w:val="auto"/>
              <w:rPr>
                <w:rFonts w:hint="eastAsia"/>
                <w:sz w:val="22"/>
                <w:highlight w:val="none"/>
              </w:rPr>
            </w:pPr>
            <w:r>
              <w:rPr>
                <w:rFonts w:hint="eastAsia"/>
                <w:sz w:val="22"/>
                <w:highlight w:val="none"/>
              </w:rPr>
              <w:t>年    月    日</w:t>
            </w:r>
          </w:p>
        </w:tc>
        <w:tc>
          <w:tcPr>
            <w:tcW w:w="2740" w:type="dxa"/>
            <w:gridSpan w:val="2"/>
            <w:noWrap w:val="0"/>
            <w:vAlign w:val="top"/>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42"/>
                <w:szCs w:val="42"/>
                <w:highlight w:val="none"/>
              </w:rPr>
            </w:pPr>
          </w:p>
          <w:p>
            <w:pPr>
              <w:keepNext w:val="0"/>
              <w:keepLines w:val="0"/>
              <w:pageBreakBefore w:val="0"/>
              <w:widowControl w:val="0"/>
              <w:kinsoku/>
              <w:wordWrap/>
              <w:overflowPunct/>
              <w:topLinePunct w:val="0"/>
              <w:autoSpaceDE/>
              <w:autoSpaceDN/>
              <w:bidi w:val="0"/>
              <w:adjustRightInd/>
              <w:snapToGrid w:val="0"/>
              <w:ind w:firstLine="1188" w:firstLineChars="550"/>
              <w:textAlignment w:val="auto"/>
              <w:rPr>
                <w:rFonts w:hint="eastAsia"/>
                <w:sz w:val="22"/>
                <w:highlight w:val="none"/>
              </w:rPr>
            </w:pPr>
            <w:r>
              <w:rPr>
                <w:rFonts w:hint="eastAsia"/>
                <w:sz w:val="22"/>
                <w:highlight w:val="none"/>
              </w:rPr>
              <w:t>（盖章）</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 xml:space="preserve">       年    月    日</w:t>
            </w:r>
          </w:p>
        </w:tc>
        <w:tc>
          <w:tcPr>
            <w:tcW w:w="3191"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176" w:type="dxa"/>
            <w:gridSpan w:val="9"/>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r>
              <w:rPr>
                <w:rFonts w:hint="eastAsia"/>
                <w:sz w:val="22"/>
                <w:highlight w:val="none"/>
              </w:rPr>
              <w:t>有   关   事   项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9176" w:type="dxa"/>
            <w:gridSpan w:val="9"/>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2"/>
                <w:highlight w:val="none"/>
              </w:rPr>
            </w:pPr>
          </w:p>
        </w:tc>
      </w:tr>
    </w:tbl>
    <w:p>
      <w:pPr>
        <w:keepNext w:val="0"/>
        <w:keepLines w:val="0"/>
        <w:pageBreakBefore w:val="0"/>
        <w:widowControl w:val="0"/>
        <w:kinsoku/>
        <w:wordWrap/>
        <w:overflowPunct/>
        <w:topLinePunct w:val="0"/>
        <w:autoSpaceDE/>
        <w:autoSpaceDN/>
        <w:bidi w:val="0"/>
        <w:adjustRightInd/>
        <w:snapToGrid w:val="0"/>
        <w:textAlignment w:val="auto"/>
        <w:rPr>
          <w:rFonts w:hint="eastAsia"/>
          <w:sz w:val="24"/>
          <w:highlight w:val="none"/>
        </w:rPr>
      </w:pPr>
      <w:r>
        <w:rPr>
          <w:rFonts w:hint="eastAsia"/>
          <w:sz w:val="24"/>
          <w:highlight w:val="none"/>
        </w:rPr>
        <w:t>说明：本表一式</w:t>
      </w:r>
      <w:r>
        <w:rPr>
          <w:rFonts w:hint="eastAsia"/>
          <w:sz w:val="24"/>
          <w:highlight w:val="none"/>
          <w:lang w:eastAsia="zh-CN"/>
        </w:rPr>
        <w:t>五</w:t>
      </w:r>
      <w:r>
        <w:rPr>
          <w:rFonts w:hint="eastAsia"/>
          <w:sz w:val="24"/>
          <w:highlight w:val="none"/>
        </w:rPr>
        <w:t>份，调出、调入单位，调出、调入方主管部门，</w:t>
      </w:r>
      <w:r>
        <w:rPr>
          <w:rFonts w:hint="eastAsia"/>
          <w:sz w:val="24"/>
          <w:highlight w:val="none"/>
          <w:lang w:eastAsia="zh-CN"/>
        </w:rPr>
        <w:t>县财政部门</w:t>
      </w:r>
      <w:r>
        <w:rPr>
          <w:rFonts w:hint="eastAsia"/>
          <w:sz w:val="24"/>
          <w:highlight w:val="none"/>
        </w:rPr>
        <w:t>一份。</w:t>
      </w:r>
    </w:p>
    <w:p>
      <w:pPr>
        <w:keepNext w:val="0"/>
        <w:keepLines w:val="0"/>
        <w:pageBreakBefore w:val="0"/>
        <w:widowControl w:val="0"/>
        <w:kinsoku/>
        <w:wordWrap/>
        <w:overflowPunct/>
        <w:topLinePunct w:val="0"/>
        <w:autoSpaceDE/>
        <w:autoSpaceDN/>
        <w:bidi w:val="0"/>
        <w:adjustRightInd/>
        <w:snapToGrid w:val="0"/>
        <w:textAlignment w:val="auto"/>
        <w:rPr>
          <w:rFonts w:hint="eastAsia" w:ascii="黑体" w:hAnsi="黑体" w:eastAsia="黑体" w:cs="黑体"/>
          <w:highlight w:val="none"/>
          <w:lang w:val="en-US" w:eastAsia="zh-CN"/>
        </w:rPr>
        <w:sectPr>
          <w:headerReference r:id="rId14" w:type="default"/>
          <w:footerReference r:id="rId15" w:type="default"/>
          <w:pgSz w:w="11905" w:h="16838"/>
          <w:pgMar w:top="2098" w:right="1587" w:bottom="1984" w:left="1474" w:header="851" w:footer="1502" w:gutter="0"/>
          <w:pgBorders>
            <w:top w:val="none" w:sz="0" w:space="0"/>
            <w:left w:val="none" w:sz="0" w:space="0"/>
            <w:bottom w:val="none" w:sz="0" w:space="0"/>
            <w:right w:val="none" w:sz="0" w:space="0"/>
          </w:pgBorders>
          <w:pgNumType w:fmt="decimal"/>
          <w:cols w:space="0" w:num="1"/>
          <w:rtlGutter w:val="0"/>
          <w:docGrid w:type="linesAndChars" w:linePitch="617" w:charSpace="-849"/>
        </w:sectPr>
      </w:pPr>
    </w:p>
    <w:p>
      <w:pPr>
        <w:keepNext w:val="0"/>
        <w:keepLines w:val="0"/>
        <w:pageBreakBefore w:val="0"/>
        <w:widowControl w:val="0"/>
        <w:kinsoku/>
        <w:wordWrap/>
        <w:overflowPunct/>
        <w:topLinePunct w:val="0"/>
        <w:autoSpaceDE/>
        <w:autoSpaceDN/>
        <w:bidi w:val="0"/>
        <w:adjustRightInd/>
        <w:snapToGrid w:val="0"/>
        <w:ind w:left="0" w:leftChars="0" w:firstLine="638" w:firstLineChars="202"/>
        <w:textAlignment w:val="auto"/>
        <w:rPr>
          <w:rFonts w:hint="eastAsia" w:ascii="黑体" w:hAnsi="黑体" w:eastAsia="黑体" w:cs="黑体"/>
          <w:highlight w:val="none"/>
          <w:lang w:val="en-US" w:eastAsia="zh-CN"/>
        </w:rPr>
      </w:pPr>
      <w:r>
        <w:rPr>
          <w:rFonts w:hint="eastAsia" w:ascii="黑体" w:hAnsi="黑体" w:eastAsia="黑体" w:cs="黑体"/>
          <w:highlight w:val="none"/>
          <w:lang w:val="en-US" w:eastAsia="zh-CN"/>
        </w:rPr>
        <w:t>附件8：</w:t>
      </w:r>
    </w:p>
    <w:p>
      <w:pPr>
        <w:keepNext w:val="0"/>
        <w:keepLines w:val="0"/>
        <w:pageBreakBefore w:val="0"/>
        <w:widowControl w:val="0"/>
        <w:kinsoku/>
        <w:wordWrap/>
        <w:overflowPunct/>
        <w:topLinePunct w:val="0"/>
        <w:autoSpaceDE/>
        <w:autoSpaceDN/>
        <w:bidi w:val="0"/>
        <w:adjustRightInd/>
        <w:snapToGrid w:val="0"/>
        <w:textAlignment w:val="auto"/>
        <w:rPr>
          <w:rFonts w:hint="eastAsia" w:ascii="黑体" w:hAnsi="黑体" w:eastAsia="黑体" w:cs="黑体"/>
          <w:highlight w:val="none"/>
          <w:lang w:val="en-US" w:eastAsia="zh-CN"/>
        </w:rPr>
      </w:pPr>
    </w:p>
    <w:p>
      <w:pPr>
        <w:keepNext w:val="0"/>
        <w:keepLines w:val="0"/>
        <w:pageBreakBefore w:val="0"/>
        <w:widowControl w:val="0"/>
        <w:kinsoku/>
        <w:wordWrap/>
        <w:overflowPunct/>
        <w:topLinePunct w:val="0"/>
        <w:autoSpaceDE/>
        <w:autoSpaceDN/>
        <w:bidi w:val="0"/>
        <w:adjustRightInd/>
        <w:snapToGrid w:val="0"/>
        <w:ind w:left="0" w:leftChars="0" w:firstLine="637" w:firstLineChars="146"/>
        <w:jc w:val="center"/>
        <w:textAlignment w:val="auto"/>
        <w:rPr>
          <w:rFonts w:hint="eastAsia" w:ascii="黑体" w:hAnsi="黑体" w:eastAsia="黑体" w:cs="黑体"/>
          <w:sz w:val="44"/>
          <w:szCs w:val="44"/>
          <w:highlight w:val="none"/>
          <w:lang w:val="en-US" w:eastAsia="zh-CN"/>
        </w:rPr>
      </w:pPr>
      <w:r>
        <w:rPr>
          <w:rFonts w:hint="eastAsia" w:ascii="黑体" w:hAnsi="黑体" w:eastAsia="黑体" w:cs="黑体"/>
          <w:sz w:val="44"/>
          <w:szCs w:val="44"/>
          <w:highlight w:val="none"/>
          <w:lang w:val="en-US" w:eastAsia="zh-CN"/>
        </w:rPr>
        <w:t>行政事业单位国有资产处置审批情况备案统计表</w:t>
      </w:r>
    </w:p>
    <w:p>
      <w:pPr>
        <w:ind w:left="0" w:leftChars="0" w:firstLine="640" w:firstLineChars="271"/>
        <w:rPr>
          <w:rFonts w:hint="eastAsia"/>
          <w:highlight w:val="none"/>
          <w:lang w:val="en-US" w:eastAsia="zh-CN"/>
        </w:rPr>
      </w:pPr>
      <w:r>
        <w:rPr>
          <w:rFonts w:hint="eastAsia"/>
          <w:sz w:val="24"/>
          <w:highlight w:val="none"/>
          <w:lang w:val="en-US" w:eastAsia="zh-CN"/>
        </w:rPr>
        <w:t>汇总（填报）单位：（公章）                       日期：                                               金额单位：元</w:t>
      </w:r>
    </w:p>
    <w:tbl>
      <w:tblPr>
        <w:tblStyle w:val="7"/>
        <w:tblW w:w="13458" w:type="dxa"/>
        <w:tblInd w:w="7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55"/>
        <w:gridCol w:w="1703"/>
        <w:gridCol w:w="1703"/>
        <w:gridCol w:w="1703"/>
        <w:gridCol w:w="1703"/>
        <w:gridCol w:w="1703"/>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r>
              <w:rPr>
                <w:rFonts w:hint="eastAsia"/>
                <w:sz w:val="24"/>
                <w:highlight w:val="none"/>
                <w:lang w:val="en-US" w:eastAsia="zh-CN"/>
              </w:rPr>
              <w:t>序号</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r>
              <w:rPr>
                <w:rFonts w:hint="eastAsia"/>
                <w:sz w:val="24"/>
                <w:highlight w:val="none"/>
                <w:vertAlign w:val="baseline"/>
                <w:lang w:val="en-US" w:eastAsia="zh-CN"/>
              </w:rPr>
              <w:t>处置单位</w:t>
            </w: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r>
              <w:rPr>
                <w:rFonts w:hint="eastAsia"/>
                <w:sz w:val="24"/>
                <w:highlight w:val="none"/>
                <w:vertAlign w:val="baseline"/>
                <w:lang w:val="en-US" w:eastAsia="zh-CN"/>
              </w:rPr>
              <w:t>批复文号</w:t>
            </w: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r>
              <w:rPr>
                <w:rFonts w:hint="eastAsia"/>
                <w:sz w:val="24"/>
                <w:highlight w:val="none"/>
                <w:vertAlign w:val="baseline"/>
                <w:lang w:val="en-US" w:eastAsia="zh-CN"/>
              </w:rPr>
              <w:t>处置内容</w:t>
            </w: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r>
              <w:rPr>
                <w:rFonts w:hint="eastAsia"/>
                <w:sz w:val="24"/>
                <w:highlight w:val="none"/>
                <w:vertAlign w:val="baseline"/>
                <w:lang w:val="en-US" w:eastAsia="zh-CN"/>
              </w:rPr>
              <w:t>处置金额</w:t>
            </w: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r>
              <w:rPr>
                <w:rFonts w:hint="eastAsia"/>
                <w:sz w:val="24"/>
                <w:highlight w:val="none"/>
                <w:vertAlign w:val="baseline"/>
                <w:lang w:val="en-US" w:eastAsia="zh-CN"/>
              </w:rPr>
              <w:t>处置方式</w:t>
            </w: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r>
              <w:rPr>
                <w:rFonts w:hint="eastAsia"/>
                <w:sz w:val="24"/>
                <w:highlight w:val="none"/>
                <w:vertAlign w:val="baseline"/>
                <w:lang w:val="en-US" w:eastAsia="zh-CN"/>
              </w:rPr>
              <w:t>残值收入</w:t>
            </w:r>
          </w:p>
        </w:tc>
        <w:tc>
          <w:tcPr>
            <w:tcW w:w="170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r>
              <w:rPr>
                <w:rFonts w:hint="eastAsia"/>
                <w:sz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r>
              <w:rPr>
                <w:rFonts w:hint="eastAsia"/>
                <w:sz w:val="24"/>
                <w:highlight w:val="none"/>
                <w:vertAlign w:val="baseline"/>
                <w:lang w:val="en-US" w:eastAsia="zh-CN"/>
              </w:rPr>
              <w:t>1</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r>
              <w:rPr>
                <w:rFonts w:hint="eastAsia"/>
                <w:sz w:val="24"/>
                <w:highlight w:val="none"/>
                <w:vertAlign w:val="baseline"/>
                <w:lang w:val="en-US" w:eastAsia="zh-CN"/>
              </w:rPr>
              <w:t>2</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r>
              <w:rPr>
                <w:rFonts w:hint="eastAsia"/>
                <w:sz w:val="24"/>
                <w:highlight w:val="none"/>
                <w:vertAlign w:val="baseline"/>
                <w:lang w:val="en-US" w:eastAsia="zh-CN"/>
              </w:rPr>
              <w:t>3</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r>
              <w:rPr>
                <w:rFonts w:hint="eastAsia"/>
                <w:sz w:val="24"/>
                <w:highlight w:val="none"/>
                <w:vertAlign w:val="baseline"/>
                <w:lang w:val="en-US" w:eastAsia="zh-CN"/>
              </w:rPr>
              <w:t>……</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4"/>
                <w:highlight w:val="none"/>
                <w:vertAlign w:val="baseline"/>
                <w:lang w:val="en-US" w:eastAsia="zh-CN"/>
              </w:rPr>
            </w:pPr>
          </w:p>
        </w:tc>
      </w:tr>
    </w:tbl>
    <w:p>
      <w:pPr>
        <w:ind w:left="0" w:leftChars="0" w:firstLine="640" w:firstLineChars="271"/>
        <w:rPr>
          <w:rFonts w:hint="default"/>
          <w:sz w:val="24"/>
          <w:highlight w:val="none"/>
          <w:lang w:val="en-US" w:eastAsia="zh-CN"/>
        </w:rPr>
      </w:pPr>
      <w:r>
        <w:rPr>
          <w:rFonts w:hint="eastAsia"/>
          <w:sz w:val="24"/>
          <w:highlight w:val="none"/>
          <w:lang w:val="en-US" w:eastAsia="zh-CN"/>
        </w:rPr>
        <w:t>联系人：                                      联系电话：</w:t>
      </w:r>
    </w:p>
    <w:sectPr>
      <w:headerReference r:id="rId16" w:type="default"/>
      <w:footerReference r:id="rId17" w:type="default"/>
      <w:pgSz w:w="16838" w:h="11905" w:orient="landscape"/>
      <w:pgMar w:top="1202" w:right="1247" w:bottom="998" w:left="1400" w:header="851" w:footer="1502" w:gutter="0"/>
      <w:pgBorders>
        <w:top w:val="none" w:sz="0" w:space="0"/>
        <w:left w:val="none" w:sz="0" w:space="0"/>
        <w:bottom w:val="none" w:sz="0" w:space="0"/>
        <w:right w:val="none" w:sz="0" w:space="0"/>
      </w:pgBorders>
      <w:pgNumType w:fmt="decimal"/>
      <w:cols w:space="0" w:num="1"/>
      <w:rtlGutter w:val="0"/>
      <w:docGrid w:type="linesAndChars" w:linePitch="64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75648" behindDoc="0" locked="0" layoutInCell="1" allowOverlap="1">
              <wp:simplePos x="0" y="0"/>
              <wp:positionH relativeFrom="margin">
                <wp:posOffset>5552440</wp:posOffset>
              </wp:positionH>
              <wp:positionV relativeFrom="paragraph">
                <wp:posOffset>5715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37.2pt;margin-top:0.45pt;height:144pt;width:144pt;mso-position-horizontal-relative:margin;mso-wrap-style:none;z-index:251675648;mso-width-relative:page;mso-height-relative:page;" filled="f" stroked="f" coordsize="21600,21600" o:gfxdata="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N0Z27WAAAACQEAAA8AAAAAAAAAAQAgAAAAIgAAAGRycy9kb3ducmV2LnhtbFBL&#10;AQIUABQAAAAIAIdO4kCpqK+VMQIAAGMEAAAOAAAAAAAAAAEAIAAAACUBAABkcnMvZTJvRG9jLnht&#10;bFBLBQYAAAAABgAGAFkBAADI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9504" behindDoc="0" locked="0" layoutInCell="1" allowOverlap="1">
              <wp:simplePos x="0" y="0"/>
              <wp:positionH relativeFrom="margin">
                <wp:posOffset>-102870</wp:posOffset>
              </wp:positionH>
              <wp:positionV relativeFrom="paragraph">
                <wp:posOffset>-1124585</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8.1pt;margin-top:-88.55pt;height:144pt;width:144pt;mso-position-horizontal-relative:margin;mso-wrap-style:none;rotation:5898240f;z-index:251669504;mso-width-relative:page;mso-height-relative:page;" filled="f" stroked="f" coordsize="21600,21600" o:gfxdata="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usDFC1wAAAAwBAAAPAAAAAAAAAAEAIAAAACIAAABkcnMvZG93&#10;bnJldi54bWxQSwECFAAUAAAACACHTuJAjaBDMToCAABxBAAADgAAAAAAAAABACAAAAAmAQAAZHJz&#10;L2Uyb0RvYy54bWxQSwUGAAAAAAYABgBZAQAA0gU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margin">
                <wp:posOffset>5552440</wp:posOffset>
              </wp:positionH>
              <wp:positionV relativeFrom="paragraph">
                <wp:posOffset>5715</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37.2pt;margin-top:0.45pt;height:144pt;width:144pt;mso-position-horizontal-relative:margin;mso-wrap-style:none;z-index:251665408;mso-width-relative:page;mso-height-relative:page;" filled="f" stroked="f" coordsize="21600,21600" o:gfxdata="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43RnbtYAAAAJAQAADwAAAAAAAAABACAAAAAiAAAAZHJzL2Rvd25yZXYueG1s&#10;UEsBAhQAFAAAAAgAh07iQFOJUQ0zAgAAYwQAAA4AAAAAAAAAAQAgAAAAJQEAAGRycy9lMm9Eb2Mu&#10;eG1sUEsFBgAAAAAGAAYAWQEAAMo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67456" behindDoc="0" locked="0" layoutInCell="1" allowOverlap="1">
              <wp:simplePos x="0" y="0"/>
              <wp:positionH relativeFrom="margin">
                <wp:posOffset>5552440</wp:posOffset>
              </wp:positionH>
              <wp:positionV relativeFrom="paragraph">
                <wp:posOffset>5715</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37.2pt;margin-top:0.45pt;height:144pt;width:144pt;mso-position-horizontal-relative:margin;mso-wrap-style:none;z-index:251667456;mso-width-relative:page;mso-height-relative:page;" filled="f" stroked="f" coordsize="21600,21600" o:gfxdata="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jdGdu1gAAAAkBAAAPAAAAAAAAAAEAIAAAACIAAABkcnMvZG93bnJldi54bWxQ&#10;SwECFAAUAAAACACHTuJAm4x66jICAABjBAAADgAAAAAAAAABACAAAAAlAQAAZHJzL2Uyb0RvYy54&#10;bWxQSwUGAAAAAAYABgBZAQAAy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5552440</wp:posOffset>
              </wp:positionH>
              <wp:positionV relativeFrom="paragraph">
                <wp:posOffset>5715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37.2pt;margin-top:0.45pt;height:144pt;width:144pt;mso-position-horizontal-relative:margin;mso-wrap-style:none;z-index:251660288;mso-width-relative:page;mso-height-relative:page;" filled="f" stroked="f" coordsize="21600,21600" o:gfxdata="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3k7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jdGdu1gAAAAkBAAAPAAAAAAAAAAEAIAAAACIAAABkcnMvZG93bnJldi54bWxQ&#10;SwECFAAUAAAACACHTuJAf46tETICAABhBAAADgAAAAAAAAABACAAAAAlAQAAZHJzL2Uyb0RvYy54&#10;bWxQSwUGAAAAAAYABgBZAQAAy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posOffset>5552440</wp:posOffset>
              </wp:positionH>
              <wp:positionV relativeFrom="paragraph">
                <wp:posOffset>5715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37.2pt;margin-top:0.45pt;height:144pt;width:144pt;mso-position-horizontal-relative:margin;mso-wrap-style:none;z-index:251662336;mso-width-relative:page;mso-height-relative:page;" filled="f" stroked="f" coordsize="21600,21600" o:gfxdata="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N0Z27WAAAACQEAAA8AAAAAAAAAAQAgAAAAIgAAAGRycy9kb3ducmV2LnhtbFBL&#10;AQIUABQAAAAIAIdO4kDHl7XOMQIAAGEEAAAOAAAAAAAAAAEAIAAAACUBAABkcnMvZTJvRG9jLnht&#10;bFBLBQYAAAAABgAGAFkBAADI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rPr>
                        <w:rFonts w:hint="default"/>
                        <w:lang w:val="en-US" w:eastAsia="zh-CN"/>
                      </w:rPr>
                    </w:pPr>
                  </w:p>
                </w:txbxContent>
              </v:textbox>
            </v:shape>
          </w:pict>
        </mc:Fallback>
      </mc:AlternateContent>
    </w:r>
    <w:r>
      <w:rPr>
        <w:sz w:val="18"/>
      </w:rPr>
      <mc:AlternateContent>
        <mc:Choice Requires="wps">
          <w:drawing>
            <wp:anchor distT="0" distB="0" distL="114300" distR="114300" simplePos="0" relativeHeight="251672576" behindDoc="0" locked="0" layoutInCell="1" allowOverlap="1">
              <wp:simplePos x="0" y="0"/>
              <wp:positionH relativeFrom="margin">
                <wp:posOffset>5552440</wp:posOffset>
              </wp:positionH>
              <wp:positionV relativeFrom="paragraph">
                <wp:posOffset>5715</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37.2pt;margin-top:0.45pt;height:144pt;width:144pt;mso-position-horizontal-relative:margin;mso-wrap-style:none;z-index:251672576;mso-width-relative:page;mso-height-relative:page;" filled="f" stroked="f" coordsize="21600,21600" o:gfxdata="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43RnbtYAAAAJAQAADwAAAAAAAAABACAAAAAiAAAAZHJzL2Rvd25yZXYueG1s&#10;UEsBAhQAFAAAAAgAh07iQGxhYO8zAgAAYwQAAA4AAAAAAAAAAQAgAAAAJQEAAGRycy9lMm9Eb2Mu&#10;eG1sUEsFBgAAAAAGAAYAWQEAAMo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0528" behindDoc="0" locked="0" layoutInCell="1" allowOverlap="1">
              <wp:simplePos x="0" y="0"/>
              <wp:positionH relativeFrom="margin">
                <wp:posOffset>-48895</wp:posOffset>
              </wp:positionH>
              <wp:positionV relativeFrom="paragraph">
                <wp:posOffset>112395</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5pt;margin-top:8.85pt;height:144pt;width:144pt;mso-position-horizontal-relative:margin;mso-wrap-style:none;rotation:5898240f;z-index:251670528;mso-width-relative:page;mso-height-relative:page;" filled="f" stroked="f" coordsize="21600,21600" o:gfxdata="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d0JRfWAAAACQEAAA8AAAAAAAAAAQAgAAAAIgAAAGRycy9kb3du&#10;cmV2LnhtbFBLAQIUABQAAAAIAIdO4kAMeS07OgIAAHEEAAAOAAAAAAAAAAEAIAAAACUBAABkcnMv&#10;ZTJvRG9jLnhtbFBLBQYAAAAABgAGAFkBAADR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7696" behindDoc="0" locked="0" layoutInCell="1" allowOverlap="1">
              <wp:simplePos x="0" y="0"/>
              <wp:positionH relativeFrom="margin">
                <wp:posOffset>-86995</wp:posOffset>
              </wp:positionH>
              <wp:positionV relativeFrom="paragraph">
                <wp:posOffset>-44450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85pt;margin-top:-3.5pt;height:144pt;width:144pt;mso-position-horizontal-relative:margin;mso-wrap-style:none;rotation:5898240f;z-index:251677696;mso-width-relative:page;mso-height-relative:page;" filled="f" stroked="f" coordsize="21600,21600" o:gfxdata="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bHp5nXAAAACgEAAA8AAAAAAAAAAQAgAAAAIgAAAGRycy9kb3du&#10;cmV2LnhtbFBLAQIUABQAAAAIAIdO4kAwsGQoOQIAAHEEAAAOAAAAAAAAAAEAIAAAACYBAABkcnMv&#10;ZTJvRG9jLnhtbFBLBQYAAAAABgAGAFkBAADR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F217D"/>
    <w:multiLevelType w:val="singleLevel"/>
    <w:tmpl w:val="8DDF217D"/>
    <w:lvl w:ilvl="0" w:tentative="0">
      <w:start w:val="1"/>
      <w:numFmt w:val="chineseCounting"/>
      <w:suff w:val="nothing"/>
      <w:lvlText w:val="（%1）"/>
      <w:lvlJc w:val="left"/>
      <w:pPr>
        <w:tabs>
          <w:tab w:val="left" w:pos="0"/>
        </w:tabs>
        <w:ind w:left="0" w:firstLine="420"/>
      </w:pPr>
      <w:rPr>
        <w:rFonts w:hint="eastAsia" w:eastAsia="仿宋_GB2312"/>
      </w:rPr>
    </w:lvl>
  </w:abstractNum>
  <w:abstractNum w:abstractNumId="1">
    <w:nsid w:val="2C234B51"/>
    <w:multiLevelType w:val="singleLevel"/>
    <w:tmpl w:val="2C234B51"/>
    <w:lvl w:ilvl="0" w:tentative="0">
      <w:start w:val="2"/>
      <w:numFmt w:val="chineseCounting"/>
      <w:suff w:val="space"/>
      <w:lvlText w:val="第%1章"/>
      <w:lvlJc w:val="left"/>
      <w:pPr>
        <w:tabs>
          <w:tab w:val="left" w:pos="0"/>
        </w:tabs>
      </w:pPr>
      <w:rPr>
        <w:rFonts w:hint="eastAsia" w:eastAsia="黑体"/>
      </w:rPr>
    </w:lvl>
  </w:abstractNum>
  <w:abstractNum w:abstractNumId="2">
    <w:nsid w:val="2C7E6F71"/>
    <w:multiLevelType w:val="singleLevel"/>
    <w:tmpl w:val="2C7E6F71"/>
    <w:lvl w:ilvl="0" w:tentative="0">
      <w:start w:val="1"/>
      <w:numFmt w:val="chineseCounting"/>
      <w:suff w:val="space"/>
      <w:lvlText w:val="第%1条"/>
      <w:lvlJc w:val="left"/>
      <w:pPr>
        <w:tabs>
          <w:tab w:val="left" w:pos="0"/>
        </w:tabs>
      </w:pPr>
      <w:rPr>
        <w:rFonts w:hint="eastAsia" w:eastAsia="楷体"/>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58"/>
  <w:drawingGridVerticalSpacing w:val="323"/>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40736"/>
    <w:rsid w:val="002D1880"/>
    <w:rsid w:val="003C010C"/>
    <w:rsid w:val="004878D2"/>
    <w:rsid w:val="004B2009"/>
    <w:rsid w:val="00572754"/>
    <w:rsid w:val="009B7FD6"/>
    <w:rsid w:val="00E40809"/>
    <w:rsid w:val="00FA3B8C"/>
    <w:rsid w:val="011D6628"/>
    <w:rsid w:val="01287239"/>
    <w:rsid w:val="015C204A"/>
    <w:rsid w:val="016F7F38"/>
    <w:rsid w:val="017B1B4B"/>
    <w:rsid w:val="01A938BC"/>
    <w:rsid w:val="01B543CA"/>
    <w:rsid w:val="01F50F44"/>
    <w:rsid w:val="02174D26"/>
    <w:rsid w:val="026F3B50"/>
    <w:rsid w:val="02FA3105"/>
    <w:rsid w:val="03017F30"/>
    <w:rsid w:val="03536726"/>
    <w:rsid w:val="03587AC4"/>
    <w:rsid w:val="035D62B4"/>
    <w:rsid w:val="037B5016"/>
    <w:rsid w:val="04721B22"/>
    <w:rsid w:val="049F4D49"/>
    <w:rsid w:val="04A44409"/>
    <w:rsid w:val="04C4521E"/>
    <w:rsid w:val="04C85439"/>
    <w:rsid w:val="04CF23F4"/>
    <w:rsid w:val="04D06B5D"/>
    <w:rsid w:val="059F03C3"/>
    <w:rsid w:val="06174E1B"/>
    <w:rsid w:val="06A7629C"/>
    <w:rsid w:val="06D928F7"/>
    <w:rsid w:val="07846F6F"/>
    <w:rsid w:val="07B90158"/>
    <w:rsid w:val="07BB7BA1"/>
    <w:rsid w:val="07DA2435"/>
    <w:rsid w:val="07E308D5"/>
    <w:rsid w:val="08551A03"/>
    <w:rsid w:val="086346B1"/>
    <w:rsid w:val="08894675"/>
    <w:rsid w:val="08991ED1"/>
    <w:rsid w:val="08E13F41"/>
    <w:rsid w:val="09202385"/>
    <w:rsid w:val="092B7E2B"/>
    <w:rsid w:val="095F6064"/>
    <w:rsid w:val="0A031E43"/>
    <w:rsid w:val="0AA55929"/>
    <w:rsid w:val="0AA92FC4"/>
    <w:rsid w:val="0AB53623"/>
    <w:rsid w:val="0B516115"/>
    <w:rsid w:val="0B563536"/>
    <w:rsid w:val="0B942E4E"/>
    <w:rsid w:val="0BD14777"/>
    <w:rsid w:val="0BE733C6"/>
    <w:rsid w:val="0C0533D4"/>
    <w:rsid w:val="0C383CB9"/>
    <w:rsid w:val="0CCB2B07"/>
    <w:rsid w:val="0D37359E"/>
    <w:rsid w:val="0D7F0FED"/>
    <w:rsid w:val="0D85308A"/>
    <w:rsid w:val="0D8F6764"/>
    <w:rsid w:val="0DCF6448"/>
    <w:rsid w:val="0EB5648A"/>
    <w:rsid w:val="0F001D5B"/>
    <w:rsid w:val="0F25275C"/>
    <w:rsid w:val="0F2D25EB"/>
    <w:rsid w:val="0F4D34FD"/>
    <w:rsid w:val="0F4E5ACC"/>
    <w:rsid w:val="0F563C0B"/>
    <w:rsid w:val="0F9A351D"/>
    <w:rsid w:val="0FA07A83"/>
    <w:rsid w:val="0FC0384B"/>
    <w:rsid w:val="0FFC30FE"/>
    <w:rsid w:val="101C1C87"/>
    <w:rsid w:val="102C471E"/>
    <w:rsid w:val="105E743F"/>
    <w:rsid w:val="106F6524"/>
    <w:rsid w:val="10935644"/>
    <w:rsid w:val="1099454C"/>
    <w:rsid w:val="109A5AE6"/>
    <w:rsid w:val="11413EC2"/>
    <w:rsid w:val="11601BE5"/>
    <w:rsid w:val="11635590"/>
    <w:rsid w:val="116E37FE"/>
    <w:rsid w:val="116F05F2"/>
    <w:rsid w:val="11BF6F2E"/>
    <w:rsid w:val="11C74CB6"/>
    <w:rsid w:val="11D1332D"/>
    <w:rsid w:val="11D86869"/>
    <w:rsid w:val="11E60061"/>
    <w:rsid w:val="123B2CFD"/>
    <w:rsid w:val="127B0EEF"/>
    <w:rsid w:val="127C6928"/>
    <w:rsid w:val="129C0DAE"/>
    <w:rsid w:val="129E061C"/>
    <w:rsid w:val="12B3057D"/>
    <w:rsid w:val="12C646A3"/>
    <w:rsid w:val="130B6283"/>
    <w:rsid w:val="130F1CE5"/>
    <w:rsid w:val="131E5FD4"/>
    <w:rsid w:val="134249AE"/>
    <w:rsid w:val="13511F9F"/>
    <w:rsid w:val="13AB14F5"/>
    <w:rsid w:val="13D05BBF"/>
    <w:rsid w:val="13DC19B0"/>
    <w:rsid w:val="14200D25"/>
    <w:rsid w:val="14230C38"/>
    <w:rsid w:val="142F1144"/>
    <w:rsid w:val="14325E4F"/>
    <w:rsid w:val="143A2502"/>
    <w:rsid w:val="144B4039"/>
    <w:rsid w:val="147B2D7B"/>
    <w:rsid w:val="148D7948"/>
    <w:rsid w:val="148F2BF4"/>
    <w:rsid w:val="14B42A79"/>
    <w:rsid w:val="14B6585D"/>
    <w:rsid w:val="155A04DE"/>
    <w:rsid w:val="15BB65E0"/>
    <w:rsid w:val="15CD12D6"/>
    <w:rsid w:val="15D76602"/>
    <w:rsid w:val="15F216B5"/>
    <w:rsid w:val="160814C7"/>
    <w:rsid w:val="163D30EB"/>
    <w:rsid w:val="16567709"/>
    <w:rsid w:val="168000D1"/>
    <w:rsid w:val="169328FA"/>
    <w:rsid w:val="16FF6D8F"/>
    <w:rsid w:val="1728511E"/>
    <w:rsid w:val="172E6F3E"/>
    <w:rsid w:val="17361466"/>
    <w:rsid w:val="17767051"/>
    <w:rsid w:val="1788454E"/>
    <w:rsid w:val="17A850ED"/>
    <w:rsid w:val="17CA40A7"/>
    <w:rsid w:val="17E30612"/>
    <w:rsid w:val="17EB01B9"/>
    <w:rsid w:val="18040B72"/>
    <w:rsid w:val="185F2BDE"/>
    <w:rsid w:val="18750782"/>
    <w:rsid w:val="188F7DC3"/>
    <w:rsid w:val="18932F0E"/>
    <w:rsid w:val="18C51858"/>
    <w:rsid w:val="18DC7C0B"/>
    <w:rsid w:val="18FE07E6"/>
    <w:rsid w:val="1936446C"/>
    <w:rsid w:val="19BD6E49"/>
    <w:rsid w:val="19C931A0"/>
    <w:rsid w:val="19E60961"/>
    <w:rsid w:val="19F368E9"/>
    <w:rsid w:val="1A9F6369"/>
    <w:rsid w:val="1AB638D1"/>
    <w:rsid w:val="1B031EF7"/>
    <w:rsid w:val="1B241F6C"/>
    <w:rsid w:val="1B396E1B"/>
    <w:rsid w:val="1B687CF0"/>
    <w:rsid w:val="1B8374A0"/>
    <w:rsid w:val="1BE13986"/>
    <w:rsid w:val="1BEE1AD8"/>
    <w:rsid w:val="1BFF2387"/>
    <w:rsid w:val="1C294256"/>
    <w:rsid w:val="1C331EF7"/>
    <w:rsid w:val="1C3B2407"/>
    <w:rsid w:val="1C40703F"/>
    <w:rsid w:val="1C4938BF"/>
    <w:rsid w:val="1C5E7B97"/>
    <w:rsid w:val="1C7E777E"/>
    <w:rsid w:val="1CC133F1"/>
    <w:rsid w:val="1CC42C9D"/>
    <w:rsid w:val="1CE906C5"/>
    <w:rsid w:val="1CFB0301"/>
    <w:rsid w:val="1D030A9B"/>
    <w:rsid w:val="1D190626"/>
    <w:rsid w:val="1D1B0660"/>
    <w:rsid w:val="1D1B4FFA"/>
    <w:rsid w:val="1D2B419A"/>
    <w:rsid w:val="1D320933"/>
    <w:rsid w:val="1D4507E6"/>
    <w:rsid w:val="1D6E625A"/>
    <w:rsid w:val="1D970BB1"/>
    <w:rsid w:val="1D9C2E4D"/>
    <w:rsid w:val="1DE40775"/>
    <w:rsid w:val="1E0868E9"/>
    <w:rsid w:val="1E0D1D73"/>
    <w:rsid w:val="1E4B49DC"/>
    <w:rsid w:val="1E50344F"/>
    <w:rsid w:val="1E5305A8"/>
    <w:rsid w:val="1E6571A4"/>
    <w:rsid w:val="1EBF13EA"/>
    <w:rsid w:val="1F360C1D"/>
    <w:rsid w:val="1F457FA2"/>
    <w:rsid w:val="1F5A58F8"/>
    <w:rsid w:val="1F651F3F"/>
    <w:rsid w:val="1F7647E5"/>
    <w:rsid w:val="1FAF50F2"/>
    <w:rsid w:val="1FBC18F5"/>
    <w:rsid w:val="1FBF6614"/>
    <w:rsid w:val="1FDA7CBC"/>
    <w:rsid w:val="202E3FB7"/>
    <w:rsid w:val="20302B89"/>
    <w:rsid w:val="2034700B"/>
    <w:rsid w:val="203D482E"/>
    <w:rsid w:val="204B3275"/>
    <w:rsid w:val="207E4A7E"/>
    <w:rsid w:val="20AB3EB1"/>
    <w:rsid w:val="21616DA2"/>
    <w:rsid w:val="21B07A81"/>
    <w:rsid w:val="21BC5ECE"/>
    <w:rsid w:val="21CA6EEE"/>
    <w:rsid w:val="21CD4F50"/>
    <w:rsid w:val="22142199"/>
    <w:rsid w:val="22D374C3"/>
    <w:rsid w:val="231607A9"/>
    <w:rsid w:val="2388332A"/>
    <w:rsid w:val="23BE0B14"/>
    <w:rsid w:val="23C87652"/>
    <w:rsid w:val="24301FE5"/>
    <w:rsid w:val="24443031"/>
    <w:rsid w:val="24802CB0"/>
    <w:rsid w:val="24D107C7"/>
    <w:rsid w:val="25593321"/>
    <w:rsid w:val="25733A89"/>
    <w:rsid w:val="25783B09"/>
    <w:rsid w:val="257866EA"/>
    <w:rsid w:val="259A3E74"/>
    <w:rsid w:val="25A86F6C"/>
    <w:rsid w:val="25D40228"/>
    <w:rsid w:val="26685C32"/>
    <w:rsid w:val="2698181B"/>
    <w:rsid w:val="26A663A1"/>
    <w:rsid w:val="26B3795E"/>
    <w:rsid w:val="26B61D3C"/>
    <w:rsid w:val="26C86D63"/>
    <w:rsid w:val="27651FEC"/>
    <w:rsid w:val="276F7604"/>
    <w:rsid w:val="277C7593"/>
    <w:rsid w:val="27BF53FE"/>
    <w:rsid w:val="27D42DA9"/>
    <w:rsid w:val="27E93CE7"/>
    <w:rsid w:val="27FB527D"/>
    <w:rsid w:val="28185B67"/>
    <w:rsid w:val="28425AB1"/>
    <w:rsid w:val="28495958"/>
    <w:rsid w:val="28826D71"/>
    <w:rsid w:val="28B0774C"/>
    <w:rsid w:val="28F93EA8"/>
    <w:rsid w:val="29162EBE"/>
    <w:rsid w:val="2966478F"/>
    <w:rsid w:val="29A471E2"/>
    <w:rsid w:val="29B36BAB"/>
    <w:rsid w:val="29F50676"/>
    <w:rsid w:val="2A1D2634"/>
    <w:rsid w:val="2A350D1F"/>
    <w:rsid w:val="2A6F3165"/>
    <w:rsid w:val="2A965D32"/>
    <w:rsid w:val="2ABA3239"/>
    <w:rsid w:val="2B0B147B"/>
    <w:rsid w:val="2B76393C"/>
    <w:rsid w:val="2BB97A9A"/>
    <w:rsid w:val="2BD45815"/>
    <w:rsid w:val="2BE93329"/>
    <w:rsid w:val="2BED6C16"/>
    <w:rsid w:val="2C1E59F9"/>
    <w:rsid w:val="2C4341E7"/>
    <w:rsid w:val="2C596FA7"/>
    <w:rsid w:val="2C7B0347"/>
    <w:rsid w:val="2C8B68E3"/>
    <w:rsid w:val="2C960C4A"/>
    <w:rsid w:val="2CA223E3"/>
    <w:rsid w:val="2CE86D7A"/>
    <w:rsid w:val="2D0B5D8E"/>
    <w:rsid w:val="2D1F4E06"/>
    <w:rsid w:val="2D600C2F"/>
    <w:rsid w:val="2DE832C5"/>
    <w:rsid w:val="2E097527"/>
    <w:rsid w:val="2E1A75FB"/>
    <w:rsid w:val="2E2E49EB"/>
    <w:rsid w:val="2E4A39C8"/>
    <w:rsid w:val="2E6A4F50"/>
    <w:rsid w:val="2E712AE4"/>
    <w:rsid w:val="2EBB2393"/>
    <w:rsid w:val="2EC12689"/>
    <w:rsid w:val="2F021BA2"/>
    <w:rsid w:val="2F0731B7"/>
    <w:rsid w:val="2F415090"/>
    <w:rsid w:val="2F604F4B"/>
    <w:rsid w:val="2F663E9E"/>
    <w:rsid w:val="2F8F6731"/>
    <w:rsid w:val="2FCB354B"/>
    <w:rsid w:val="2FEA00C8"/>
    <w:rsid w:val="2FF2192F"/>
    <w:rsid w:val="30163843"/>
    <w:rsid w:val="3032419E"/>
    <w:rsid w:val="303311AF"/>
    <w:rsid w:val="305B0E9A"/>
    <w:rsid w:val="30C004BC"/>
    <w:rsid w:val="30E74595"/>
    <w:rsid w:val="3144098E"/>
    <w:rsid w:val="315C5E09"/>
    <w:rsid w:val="317E7738"/>
    <w:rsid w:val="31AD3B4E"/>
    <w:rsid w:val="31B67EF2"/>
    <w:rsid w:val="31FF49AA"/>
    <w:rsid w:val="321E15B7"/>
    <w:rsid w:val="32214EC7"/>
    <w:rsid w:val="323C2500"/>
    <w:rsid w:val="323C5C66"/>
    <w:rsid w:val="328459CB"/>
    <w:rsid w:val="3287499F"/>
    <w:rsid w:val="32A02CD8"/>
    <w:rsid w:val="32BE07A9"/>
    <w:rsid w:val="32C75308"/>
    <w:rsid w:val="32DE3660"/>
    <w:rsid w:val="33282426"/>
    <w:rsid w:val="333E3D5D"/>
    <w:rsid w:val="33603089"/>
    <w:rsid w:val="337D0B93"/>
    <w:rsid w:val="337D55EE"/>
    <w:rsid w:val="33897E80"/>
    <w:rsid w:val="33A36FB3"/>
    <w:rsid w:val="3474097F"/>
    <w:rsid w:val="34764875"/>
    <w:rsid w:val="347659E4"/>
    <w:rsid w:val="35007207"/>
    <w:rsid w:val="35395BA8"/>
    <w:rsid w:val="3542750A"/>
    <w:rsid w:val="357F0475"/>
    <w:rsid w:val="35D553C0"/>
    <w:rsid w:val="35EC4EE5"/>
    <w:rsid w:val="362D1A3B"/>
    <w:rsid w:val="364C0E37"/>
    <w:rsid w:val="367F604F"/>
    <w:rsid w:val="36F5028F"/>
    <w:rsid w:val="37187DE1"/>
    <w:rsid w:val="37490D32"/>
    <w:rsid w:val="37954CCD"/>
    <w:rsid w:val="37A85B83"/>
    <w:rsid w:val="37B46607"/>
    <w:rsid w:val="37D745B7"/>
    <w:rsid w:val="381527CE"/>
    <w:rsid w:val="38187F80"/>
    <w:rsid w:val="383B1E18"/>
    <w:rsid w:val="384B2E35"/>
    <w:rsid w:val="385C1F8B"/>
    <w:rsid w:val="385E0DF6"/>
    <w:rsid w:val="389773B0"/>
    <w:rsid w:val="38D34C4B"/>
    <w:rsid w:val="390E67F1"/>
    <w:rsid w:val="39CE562E"/>
    <w:rsid w:val="39DC5258"/>
    <w:rsid w:val="39E57752"/>
    <w:rsid w:val="39F1718E"/>
    <w:rsid w:val="3A5373BD"/>
    <w:rsid w:val="3AAD1181"/>
    <w:rsid w:val="3B057ABD"/>
    <w:rsid w:val="3B2B3DF3"/>
    <w:rsid w:val="3B3874C0"/>
    <w:rsid w:val="3B4320B0"/>
    <w:rsid w:val="3B750066"/>
    <w:rsid w:val="3B7D7D84"/>
    <w:rsid w:val="3B82050A"/>
    <w:rsid w:val="3BF50C6D"/>
    <w:rsid w:val="3C2A14FF"/>
    <w:rsid w:val="3C311392"/>
    <w:rsid w:val="3C422788"/>
    <w:rsid w:val="3C4E29BB"/>
    <w:rsid w:val="3C7C028D"/>
    <w:rsid w:val="3C975657"/>
    <w:rsid w:val="3CAF64F5"/>
    <w:rsid w:val="3D117145"/>
    <w:rsid w:val="3D1F0578"/>
    <w:rsid w:val="3D2D590A"/>
    <w:rsid w:val="3D362A6D"/>
    <w:rsid w:val="3D5C7731"/>
    <w:rsid w:val="3D8510FB"/>
    <w:rsid w:val="3D9D1870"/>
    <w:rsid w:val="3DCC1CF5"/>
    <w:rsid w:val="3DD446FE"/>
    <w:rsid w:val="3E253911"/>
    <w:rsid w:val="3E2B50E4"/>
    <w:rsid w:val="3E2F6162"/>
    <w:rsid w:val="3E5040AD"/>
    <w:rsid w:val="3E587EE2"/>
    <w:rsid w:val="3E5C7CF3"/>
    <w:rsid w:val="3E6F7B09"/>
    <w:rsid w:val="3E721C50"/>
    <w:rsid w:val="3E891E13"/>
    <w:rsid w:val="3E9D6BF6"/>
    <w:rsid w:val="3EAF7C0E"/>
    <w:rsid w:val="3EB37C01"/>
    <w:rsid w:val="3ECF760F"/>
    <w:rsid w:val="3EFB3AFD"/>
    <w:rsid w:val="3F253021"/>
    <w:rsid w:val="3F796908"/>
    <w:rsid w:val="3F8A6E12"/>
    <w:rsid w:val="3FCD62F9"/>
    <w:rsid w:val="3FFB4FA3"/>
    <w:rsid w:val="40614A4A"/>
    <w:rsid w:val="41204421"/>
    <w:rsid w:val="41245A48"/>
    <w:rsid w:val="41634A59"/>
    <w:rsid w:val="41921B43"/>
    <w:rsid w:val="419271CE"/>
    <w:rsid w:val="41F21BFA"/>
    <w:rsid w:val="4207421C"/>
    <w:rsid w:val="422E77D5"/>
    <w:rsid w:val="424A4063"/>
    <w:rsid w:val="426239A6"/>
    <w:rsid w:val="4279639E"/>
    <w:rsid w:val="42891864"/>
    <w:rsid w:val="42EF37D7"/>
    <w:rsid w:val="43191D4C"/>
    <w:rsid w:val="434130DE"/>
    <w:rsid w:val="437F59F3"/>
    <w:rsid w:val="43A74A83"/>
    <w:rsid w:val="43BC0595"/>
    <w:rsid w:val="44057614"/>
    <w:rsid w:val="44506B88"/>
    <w:rsid w:val="44911A12"/>
    <w:rsid w:val="44933B40"/>
    <w:rsid w:val="44A4409C"/>
    <w:rsid w:val="44D3150A"/>
    <w:rsid w:val="450C2D4E"/>
    <w:rsid w:val="45104917"/>
    <w:rsid w:val="4521593F"/>
    <w:rsid w:val="453C140D"/>
    <w:rsid w:val="455A3385"/>
    <w:rsid w:val="45CA1CF0"/>
    <w:rsid w:val="45CB5B9F"/>
    <w:rsid w:val="45D41E2A"/>
    <w:rsid w:val="45DA5B26"/>
    <w:rsid w:val="45F04178"/>
    <w:rsid w:val="45FD5455"/>
    <w:rsid w:val="463C0CF7"/>
    <w:rsid w:val="46442C19"/>
    <w:rsid w:val="46462243"/>
    <w:rsid w:val="464A3D19"/>
    <w:rsid w:val="46673519"/>
    <w:rsid w:val="46797ED4"/>
    <w:rsid w:val="46C87E41"/>
    <w:rsid w:val="46D05A39"/>
    <w:rsid w:val="46D32E97"/>
    <w:rsid w:val="46DA29D4"/>
    <w:rsid w:val="47045C9D"/>
    <w:rsid w:val="475C4DD6"/>
    <w:rsid w:val="476272EB"/>
    <w:rsid w:val="476D745F"/>
    <w:rsid w:val="47705B3B"/>
    <w:rsid w:val="47906205"/>
    <w:rsid w:val="47A4650B"/>
    <w:rsid w:val="47A87942"/>
    <w:rsid w:val="47DE47DE"/>
    <w:rsid w:val="48181493"/>
    <w:rsid w:val="482A1FEA"/>
    <w:rsid w:val="483139ED"/>
    <w:rsid w:val="48466ABF"/>
    <w:rsid w:val="4864055F"/>
    <w:rsid w:val="48743CD6"/>
    <w:rsid w:val="48BE7227"/>
    <w:rsid w:val="48FD061F"/>
    <w:rsid w:val="49035EE2"/>
    <w:rsid w:val="490B097A"/>
    <w:rsid w:val="49333D9D"/>
    <w:rsid w:val="494D48EA"/>
    <w:rsid w:val="49561BDE"/>
    <w:rsid w:val="496A090A"/>
    <w:rsid w:val="497920DF"/>
    <w:rsid w:val="49C01168"/>
    <w:rsid w:val="49C36E82"/>
    <w:rsid w:val="49C81495"/>
    <w:rsid w:val="49FD380E"/>
    <w:rsid w:val="4A022F2D"/>
    <w:rsid w:val="4A7D1ACE"/>
    <w:rsid w:val="4AD71002"/>
    <w:rsid w:val="4ADA36C9"/>
    <w:rsid w:val="4AE008FE"/>
    <w:rsid w:val="4AE01B1F"/>
    <w:rsid w:val="4AF944EA"/>
    <w:rsid w:val="4B350E1D"/>
    <w:rsid w:val="4B4539D1"/>
    <w:rsid w:val="4B4D352C"/>
    <w:rsid w:val="4B860CF5"/>
    <w:rsid w:val="4B867ECB"/>
    <w:rsid w:val="4B993607"/>
    <w:rsid w:val="4BA25462"/>
    <w:rsid w:val="4BA474C4"/>
    <w:rsid w:val="4BC80A98"/>
    <w:rsid w:val="4C043FA2"/>
    <w:rsid w:val="4C0C0A58"/>
    <w:rsid w:val="4C154092"/>
    <w:rsid w:val="4C1972AE"/>
    <w:rsid w:val="4C45588E"/>
    <w:rsid w:val="4C58337D"/>
    <w:rsid w:val="4C794C7A"/>
    <w:rsid w:val="4CBE25DA"/>
    <w:rsid w:val="4CD44ED8"/>
    <w:rsid w:val="4CD52B0A"/>
    <w:rsid w:val="4D1E507D"/>
    <w:rsid w:val="4D304433"/>
    <w:rsid w:val="4D54233E"/>
    <w:rsid w:val="4E7D4DC3"/>
    <w:rsid w:val="4E8F78C8"/>
    <w:rsid w:val="4E9B4D9F"/>
    <w:rsid w:val="4EC31BB5"/>
    <w:rsid w:val="4F03611E"/>
    <w:rsid w:val="4F103B2F"/>
    <w:rsid w:val="4F2A74D8"/>
    <w:rsid w:val="4F445F93"/>
    <w:rsid w:val="4F6D69E3"/>
    <w:rsid w:val="4FB011F5"/>
    <w:rsid w:val="4FD22C46"/>
    <w:rsid w:val="4FF80F0D"/>
    <w:rsid w:val="4FF8513D"/>
    <w:rsid w:val="5016558C"/>
    <w:rsid w:val="50A26DC8"/>
    <w:rsid w:val="50C26D57"/>
    <w:rsid w:val="50C82FD7"/>
    <w:rsid w:val="50CE4AF0"/>
    <w:rsid w:val="510572DD"/>
    <w:rsid w:val="51273663"/>
    <w:rsid w:val="51422E4B"/>
    <w:rsid w:val="51475B7A"/>
    <w:rsid w:val="51804FA6"/>
    <w:rsid w:val="518631D4"/>
    <w:rsid w:val="519B6746"/>
    <w:rsid w:val="51BD7BC6"/>
    <w:rsid w:val="51BE7E5F"/>
    <w:rsid w:val="51D90818"/>
    <w:rsid w:val="524F47C2"/>
    <w:rsid w:val="53393AF1"/>
    <w:rsid w:val="537014EA"/>
    <w:rsid w:val="53CB3771"/>
    <w:rsid w:val="53D11ED8"/>
    <w:rsid w:val="53DB0E22"/>
    <w:rsid w:val="53E27F81"/>
    <w:rsid w:val="53FC6F83"/>
    <w:rsid w:val="54497E57"/>
    <w:rsid w:val="54530B36"/>
    <w:rsid w:val="545F0720"/>
    <w:rsid w:val="54796FCB"/>
    <w:rsid w:val="54872CCC"/>
    <w:rsid w:val="54972439"/>
    <w:rsid w:val="549B1AE4"/>
    <w:rsid w:val="54B53DF3"/>
    <w:rsid w:val="550B794C"/>
    <w:rsid w:val="553A778E"/>
    <w:rsid w:val="559B0303"/>
    <w:rsid w:val="55B7234B"/>
    <w:rsid w:val="562A6771"/>
    <w:rsid w:val="564545A6"/>
    <w:rsid w:val="564E636B"/>
    <w:rsid w:val="566E712A"/>
    <w:rsid w:val="567121F2"/>
    <w:rsid w:val="568833F8"/>
    <w:rsid w:val="56A548A6"/>
    <w:rsid w:val="56CA4BB4"/>
    <w:rsid w:val="56E73F44"/>
    <w:rsid w:val="56F76DD9"/>
    <w:rsid w:val="572370BA"/>
    <w:rsid w:val="57685D6E"/>
    <w:rsid w:val="577C7A64"/>
    <w:rsid w:val="57886E55"/>
    <w:rsid w:val="57927550"/>
    <w:rsid w:val="57B424B7"/>
    <w:rsid w:val="57BA2ABF"/>
    <w:rsid w:val="57F531C2"/>
    <w:rsid w:val="58263DB1"/>
    <w:rsid w:val="582F0EC6"/>
    <w:rsid w:val="583567C7"/>
    <w:rsid w:val="58381BD1"/>
    <w:rsid w:val="587326B0"/>
    <w:rsid w:val="58810A50"/>
    <w:rsid w:val="58A15D2B"/>
    <w:rsid w:val="58BF382A"/>
    <w:rsid w:val="58F71433"/>
    <w:rsid w:val="590A5A3C"/>
    <w:rsid w:val="59387B9A"/>
    <w:rsid w:val="59680FED"/>
    <w:rsid w:val="59851B65"/>
    <w:rsid w:val="599C2388"/>
    <w:rsid w:val="5A0677D6"/>
    <w:rsid w:val="5A106B8E"/>
    <w:rsid w:val="5A1310BE"/>
    <w:rsid w:val="5A8B41D4"/>
    <w:rsid w:val="5B695913"/>
    <w:rsid w:val="5B745EB5"/>
    <w:rsid w:val="5BE20B42"/>
    <w:rsid w:val="5C0F2CA6"/>
    <w:rsid w:val="5C1213A1"/>
    <w:rsid w:val="5C591F30"/>
    <w:rsid w:val="5C7F1F03"/>
    <w:rsid w:val="5CB71F6E"/>
    <w:rsid w:val="5CC75436"/>
    <w:rsid w:val="5CF91FF7"/>
    <w:rsid w:val="5D2946D5"/>
    <w:rsid w:val="5D983ABA"/>
    <w:rsid w:val="5DC25C81"/>
    <w:rsid w:val="5DDC1560"/>
    <w:rsid w:val="5E153F88"/>
    <w:rsid w:val="5E2F7FEE"/>
    <w:rsid w:val="5E4117FD"/>
    <w:rsid w:val="5E884D16"/>
    <w:rsid w:val="5E8D7445"/>
    <w:rsid w:val="5EE9649E"/>
    <w:rsid w:val="5F317B84"/>
    <w:rsid w:val="5F4D71B0"/>
    <w:rsid w:val="5FD11613"/>
    <w:rsid w:val="5FE32EFA"/>
    <w:rsid w:val="60007227"/>
    <w:rsid w:val="602004B5"/>
    <w:rsid w:val="602815F3"/>
    <w:rsid w:val="60284A42"/>
    <w:rsid w:val="602B696E"/>
    <w:rsid w:val="60473077"/>
    <w:rsid w:val="607D290B"/>
    <w:rsid w:val="60B32C55"/>
    <w:rsid w:val="60C11791"/>
    <w:rsid w:val="60EE6C42"/>
    <w:rsid w:val="60F87062"/>
    <w:rsid w:val="61E375C8"/>
    <w:rsid w:val="61EF5BF0"/>
    <w:rsid w:val="6201328E"/>
    <w:rsid w:val="62133CFA"/>
    <w:rsid w:val="62257232"/>
    <w:rsid w:val="62B52206"/>
    <w:rsid w:val="62C9739B"/>
    <w:rsid w:val="62F24F83"/>
    <w:rsid w:val="62F96C04"/>
    <w:rsid w:val="6329624E"/>
    <w:rsid w:val="636C11A6"/>
    <w:rsid w:val="636F46BD"/>
    <w:rsid w:val="637A69BD"/>
    <w:rsid w:val="63B82E41"/>
    <w:rsid w:val="63D35880"/>
    <w:rsid w:val="63E366BE"/>
    <w:rsid w:val="63ED316F"/>
    <w:rsid w:val="640678DF"/>
    <w:rsid w:val="642B0DDA"/>
    <w:rsid w:val="645A1F54"/>
    <w:rsid w:val="64796FC9"/>
    <w:rsid w:val="64A01E63"/>
    <w:rsid w:val="64A45035"/>
    <w:rsid w:val="64A71EE6"/>
    <w:rsid w:val="64D350F5"/>
    <w:rsid w:val="64D47179"/>
    <w:rsid w:val="64E30E42"/>
    <w:rsid w:val="64EA140F"/>
    <w:rsid w:val="64EA1D2B"/>
    <w:rsid w:val="64EC767D"/>
    <w:rsid w:val="65223F21"/>
    <w:rsid w:val="65324E50"/>
    <w:rsid w:val="654A236A"/>
    <w:rsid w:val="656E3238"/>
    <w:rsid w:val="657B4147"/>
    <w:rsid w:val="65B846D8"/>
    <w:rsid w:val="65C12BA8"/>
    <w:rsid w:val="663B0C65"/>
    <w:rsid w:val="66E029CD"/>
    <w:rsid w:val="66F53D26"/>
    <w:rsid w:val="670E5BBE"/>
    <w:rsid w:val="67105BC1"/>
    <w:rsid w:val="676A3ACB"/>
    <w:rsid w:val="67765B7D"/>
    <w:rsid w:val="67AB06F6"/>
    <w:rsid w:val="6803117E"/>
    <w:rsid w:val="6820562C"/>
    <w:rsid w:val="68241296"/>
    <w:rsid w:val="68450D55"/>
    <w:rsid w:val="68926698"/>
    <w:rsid w:val="68B93E2B"/>
    <w:rsid w:val="68DD4D2C"/>
    <w:rsid w:val="68E8779C"/>
    <w:rsid w:val="68F55AB5"/>
    <w:rsid w:val="692C528C"/>
    <w:rsid w:val="695422F2"/>
    <w:rsid w:val="698331DE"/>
    <w:rsid w:val="699A2B68"/>
    <w:rsid w:val="69A6703C"/>
    <w:rsid w:val="69C971F9"/>
    <w:rsid w:val="6A794ABA"/>
    <w:rsid w:val="6A947B90"/>
    <w:rsid w:val="6AC0008E"/>
    <w:rsid w:val="6AC60EDE"/>
    <w:rsid w:val="6AF756FE"/>
    <w:rsid w:val="6B1B3AB4"/>
    <w:rsid w:val="6B271245"/>
    <w:rsid w:val="6B5C7EDD"/>
    <w:rsid w:val="6B5D42F8"/>
    <w:rsid w:val="6B9141AB"/>
    <w:rsid w:val="6BAE6D91"/>
    <w:rsid w:val="6BB4674B"/>
    <w:rsid w:val="6BB72A76"/>
    <w:rsid w:val="6BC92C66"/>
    <w:rsid w:val="6BCE00CF"/>
    <w:rsid w:val="6BE742A5"/>
    <w:rsid w:val="6C2D2689"/>
    <w:rsid w:val="6C323A6D"/>
    <w:rsid w:val="6C4B29F6"/>
    <w:rsid w:val="6C9D6D61"/>
    <w:rsid w:val="6CBC2C16"/>
    <w:rsid w:val="6D1C5A7D"/>
    <w:rsid w:val="6D255D06"/>
    <w:rsid w:val="6D2876CA"/>
    <w:rsid w:val="6D617777"/>
    <w:rsid w:val="6D703871"/>
    <w:rsid w:val="6D8B314B"/>
    <w:rsid w:val="6DBB1830"/>
    <w:rsid w:val="6DBE7386"/>
    <w:rsid w:val="6E052019"/>
    <w:rsid w:val="6E2B41BE"/>
    <w:rsid w:val="6E853FE4"/>
    <w:rsid w:val="6E9920CB"/>
    <w:rsid w:val="6EE72DE4"/>
    <w:rsid w:val="6F1766A5"/>
    <w:rsid w:val="6F3F681A"/>
    <w:rsid w:val="6F4B749D"/>
    <w:rsid w:val="6FB628CE"/>
    <w:rsid w:val="6FC171EA"/>
    <w:rsid w:val="6FE165D4"/>
    <w:rsid w:val="7037568F"/>
    <w:rsid w:val="705F3657"/>
    <w:rsid w:val="70625D0A"/>
    <w:rsid w:val="7087672B"/>
    <w:rsid w:val="70971BDD"/>
    <w:rsid w:val="709B0508"/>
    <w:rsid w:val="713A0881"/>
    <w:rsid w:val="7145180D"/>
    <w:rsid w:val="717206B7"/>
    <w:rsid w:val="71AC7045"/>
    <w:rsid w:val="72617125"/>
    <w:rsid w:val="726418D5"/>
    <w:rsid w:val="72CF266D"/>
    <w:rsid w:val="72FE7F20"/>
    <w:rsid w:val="72FF7AEB"/>
    <w:rsid w:val="73544913"/>
    <w:rsid w:val="73561B0E"/>
    <w:rsid w:val="73900A5E"/>
    <w:rsid w:val="74AA220B"/>
    <w:rsid w:val="74DA60DB"/>
    <w:rsid w:val="74E81991"/>
    <w:rsid w:val="75833FAD"/>
    <w:rsid w:val="75871CFB"/>
    <w:rsid w:val="758B0189"/>
    <w:rsid w:val="75957941"/>
    <w:rsid w:val="75D4186D"/>
    <w:rsid w:val="75F55D3D"/>
    <w:rsid w:val="760D6E14"/>
    <w:rsid w:val="7613442C"/>
    <w:rsid w:val="76243C11"/>
    <w:rsid w:val="765907C5"/>
    <w:rsid w:val="767E672D"/>
    <w:rsid w:val="76822C85"/>
    <w:rsid w:val="76AE7AFB"/>
    <w:rsid w:val="76C24308"/>
    <w:rsid w:val="76CB0E96"/>
    <w:rsid w:val="76DE20EC"/>
    <w:rsid w:val="76F61E10"/>
    <w:rsid w:val="76F67BAF"/>
    <w:rsid w:val="77597A0F"/>
    <w:rsid w:val="77605C03"/>
    <w:rsid w:val="776535A0"/>
    <w:rsid w:val="77BF74C3"/>
    <w:rsid w:val="77DD0754"/>
    <w:rsid w:val="78191925"/>
    <w:rsid w:val="78416103"/>
    <w:rsid w:val="784D5BA4"/>
    <w:rsid w:val="78587348"/>
    <w:rsid w:val="78FB45C5"/>
    <w:rsid w:val="79067337"/>
    <w:rsid w:val="79643BB9"/>
    <w:rsid w:val="796E061E"/>
    <w:rsid w:val="79E04251"/>
    <w:rsid w:val="7A5D12FB"/>
    <w:rsid w:val="7AA73936"/>
    <w:rsid w:val="7AEA0770"/>
    <w:rsid w:val="7B10122F"/>
    <w:rsid w:val="7B2328C4"/>
    <w:rsid w:val="7B8F1F63"/>
    <w:rsid w:val="7BA67FF3"/>
    <w:rsid w:val="7BB6127B"/>
    <w:rsid w:val="7BD9305F"/>
    <w:rsid w:val="7BDB74A2"/>
    <w:rsid w:val="7C3E1660"/>
    <w:rsid w:val="7CB25E91"/>
    <w:rsid w:val="7CB46AF8"/>
    <w:rsid w:val="7CC24C5B"/>
    <w:rsid w:val="7CD24939"/>
    <w:rsid w:val="7CEC315C"/>
    <w:rsid w:val="7CF45E5E"/>
    <w:rsid w:val="7D883301"/>
    <w:rsid w:val="7E044E72"/>
    <w:rsid w:val="7E0E6C73"/>
    <w:rsid w:val="7E6163CE"/>
    <w:rsid w:val="7E622A62"/>
    <w:rsid w:val="7E8F472B"/>
    <w:rsid w:val="7EB661A8"/>
    <w:rsid w:val="7EDC6BCC"/>
    <w:rsid w:val="7EFB47EC"/>
    <w:rsid w:val="7F600FBC"/>
    <w:rsid w:val="7F662326"/>
    <w:rsid w:val="7FBC350A"/>
    <w:rsid w:val="7FEB5F91"/>
    <w:rsid w:val="7FFC6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1"/>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keepNext w:val="0"/>
      <w:keepLines w:val="0"/>
      <w:widowControl w:val="0"/>
      <w:suppressLineNumbers w:val="0"/>
      <w:spacing w:before="0" w:beforeAutospacing="0" w:after="0" w:afterAutospacing="0"/>
      <w:ind w:left="0" w:right="0"/>
      <w:jc w:val="left"/>
    </w:pPr>
    <w:rPr>
      <w:rFonts w:hint="eastAsia" w:ascii="仿宋_GB2312" w:eastAsia="仿宋_GB2312" w:cs="仿宋_GB2312"/>
      <w:kern w:val="21"/>
      <w:sz w:val="32"/>
      <w:szCs w:val="32"/>
      <w:lang w:val="en-US" w:eastAsia="zh-CN" w:bidi="ar"/>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10931</Words>
  <Characters>11241</Characters>
  <Lines>1</Lines>
  <Paragraphs>1</Paragraphs>
  <TotalTime>17</TotalTime>
  <ScaleCrop>false</ScaleCrop>
  <LinksUpToDate>false</LinksUpToDate>
  <CharactersWithSpaces>11641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2021-03-02T06:49:00Z</dcterms:created>
  <dc:creator>lenovo</dc:creator>
  <cp:lastModifiedBy>Eflyer-谢工</cp:lastModifiedBy>
  <cp:lastPrinted>2021-04-14T02:14:00Z</cp:lastPrinted>
  <dcterms:modified xsi:type="dcterms:W3CDTF">2021-07-16T10:30:41Z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E621467D44CB4ED6B8E97347EB28DA7F</vt:lpwstr>
  </property>
</Properties>
</file>