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10423" w:type="dxa"/>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连平县法律服务网服务事项指南</w:t>
            </w:r>
          </w:p>
        </w:tc>
      </w:tr>
    </w:tbl>
    <w:p>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连平县各村</w:t>
      </w:r>
      <w:r>
        <w:rPr>
          <w:rFonts w:ascii="宋体" w:hAnsi="宋体" w:eastAsia="宋体" w:cs="宋体"/>
          <w:color w:val="000000"/>
          <w:sz w:val="20"/>
          <w:szCs w:val="20"/>
        </w:rPr>
        <w:t>公共法律服务</w:t>
      </w:r>
      <w:r>
        <w:rPr>
          <w:rFonts w:hint="eastAsia" w:ascii="宋体" w:hAnsi="宋体" w:eastAsia="宋体" w:cs="宋体"/>
          <w:color w:val="000000"/>
          <w:sz w:val="20"/>
          <w:szCs w:val="20"/>
        </w:rPr>
        <w:t>工作室</w:t>
      </w:r>
      <w:r>
        <w:rPr>
          <w:rFonts w:ascii="宋体" w:hAnsi="宋体" w:eastAsia="宋体" w:cs="宋体"/>
          <w:color w:val="000000"/>
          <w:sz w:val="20"/>
          <w:szCs w:val="20"/>
        </w:rPr>
        <w:t xml:space="preserve">                 </w:t>
      </w:r>
    </w:p>
    <w:tbl>
      <w:tblPr>
        <w:tblStyle w:val="5"/>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sz w:val="24"/>
              </w:rPr>
            </w:pPr>
            <w:r>
              <w:rPr>
                <w:rFonts w:hint="eastAsia" w:ascii="宋体" w:hAnsi="宋体" w:eastAsia="宋体" w:cs="宋体"/>
                <w:color w:val="000000"/>
                <w:sz w:val="24"/>
              </w:rPr>
              <w:t>村居法律顾问查询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color w:val="000000"/>
                <w:sz w:val="24"/>
              </w:rPr>
              <w:t>为群众提供</w:t>
            </w:r>
            <w:r>
              <w:rPr>
                <w:rFonts w:hint="eastAsia" w:ascii="宋体" w:hAnsi="宋体" w:eastAsia="宋体" w:cs="宋体"/>
                <w:color w:val="000000"/>
                <w:sz w:val="24"/>
              </w:rPr>
              <w:t>村居法律顾问查询</w:t>
            </w:r>
            <w:r>
              <w:rPr>
                <w:rFonts w:hint="eastAsia" w:ascii="宋体" w:hAnsi="宋体" w:eastAsia="宋体" w:cs="宋体"/>
                <w:sz w:val="24"/>
              </w:rPr>
              <w:t>解答</w:t>
            </w:r>
            <w:r>
              <w:rPr>
                <w:rFonts w:ascii="宋体" w:hAnsi="宋体" w:eastAsia="宋体" w:cs="宋体"/>
                <w:color w:val="000000"/>
                <w:sz w:val="24"/>
              </w:rPr>
              <w:t>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sz w:val="24"/>
              </w:rPr>
            </w:pPr>
            <w:r>
              <w:rPr>
                <w:rFonts w:ascii="宋体" w:hAnsi="宋体" w:eastAsia="宋体" w:cs="宋体"/>
                <w:color w:val="000000"/>
                <w:sz w:val="24"/>
              </w:rPr>
              <w:t>《</w:t>
            </w:r>
            <w:r>
              <w:fldChar w:fldCharType="begin"/>
            </w:r>
            <w:r>
              <w:instrText xml:space="preserve">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fldChar w:fldCharType="end"/>
            </w:r>
            <w:r>
              <w:rPr>
                <w:rFonts w:ascii="宋体" w:hAnsi="宋体" w:eastAsia="宋体" w:cs="宋体"/>
                <w:color w:val="000000"/>
                <w:sz w:val="24"/>
              </w:rPr>
              <w:t xml:space="preserve">》司发〔2017〕9号 </w:t>
            </w:r>
            <w:r>
              <w:rPr>
                <w:rFonts w:hint="eastAsia" w:ascii="宋体" w:hAnsi="宋体" w:eastAsia="宋体" w:cs="宋体"/>
                <w:color w:val="000000"/>
                <w:sz w:val="24"/>
              </w:rPr>
              <w:t>第三点</w:t>
            </w:r>
          </w:p>
          <w:p>
            <w:pPr>
              <w:widowControl/>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rPr>
            </w:pPr>
            <w:r>
              <w:rPr>
                <w:rFonts w:hint="eastAsia"/>
              </w:rPr>
              <w:t>前往连平县各村公共法律服务工作室法律顾问信息查询咨询服务的群众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rPr>
            </w:pPr>
            <w:r>
              <w:rPr>
                <w:rFonts w:hint="eastAsia"/>
              </w:rPr>
              <w:t>连平县各村公共法律服务工作室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sz w:val="28"/>
                <w:szCs w:val="28"/>
              </w:rPr>
            </w:pPr>
            <w:r>
              <w:rPr>
                <w:rFonts w:hint="eastAsia" w:ascii="宋体" w:hAnsi="宋体" w:eastAsia="宋体" w:cs="宋体"/>
                <w:color w:val="000000"/>
                <w:sz w:val="28"/>
                <w:szCs w:val="28"/>
              </w:rPr>
              <w:t>河源市连平县各村</w:t>
            </w:r>
            <w:r>
              <w:rPr>
                <w:rFonts w:ascii="宋体" w:hAnsi="宋体" w:eastAsia="宋体" w:cs="宋体"/>
                <w:color w:val="000000"/>
                <w:sz w:val="28"/>
                <w:szCs w:val="28"/>
              </w:rPr>
              <w:t>公共法律服务</w:t>
            </w:r>
            <w:r>
              <w:rPr>
                <w:rFonts w:hint="eastAsia" w:ascii="宋体" w:hAnsi="宋体" w:eastAsia="宋体" w:cs="宋体"/>
                <w:color w:val="000000"/>
                <w:sz w:val="28"/>
                <w:szCs w:val="28"/>
              </w:rPr>
              <w:t>工作室</w:t>
            </w:r>
            <w:r>
              <w:rPr>
                <w:rFonts w:ascii="宋体" w:hAnsi="宋体" w:eastAsia="宋体" w:cs="宋体"/>
                <w:color w:val="000000"/>
                <w:sz w:val="28"/>
                <w:szCs w:val="28"/>
              </w:rPr>
              <w:t>法律咨询窗口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sz w:val="24"/>
              </w:rPr>
            </w:pPr>
            <w:r>
              <w:rPr>
                <w:rFonts w:hint="eastAsia" w:ascii="宋体" w:hAnsi="宋体" w:eastAsia="宋体" w:cs="宋体"/>
                <w:sz w:val="24"/>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sz w:val="24"/>
              </w:rPr>
            </w:pPr>
            <w:r>
              <w:rPr>
                <w:rFonts w:hint="eastAsia" w:ascii="宋体" w:hAnsi="宋体" w:eastAsia="宋体" w:cs="宋体"/>
                <w:sz w:val="24"/>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hint="eastAsia" w:ascii="宋体" w:hAnsi="宋体" w:eastAsia="宋体" w:cs="宋体"/>
                <w:color w:val="000000"/>
                <w:sz w:val="24"/>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hint="eastAsia" w:ascii="宋体" w:hAnsi="宋体" w:eastAsia="宋体" w:cs="宋体"/>
                <w:bCs/>
                <w:color w:val="000000"/>
                <w:kern w:val="0"/>
                <w:sz w:val="24"/>
              </w:rPr>
              <w:t>√</w:t>
            </w:r>
            <w:r>
              <w:rPr>
                <w:rFonts w:ascii="宋体" w:hAnsi="宋体" w:eastAsia="宋体" w:cs="宋体"/>
                <w:bCs/>
                <w:color w:val="000000"/>
                <w:kern w:val="0"/>
                <w:sz w:val="24"/>
              </w:rPr>
              <w:t>窗口接收</w:t>
            </w:r>
          </w:p>
          <w:p>
            <w:pPr>
              <w:widowControl/>
              <w:jc w:val="center"/>
              <w:textAlignment w:val="center"/>
              <w:rPr>
                <w:rFonts w:ascii="宋体" w:hAnsi="宋体" w:eastAsia="宋体" w:cs="宋体"/>
                <w:bCs/>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hint="eastAsia" w:ascii="宋体" w:hAnsi="宋体" w:eastAsia="宋体" w:cs="宋体"/>
                <w:bCs/>
                <w:color w:val="000000"/>
                <w:kern w:val="0"/>
                <w:sz w:val="24"/>
              </w:rPr>
              <w:t>√</w:t>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hint="eastAsia" w:ascii="宋体" w:hAnsi="宋体" w:eastAsia="宋体" w:cs="宋体"/>
                <w:color w:val="000000"/>
                <w:kern w:val="0"/>
                <w:sz w:val="24"/>
              </w:rPr>
              <w:t xml:space="preserve">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 √</w:t>
            </w:r>
            <w:r>
              <w:rPr>
                <w:rFonts w:ascii="宋体" w:hAnsi="宋体" w:eastAsia="宋体" w:cs="宋体"/>
                <w:color w:val="000000"/>
                <w:kern w:val="0"/>
                <w:sz w:val="24"/>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hint="eastAsia" w:ascii="宋体" w:hAnsi="宋体" w:eastAsia="宋体" w:cs="宋体"/>
                <w:color w:val="000000"/>
                <w:sz w:val="24"/>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hint="eastAsia" w:ascii="宋体" w:hAnsi="宋体" w:eastAsia="宋体" w:cs="宋体"/>
                <w:color w:val="000000"/>
                <w:sz w:val="24"/>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线上支付</w:t>
            </w:r>
            <w:r>
              <w:rPr>
                <w:rFonts w:hint="eastAsia" w:ascii="宋体" w:hAnsi="宋体" w:eastAsia="宋体" w:cs="宋体"/>
                <w:color w:val="000000"/>
                <w:kern w:val="0"/>
                <w:sz w:val="24"/>
              </w:rPr>
              <w:t xml:space="preserve">  </w:t>
            </w:r>
            <w:r>
              <w:rPr>
                <w:rFonts w:ascii="宋体" w:hAnsi="宋体" w:eastAsia="宋体" w:cs="宋体"/>
                <w:color w:val="000000"/>
                <w:kern w:val="0"/>
                <w:sz w:val="24"/>
              </w:rPr>
              <w:t xml:space="preserve">      </w:t>
            </w:r>
            <w:r>
              <w:rPr>
                <w:rFonts w:ascii="宋体" w:hAnsi="宋体" w:eastAsia="宋体" w:cs="宋体"/>
                <w:color w:val="000000"/>
                <w:kern w:val="0"/>
                <w:sz w:val="24"/>
              </w:rPr>
              <w:sym w:font="Wingdings 2" w:char="00A3"/>
            </w:r>
            <w:r>
              <w:rPr>
                <w:rFonts w:ascii="宋体" w:hAnsi="宋体" w:eastAsia="宋体" w:cs="宋体"/>
                <w:color w:val="000000"/>
                <w:kern w:val="0"/>
                <w:sz w:val="24"/>
              </w:rPr>
              <w:t xml:space="preserve">现金支付        </w:t>
            </w:r>
            <w:r>
              <w:rPr>
                <w:rFonts w:hint="eastAsia" w:ascii="宋体" w:hAnsi="宋体" w:eastAsia="宋体" w:cs="宋体"/>
                <w:color w:val="000000"/>
                <w:kern w:val="0"/>
                <w:sz w:val="24"/>
              </w:rPr>
              <w:t>√</w:t>
            </w:r>
            <w:r>
              <w:rPr>
                <w:rFonts w:ascii="宋体" w:hAnsi="宋体" w:eastAsia="宋体" w:cs="宋体"/>
                <w:color w:val="000000"/>
                <w:kern w:val="0"/>
                <w:sz w:val="24"/>
              </w:rPr>
              <w:t>无需收费</w:t>
            </w:r>
          </w:p>
          <w:p>
            <w:pPr>
              <w:widowControl/>
              <w:jc w:val="center"/>
              <w:textAlignment w:val="center"/>
              <w:rPr>
                <w:rFonts w:ascii="宋体" w:hAnsi="宋体" w:eastAsia="宋体" w:cs="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hint="eastAsia" w:ascii="宋体" w:hAnsi="宋体" w:eastAsia="宋体" w:cs="宋体"/>
                <w:color w:val="000000"/>
                <w:kern w:val="0"/>
                <w:sz w:val="24"/>
              </w:rPr>
              <w:t>√</w:t>
            </w:r>
            <w:r>
              <w:rPr>
                <w:rFonts w:ascii="宋体" w:hAnsi="宋体" w:eastAsia="宋体" w:cs="宋体"/>
                <w:color w:val="000000"/>
                <w:kern w:val="0"/>
                <w:sz w:val="24"/>
              </w:rPr>
              <w:t>无文书送达</w:t>
            </w:r>
          </w:p>
          <w:p>
            <w:pPr>
              <w:widowControl/>
              <w:jc w:val="center"/>
              <w:textAlignment w:val="center"/>
              <w:rPr>
                <w:rFonts w:ascii="宋体" w:hAnsi="宋体" w:eastAsia="宋体" w:cs="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8"/>
                <w:szCs w:val="28"/>
              </w:rPr>
            </w:pPr>
            <w:r>
              <w:rPr>
                <w:rFonts w:hint="eastAsia" w:ascii="宋体" w:hAnsi="宋体" w:eastAsia="宋体" w:cs="宋体"/>
                <w:color w:val="000000"/>
                <w:kern w:val="0"/>
                <w:sz w:val="28"/>
                <w:szCs w:val="28"/>
              </w:rPr>
              <w:t>查看附件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28"/>
                <w:szCs w:val="28"/>
                <w:lang w:eastAsia="zh-CN"/>
              </w:rPr>
            </w:pPr>
            <w:r>
              <w:rPr>
                <w:rFonts w:hint="eastAsia" w:ascii="宋体" w:hAnsi="宋体" w:eastAsia="宋体" w:cs="宋体"/>
                <w:color w:val="000000"/>
                <w:kern w:val="0"/>
                <w:sz w:val="28"/>
                <w:szCs w:val="28"/>
                <w:lang w:val="en-US" w:eastAsia="zh-CN"/>
              </w:rPr>
              <w:t>0762-4332227</w:t>
            </w:r>
            <w:bookmarkStart w:id="0" w:name="_GoBack"/>
            <w:bookmarkEnd w:id="0"/>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就</w:t>
            </w:r>
            <w:r>
              <w:rPr>
                <w:rFonts w:hint="eastAsia" w:ascii="仿宋" w:hAnsi="仿宋" w:eastAsia="仿宋" w:cs="仿宋"/>
                <w:b/>
                <w:bCs/>
                <w:sz w:val="28"/>
                <w:szCs w:val="28"/>
              </w:rPr>
              <w:t xml:space="preserve">    </w:t>
            </w:r>
            <w:r>
              <w:rPr>
                <w:rFonts w:ascii="仿宋" w:hAnsi="仿宋" w:eastAsia="仿宋" w:cs="仿宋"/>
                <w:b/>
                <w:bCs/>
                <w:sz w:val="28"/>
                <w:szCs w:val="28"/>
              </w:rPr>
              <w:t>进行咨询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Pr>
        <w:tc>
          <w:tcPr>
            <w:tcW w:w="10005" w:type="dxa"/>
            <w:gridSpan w:val="25"/>
            <w:vAlign w:val="top"/>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r>
              <w:rPr>
                <w:rFonts w:hint="eastAsia" w:ascii="仿宋" w:hAnsi="仿宋" w:eastAsia="仿宋" w:cs="仿宋"/>
                <w:b/>
                <w:bCs/>
                <w:sz w:val="24"/>
              </w:rPr>
              <w:t xml:space="preserve">  </w:t>
            </w: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vAlign w:val="top"/>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 w:val="24"/>
                <w:u w:val="single"/>
              </w:rPr>
              <w:t xml:space="preserve">                                            </w:t>
            </w:r>
            <w:r>
              <w:rPr>
                <w:rFonts w:hint="eastAsia" w:ascii="仿宋" w:hAnsi="仿宋" w:eastAsia="仿宋" w:cs="仿宋"/>
                <w:b/>
                <w:bCs/>
                <w:szCs w:val="21"/>
              </w:rPr>
              <w:t>（勾选“其他”请填写）</w:t>
            </w:r>
          </w:p>
          <w:p>
            <w:pPr>
              <w:jc w:val="center"/>
              <w:rPr>
                <w:rFonts w:ascii="仿宋" w:hAnsi="仿宋" w:eastAsia="仿宋" w:cs="仿宋"/>
                <w:b/>
                <w:bCs/>
                <w:sz w:val="24"/>
              </w:rPr>
            </w:pPr>
            <w:r>
              <w:rPr>
                <w:rFonts w:hint="eastAsia" w:ascii="仿宋" w:hAnsi="仿宋" w:eastAsia="仿宋" w:cs="仿宋"/>
                <w:b/>
                <w:bCs/>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rPr>
          <w:rFonts w:ascii="Calibri" w:hAnsi="Calibri" w:eastAsia="宋体" w:cs="Times New Roman"/>
          <w:kern w:val="2"/>
          <w:sz w:val="21"/>
          <w:szCs w:val="24"/>
          <w:lang w:val="en-US" w:eastAsia="zh-CN" w:bidi="ar-SA"/>
        </w:rPr>
        <w:pict>
          <v:shape id="_x0000_i1025" o:spt="75" type="#_x0000_t75" style="height:387.9pt;width:177.7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Light">
    <w:altName w:val="Microsoft JhengHei"/>
    <w:panose1 w:val="00000000000000000000"/>
    <w:charset w:val="00"/>
    <w:family w:val="auto"/>
    <w:pitch w:val="default"/>
    <w:sig w:usb0="00000000" w:usb1="00000000" w:usb2="00000000" w:usb3="00000000" w:csb0="00040001" w:csb1="00000000"/>
  </w:font>
  <w:font w:name="Microsoft JhengHei UI Light">
    <w:altName w:val="Microsoft JhengHei"/>
    <w:panose1 w:val="00000000000000000000"/>
    <w:charset w:val="00"/>
    <w:family w:val="auto"/>
    <w:pitch w:val="default"/>
    <w:sig w:usb0="00000000" w:usb1="00000000" w:usb2="00000000" w:usb3="00000000" w:csb0="00040001" w:csb1="00000000"/>
  </w:font>
  <w:font w:name="Wingdings 2">
    <w:altName w:val="Wingdings"/>
    <w:panose1 w:val="00000000000000000000"/>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2674B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批注框文本 Char Char"/>
    <w:basedOn w:val="6"/>
    <w:link w:val="2"/>
    <w:uiPriority w:val="0"/>
    <w:rPr>
      <w:rFonts w:ascii="Calibri" w:hAnsi="Calibri" w:eastAsia="宋体"/>
      <w:kern w:val="2"/>
      <w:sz w:val="18"/>
      <w:szCs w:val="18"/>
    </w:rPr>
  </w:style>
  <w:style w:type="character" w:customStyle="1" w:styleId="11">
    <w:name w:val="页眉 Char Char"/>
    <w:basedOn w:val="6"/>
    <w:link w:val="4"/>
    <w:uiPriority w:val="0"/>
    <w:rPr>
      <w:rFonts w:ascii="Calibri" w:hAnsi="Calibri" w:eastAsia="宋体"/>
      <w:kern w:val="2"/>
      <w:sz w:val="18"/>
      <w:szCs w:val="18"/>
    </w:rPr>
  </w:style>
  <w:style w:type="character" w:customStyle="1" w:styleId="12">
    <w:name w:val="页脚 Char Char"/>
    <w:basedOn w:val="6"/>
    <w:link w:val="3"/>
    <w:uiPriority w:val="0"/>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212</Words>
  <Characters>1214</Characters>
  <Lines>10</Lines>
  <Paragraphs>2</Paragraphs>
  <TotalTime>0</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2020-04-17T22:12:00Z</dcterms:created>
  <dc:creator>guagua</dc:creator>
  <cp:lastModifiedBy>敏敏</cp:lastModifiedBy>
  <dcterms:modified xsi:type="dcterms:W3CDTF">2021-03-08T02:31:26Z</dcterms:modified>
  <dc:title>广东法律服务网服务事项指南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