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594"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连平县县级财政专项资金管理办法</w:t>
      </w:r>
    </w:p>
    <w:bookmarkEnd w:id="0"/>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pPr>
    </w:p>
    <w:p>
      <w:pPr>
        <w:keepNext w:val="0"/>
        <w:keepLines w:val="0"/>
        <w:pageBreakBefore w:val="0"/>
        <w:widowControl w:val="0"/>
        <w:kinsoku/>
        <w:wordWrap/>
        <w:overflowPunct w:val="0"/>
        <w:topLinePunct/>
        <w:autoSpaceDE/>
        <w:autoSpaceDN/>
        <w:bidi w:val="0"/>
        <w:adjustRightInd/>
        <w:snapToGrid/>
        <w:spacing w:line="600" w:lineRule="exact"/>
        <w:ind w:firstLine="0" w:firstLineChars="0"/>
        <w:jc w:val="center"/>
        <w:textAlignment w:val="auto"/>
        <w:rPr>
          <w:rFonts w:hint="eastAsia" w:ascii="黑体" w:hAnsi="黑体" w:eastAsia="黑体" w:cs="黑体"/>
          <w:lang w:eastAsia="zh-CN"/>
        </w:rPr>
      </w:pPr>
      <w:r>
        <w:rPr>
          <w:rFonts w:hint="eastAsia" w:ascii="黑体" w:hAnsi="黑体" w:eastAsia="黑体" w:cs="黑体"/>
        </w:rPr>
        <w:t>第一章</w:t>
      </w:r>
      <w:r>
        <w:rPr>
          <w:rFonts w:hint="eastAsia" w:ascii="黑体" w:hAnsi="黑体" w:eastAsia="黑体" w:cs="黑体"/>
          <w:lang w:eastAsia="zh-CN"/>
        </w:rPr>
        <w:t>　</w:t>
      </w:r>
      <w:r>
        <w:rPr>
          <w:rFonts w:hint="eastAsia" w:ascii="黑体" w:hAnsi="黑体" w:eastAsia="黑体" w:cs="黑体"/>
        </w:rPr>
        <w:t>总</w:t>
      </w:r>
      <w:r>
        <w:rPr>
          <w:rFonts w:hint="eastAsia" w:ascii="黑体" w:hAnsi="黑体" w:eastAsia="黑体" w:cs="黑体"/>
          <w:lang w:eastAsia="zh-CN"/>
        </w:rPr>
        <w:t>　</w:t>
      </w:r>
      <w:r>
        <w:rPr>
          <w:rFonts w:hint="eastAsia" w:ascii="黑体" w:hAnsi="黑体" w:eastAsia="黑体" w:cs="黑体"/>
        </w:rPr>
        <w:t>则</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第一条</w:t>
      </w:r>
      <w:r>
        <w:rPr>
          <w:rFonts w:hint="eastAsia"/>
          <w:lang w:eastAsia="zh-CN"/>
        </w:rPr>
        <w:t>　</w:t>
      </w:r>
      <w:r>
        <w:rPr>
          <w:rFonts w:hint="eastAsia"/>
        </w:rPr>
        <w:t>为加强和规范县级财政专项资金的管理，提高财政专项资金的使用效益，根据《中华人民共和国预算法》《广东省省级财政专项资金管理办法（试行）》（粤府〔</w:t>
      </w:r>
      <w:r>
        <w:rPr>
          <w:rFonts w:hint="eastAsia" w:asciiTheme="minorEastAsia" w:hAnsiTheme="minorEastAsia" w:eastAsiaTheme="minorEastAsia" w:cstheme="minorEastAsia"/>
        </w:rPr>
        <w:t>2018</w:t>
      </w:r>
      <w:r>
        <w:rPr>
          <w:rFonts w:hint="eastAsia"/>
        </w:rPr>
        <w:t>〕</w:t>
      </w:r>
      <w:r>
        <w:rPr>
          <w:rFonts w:hint="eastAsia" w:asciiTheme="minorEastAsia" w:hAnsiTheme="minorEastAsia" w:eastAsiaTheme="minorEastAsia" w:cstheme="minorEastAsia"/>
        </w:rPr>
        <w:t>120</w:t>
      </w:r>
      <w:r>
        <w:rPr>
          <w:rFonts w:hint="eastAsia"/>
        </w:rPr>
        <w:t>号）</w:t>
      </w:r>
      <w:r>
        <w:rPr>
          <w:rFonts w:hint="eastAsia"/>
          <w:lang w:eastAsia="zh-CN"/>
        </w:rPr>
        <w:t>、</w:t>
      </w:r>
      <w:r>
        <w:rPr>
          <w:rFonts w:hint="eastAsia"/>
        </w:rPr>
        <w:t>《中共河源市委办公室</w:t>
      </w:r>
      <w:r>
        <w:rPr>
          <w:rFonts w:hint="eastAsia"/>
          <w:lang w:eastAsia="zh-CN"/>
        </w:rPr>
        <w:t>　</w:t>
      </w:r>
      <w:r>
        <w:rPr>
          <w:rFonts w:hint="eastAsia"/>
        </w:rPr>
        <w:t>河源市人民政府办公室印发&lt;关于深化市级预算编制执行监督管理改革的实施意见&gt;的通知》（河委办发〔</w:t>
      </w:r>
      <w:r>
        <w:rPr>
          <w:rFonts w:hint="eastAsia" w:asciiTheme="minorEastAsia" w:hAnsiTheme="minorEastAsia" w:eastAsiaTheme="minorEastAsia" w:cstheme="minorEastAsia"/>
        </w:rPr>
        <w:t>2019</w:t>
      </w:r>
      <w:r>
        <w:rPr>
          <w:rFonts w:hint="eastAsia"/>
        </w:rPr>
        <w:t>〕</w:t>
      </w:r>
      <w:r>
        <w:rPr>
          <w:rFonts w:hint="eastAsia" w:asciiTheme="minorEastAsia" w:hAnsiTheme="minorEastAsia" w:eastAsiaTheme="minorEastAsia" w:cstheme="minorEastAsia"/>
        </w:rPr>
        <w:t>65</w:t>
      </w:r>
      <w:r>
        <w:rPr>
          <w:rFonts w:hint="eastAsia"/>
        </w:rPr>
        <w:t>号）</w:t>
      </w:r>
      <w:r>
        <w:rPr>
          <w:rFonts w:hint="eastAsia"/>
          <w:lang w:val="en-US" w:eastAsia="zh-CN"/>
        </w:rPr>
        <w:t>及</w:t>
      </w:r>
      <w:r>
        <w:rPr>
          <w:rFonts w:hint="eastAsia"/>
        </w:rPr>
        <w:t>《</w:t>
      </w:r>
      <w:r>
        <w:rPr>
          <w:rFonts w:hint="eastAsia"/>
          <w:lang w:eastAsia="zh-CN"/>
        </w:rPr>
        <w:t>河源市人民政府关于修订印发河源市市级财政专项资金管理办法的通知</w:t>
      </w:r>
      <w:r>
        <w:rPr>
          <w:rFonts w:hint="eastAsia"/>
        </w:rPr>
        <w:t>》（河府〔</w:t>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lang w:val="en-US" w:eastAsia="zh-CN"/>
        </w:rPr>
        <w:t>20</w:t>
      </w:r>
      <w:r>
        <w:rPr>
          <w:rFonts w:hint="eastAsia"/>
        </w:rPr>
        <w:t>〕</w:t>
      </w:r>
      <w:r>
        <w:rPr>
          <w:rFonts w:hint="eastAsia" w:asciiTheme="minorEastAsia" w:hAnsiTheme="minorEastAsia" w:eastAsiaTheme="minorEastAsia" w:cstheme="minorEastAsia"/>
          <w:lang w:val="en-US" w:eastAsia="zh-CN"/>
        </w:rPr>
        <w:t>19</w:t>
      </w:r>
      <w:r>
        <w:rPr>
          <w:rFonts w:hint="eastAsia"/>
        </w:rPr>
        <w:t>号）等有关规定，结合连平县实际，制定本办法。</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第二条</w:t>
      </w:r>
      <w:r>
        <w:rPr>
          <w:rFonts w:hint="eastAsia" w:eastAsia="黑体"/>
          <w:lang w:eastAsia="zh-CN"/>
        </w:rPr>
        <w:t>　</w:t>
      </w:r>
      <w:r>
        <w:rPr>
          <w:rFonts w:hint="eastAsia"/>
        </w:rPr>
        <w:t>本办法所称县级财政专项资金（以下简称专项资金），是指为支持连平县经济社会各项事业发展，县财政通过一般公共预算、政府性基金预算、国有资本经营预算安排的，具有专门用途和绩效目标的财政资金。</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中央、省、市财政专项补助资金、按照现行财政体制规定对下级政府的返还性支出和一般性转移支付，按国家、省和市有关规定管理。其中，涉农资金按照《广东省涉农资金统筹整合管理办法》规定管理。</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第三条</w:t>
      </w:r>
      <w:r>
        <w:rPr>
          <w:rFonts w:hint="eastAsia" w:eastAsia="黑体"/>
          <w:lang w:eastAsia="zh-CN"/>
        </w:rPr>
        <w:t>　</w:t>
      </w:r>
      <w:r>
        <w:rPr>
          <w:rFonts w:hint="eastAsia"/>
        </w:rPr>
        <w:t>专项资金实行目录清单制，目录清单内的专项资金管理适用本办法。专项资金目录由县业务主管部门在编制年初预算前提出，报县财政部门汇总形成目录清单，报县政府</w:t>
      </w:r>
      <w:r>
        <w:rPr>
          <w:rFonts w:hint="eastAsia"/>
          <w:spacing w:val="-6"/>
        </w:rPr>
        <w:t>审定。专项资金目录清单包括主管部门、专项资金名称、</w:t>
      </w:r>
      <w:r>
        <w:rPr>
          <w:rFonts w:hint="eastAsia"/>
        </w:rPr>
        <w:t>设立</w:t>
      </w:r>
      <w:r>
        <w:rPr>
          <w:rFonts w:hint="eastAsia"/>
          <w:spacing w:val="-6"/>
        </w:rPr>
        <w:t>年限、主要用途、绩效目标、资金规模、审批权限等内</w:t>
      </w:r>
      <w:r>
        <w:rPr>
          <w:rFonts w:hint="eastAsia"/>
        </w:rPr>
        <w:t>容。专项资金目录清单一经确定，年度执行中原则上不作调整。</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第四条</w:t>
      </w:r>
      <w:r>
        <w:rPr>
          <w:rFonts w:hint="eastAsia" w:eastAsia="黑体"/>
          <w:lang w:eastAsia="zh-CN"/>
        </w:rPr>
        <w:t>　</w:t>
      </w:r>
      <w:r>
        <w:rPr>
          <w:rFonts w:hint="eastAsia"/>
        </w:rPr>
        <w:t>专项资金管理应当目标明确、绩效优先、标准科学、管理规范、公正透明。专项资金应当按规范程序设立，并根据资金绩效进行调整、管理和动态统筹。</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第五条</w:t>
      </w:r>
      <w:r>
        <w:rPr>
          <w:rFonts w:hint="eastAsia" w:eastAsia="黑体"/>
          <w:lang w:eastAsia="zh-CN"/>
        </w:rPr>
        <w:t>　</w:t>
      </w:r>
      <w:r>
        <w:rPr>
          <w:rFonts w:hint="eastAsia"/>
        </w:rPr>
        <w:t>县业务主管部门的专项资金预算应与部门预算同步编报，并落实到具体项目，在部门预算批复后应达到可执行状态。属于应急、抢险类项目的，以及县业务主管部门报县政府审定“以奖代补”方式组织项目的，在预算编报阶段可以不落实到项目单位。</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spacing w:val="-6"/>
        </w:rPr>
      </w:pPr>
      <w:r>
        <w:rPr>
          <w:rFonts w:hint="eastAsia" w:ascii="黑体" w:hAnsi="黑体" w:eastAsia="黑体" w:cs="黑体"/>
        </w:rPr>
        <w:t>第六条</w:t>
      </w:r>
      <w:r>
        <w:rPr>
          <w:rFonts w:hint="eastAsia" w:eastAsia="黑体"/>
          <w:lang w:eastAsia="zh-CN"/>
        </w:rPr>
        <w:t>　</w:t>
      </w:r>
      <w:r>
        <w:rPr>
          <w:rFonts w:hint="eastAsia"/>
        </w:rPr>
        <w:t>专项资金应实行全过程绩效管理。县财政部门、县业</w:t>
      </w:r>
      <w:r>
        <w:rPr>
          <w:rFonts w:hint="eastAsia"/>
          <w:spacing w:val="-6"/>
        </w:rPr>
        <w:t>务主管部门按职责建立专项资金生命周期绩效管理制度。</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rPr>
      </w:pPr>
      <w:r>
        <w:rPr>
          <w:rFonts w:hint="eastAsia" w:ascii="黑体" w:hAnsi="黑体" w:eastAsia="黑体" w:cs="黑体"/>
        </w:rPr>
        <w:t>第二章</w:t>
      </w:r>
      <w:r>
        <w:rPr>
          <w:rFonts w:hint="eastAsia" w:ascii="黑体" w:hAnsi="黑体" w:eastAsia="黑体" w:cs="黑体"/>
          <w:lang w:eastAsia="zh-CN"/>
        </w:rPr>
        <w:t>　</w:t>
      </w:r>
      <w:r>
        <w:rPr>
          <w:rFonts w:hint="eastAsia" w:ascii="黑体" w:hAnsi="黑体" w:eastAsia="黑体" w:cs="黑体"/>
        </w:rPr>
        <w:t>职责分工</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第七条</w:t>
      </w:r>
      <w:r>
        <w:rPr>
          <w:rFonts w:hint="eastAsia" w:eastAsia="黑体"/>
          <w:lang w:eastAsia="zh-CN"/>
        </w:rPr>
        <w:t>　</w:t>
      </w:r>
      <w:r>
        <w:rPr>
          <w:rFonts w:hint="eastAsia"/>
        </w:rPr>
        <w:t>县财政部门是专项资金的统筹协调部门，主要职责如下：</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（一）负责起草县本级专项资金管理制度，指导县业务主管部门制定具体专项资金管理办法；</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ascii="楷体" w:hAnsi="楷体" w:eastAsia="楷体" w:cs="楷体"/>
          <w:lang w:eastAsia="zh-CN"/>
        </w:rPr>
        <w:t>　</w:t>
      </w:r>
      <w:r>
        <w:rPr>
          <w:rFonts w:hint="eastAsia"/>
        </w:rPr>
        <w:t>（二）负责审核专项资金设立、续期、压减和撤销，按程序报县政府审批；</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（三）负责专项资金预算的组织编制、审核汇总、综合平衡，以及专项资金整体调度和统筹安排；</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spacing w:val="-11"/>
        </w:rPr>
      </w:pPr>
      <w:r>
        <w:rPr>
          <w:rFonts w:hint="eastAsia"/>
          <w:lang w:eastAsia="zh-CN"/>
        </w:rPr>
        <w:t>　　</w:t>
      </w:r>
      <w:r>
        <w:rPr>
          <w:rFonts w:hint="eastAsia"/>
        </w:rPr>
        <w:t>（四）负</w:t>
      </w:r>
      <w:r>
        <w:rPr>
          <w:rFonts w:hint="eastAsia"/>
          <w:spacing w:val="-6"/>
        </w:rPr>
        <w:t>责</w:t>
      </w:r>
      <w:r>
        <w:rPr>
          <w:rFonts w:hint="eastAsia"/>
          <w:spacing w:val="-11"/>
        </w:rPr>
        <w:t>专项资金目录清单的汇总、编制、调整和报批；</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（五）组织实施专项资金财政监督，部署专项资金绩效管理，组织绩效目标申报，审核续期绩效评价报告，根据需要组织开展重点专项资金项目绩效评价；</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（六）职能范围内的其他工作事项。</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第八条</w:t>
      </w:r>
      <w:r>
        <w:rPr>
          <w:rFonts w:hint="eastAsia" w:eastAsia="黑体"/>
          <w:lang w:eastAsia="zh-CN"/>
        </w:rPr>
        <w:t>　</w:t>
      </w:r>
      <w:r>
        <w:rPr>
          <w:rFonts w:hint="eastAsia"/>
        </w:rPr>
        <w:t>县业务主管部门是专项资金的预算执行部门，主要职责如下：</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（一）负责建立健全本部门专项资金具体管理制度，规范审批程序，完善内部管理制度，加强内部监管；</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w:t>
      </w:r>
      <w:r>
        <w:rPr>
          <w:rFonts w:hint="eastAsia"/>
        </w:rPr>
        <w:t>（二）加强对专业机构、有关中介组织以及专家的管理，依法制定相应惩戒措施，确保项目评审规范、资金安全；</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w:t>
      </w:r>
      <w:r>
        <w:rPr>
          <w:rFonts w:hint="eastAsia"/>
        </w:rPr>
        <w:t>（三）负责本部门专项资金设立和续期申请，开展续期评价，清理期满退出的或者被撤销的专项资金，编制本部门专项资金目录和预算，提出专项资金调整意见，执行已批复的专项资金预算；</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rPr>
        <w:t>（四）负责发布专项资金管理相关信息，实行专项资金项目从申报指南（通知）发布到专项资金项目申报、审核、资金拨付、资金退出的全周期管理；</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rPr>
        <w:t>（五）负责专项资金项目储备，受理并审核具体项目申报，办理资金拨付，组织专项资金项目验收，跟踪、检查专项资金的使用和项目实施情况，组织实施专项资金监督和绩效评价工作，并配合县财政部门开展重点专项资金项目绩效评价；</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rPr>
        <w:t>（六）负责按照政府信息公开的要求，开展专项资金信息公开工作；</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ascii="楷体_GB2312" w:hAnsi="楷体_GB2312" w:eastAsia="楷体_GB2312" w:cs="楷体_GB2312"/>
          <w:lang w:eastAsia="zh-CN"/>
        </w:rPr>
        <w:t>　</w:t>
      </w:r>
      <w:r>
        <w:rPr>
          <w:rFonts w:hint="eastAsia"/>
        </w:rPr>
        <w:t>（七）职能范围内的其他工作事项。</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第九条</w:t>
      </w:r>
      <w:r>
        <w:rPr>
          <w:rFonts w:hint="eastAsia" w:ascii="黑体" w:hAnsi="黑体" w:eastAsia="黑体" w:cs="黑体"/>
          <w:lang w:eastAsia="zh-CN"/>
        </w:rPr>
        <w:t>　</w:t>
      </w:r>
      <w:r>
        <w:rPr>
          <w:rFonts w:hint="eastAsia"/>
        </w:rPr>
        <w:t>其他部门职责：县审计部门负责对专项资金管理和使用情况进行审计监督；申报单位对申报事项的完整性、真实性及资金使用的合法性、合规性负责，并配合县业务主管部门、财政部门和审计部门完成相关统计、监督、检查及绩效评价工作；资金使用单位承担专项资金使用责任；受委托的第三方专业机构，按约履责，并按规定做好相关信息的安全管理和保密工作。</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eastAsia="zh-CN"/>
        </w:rPr>
        <w:t>　</w:t>
      </w:r>
      <w:r>
        <w:rPr>
          <w:rFonts w:hint="eastAsia" w:ascii="黑体" w:hAnsi="黑体" w:eastAsia="黑体" w:cs="黑体"/>
        </w:rPr>
        <w:t>专项资金设立</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第十条</w:t>
      </w:r>
      <w:r>
        <w:rPr>
          <w:rFonts w:hint="eastAsia" w:ascii="黑体" w:hAnsi="黑体" w:eastAsia="黑体" w:cs="黑体"/>
          <w:lang w:eastAsia="zh-CN"/>
        </w:rPr>
        <w:t>　</w:t>
      </w:r>
      <w:r>
        <w:rPr>
          <w:rFonts w:hint="eastAsia"/>
        </w:rPr>
        <w:t>县业务主管部门要按照县委、县政府决策部署，围绕全县经济社会发展规划和重大专项规划，设立专项资金；部门对照分管行业领域事业发展的目标任务要求，梳理各项政策，研究确定专项资金重点支持方向，即细化专项资金承担的工作任务。</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第十一条</w:t>
      </w:r>
      <w:r>
        <w:rPr>
          <w:rFonts w:hint="eastAsia" w:eastAsia="黑体"/>
          <w:lang w:eastAsia="zh-CN"/>
        </w:rPr>
        <w:t>　</w:t>
      </w:r>
      <w:r>
        <w:rPr>
          <w:rFonts w:hint="eastAsia"/>
        </w:rPr>
        <w:t>设立专项资金应当符合以下条件：</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（一）具有明确的政策依据，符合国家法律法规规定，符合县委、县政府决定部署，符合事权与支出责任相适应原则及公共财政投入方向；</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（二）具有明确的主管部门，原则上每个专项资金明确一个县业务主管部门，避免多头管理，确需两个或者以上县业务主管部门的，应当确定一个牵头部门；</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ascii="楷体" w:hAnsi="楷体" w:eastAsia="楷体" w:cs="楷体"/>
          <w:lang w:eastAsia="zh-CN"/>
        </w:rPr>
        <w:t>　</w:t>
      </w:r>
      <w:r>
        <w:rPr>
          <w:rFonts w:hint="eastAsia"/>
        </w:rPr>
        <w:t>（三）具有明确的存续期限，专项资金首次设立期限不超过5年，确需续期的，每次续期期限不超过</w:t>
      </w:r>
      <w:r>
        <w:rPr>
          <w:rFonts w:hint="eastAsia" w:asciiTheme="minorEastAsia" w:hAnsiTheme="minorEastAsia" w:eastAsiaTheme="minorEastAsia" w:cstheme="minorEastAsia"/>
        </w:rPr>
        <w:t>5</w:t>
      </w:r>
      <w:r>
        <w:rPr>
          <w:rFonts w:hint="eastAsia"/>
        </w:rPr>
        <w:t>年；</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ascii="楷体_GB2312" w:hAnsi="楷体_GB2312" w:eastAsia="楷体_GB2312" w:cs="楷体_GB2312"/>
          <w:lang w:eastAsia="zh-CN"/>
        </w:rPr>
        <w:t>　</w:t>
      </w:r>
      <w:r>
        <w:rPr>
          <w:rFonts w:hint="eastAsia"/>
        </w:rPr>
        <w:t>（四）具有明确的管理要求，专项资金的绩效目标、资金规模、支持对象、支持范围、支出标准和具体用途等科学、合理，满足预算管理要求和财力保障可能；</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ascii="楷体_GB2312" w:hAnsi="楷体_GB2312" w:eastAsia="楷体_GB2312" w:cs="楷体_GB2312"/>
          <w:lang w:eastAsia="zh-CN"/>
        </w:rPr>
        <w:t>　</w:t>
      </w:r>
      <w:r>
        <w:rPr>
          <w:rFonts w:hint="eastAsia"/>
        </w:rPr>
        <w:t>（五）符合市场规律，市场竞争机制能够有效调节的，不得设立专项资金；</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（六）不得重复设立，不得增设与现有专项资金用途相同的专项资金。</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第十二条</w:t>
      </w:r>
      <w:r>
        <w:rPr>
          <w:rFonts w:hint="eastAsia" w:eastAsia="黑体"/>
          <w:lang w:eastAsia="zh-CN"/>
        </w:rPr>
        <w:t>　</w:t>
      </w:r>
      <w:r>
        <w:rPr>
          <w:rFonts w:hint="eastAsia"/>
        </w:rPr>
        <w:t>专项资金按以下程序设立：</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（一）县业务主管部门要按照县委、县政府决策部署，围绕全县经济社会发展规划和重大专项规划，对照分管行业领域事业发展的目标任务，研究确定专项资金重点支持方向；</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w:t>
      </w:r>
      <w:r>
        <w:rPr>
          <w:rFonts w:hint="eastAsia"/>
        </w:rPr>
        <w:t>（二）县业务主管部门应通过内部集体研究、实地调研、专家论证、委托第三方专业机构评审等方式，对新增设立专项资金的必要性、科学性、合理性、可行性等进行研究论证。属于国家、省、市政策要求和县委、县政府重大部署的，按照有关规定开展研究论证。</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w:t>
      </w:r>
      <w:r>
        <w:rPr>
          <w:rFonts w:hint="eastAsia"/>
        </w:rPr>
        <w:t>（三）县财政部门对专项资金设立申请进行前置性审核，根据本办法第十一条规定，对专项资金的设立依据、规模、期限、具体用途、支持对象、支持范围和绩效目标提出审核意见;</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w:t>
      </w:r>
      <w:r>
        <w:rPr>
          <w:rFonts w:hint="eastAsia"/>
          <w:lang w:eastAsia="zh-CN"/>
        </w:rPr>
        <w:t>四）</w:t>
      </w:r>
      <w:r>
        <w:rPr>
          <w:rFonts w:hint="eastAsia"/>
        </w:rPr>
        <w:t>经审核符合设立条件的，由县财政部门会同县业务主管部门报县政府审议；</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（五）</w:t>
      </w:r>
      <w:r>
        <w:rPr>
          <w:rFonts w:hint="eastAsia"/>
        </w:rPr>
        <w:t>县政府审议批准后按本办法第十九条规定纳入专项资金目录清单。</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设立专项资金应当专题研究，专文申请，不得在其他文件中附带提出设立专项资金的申请。</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第十三条</w:t>
      </w:r>
      <w:r>
        <w:rPr>
          <w:rFonts w:hint="eastAsia" w:eastAsia="黑体"/>
          <w:lang w:eastAsia="zh-CN"/>
        </w:rPr>
        <w:t>　</w:t>
      </w:r>
      <w:r>
        <w:rPr>
          <w:rFonts w:hint="eastAsia"/>
        </w:rPr>
        <w:t>纳入目录清单的专项资金经县政府批准设立后，由县业务主管部门会同县财政部门制定具体专项资金管理办法，按程序报县政府批准后公布施行。</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经批准续期的专项资金应当及时修订管理办法。</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第十四条</w:t>
      </w:r>
      <w:r>
        <w:rPr>
          <w:rFonts w:hint="eastAsia" w:ascii="黑体" w:hAnsi="黑体" w:eastAsia="黑体" w:cs="黑体"/>
          <w:lang w:eastAsia="zh-CN"/>
        </w:rPr>
        <w:t>　</w:t>
      </w:r>
      <w:r>
        <w:rPr>
          <w:rFonts w:hint="eastAsia"/>
        </w:rPr>
        <w:t>专项资金全面实施项目库管理。按照“谁审批、谁组织申报”的原则做好项目准备，原则上提前一年组织项目研究谋划、评审论证、入库储备和排序择优，具体可委托第三方专业机构组织实施。未纳入项目库的项目，原则上不安排预算。基础建设投资项目应完成项目立项审批程序再安排专项资金。具体按照《连平县财政资金项目库管理试行办法》等有关规定执行。</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第十五条</w:t>
      </w:r>
      <w:r>
        <w:rPr>
          <w:rFonts w:hint="eastAsia" w:eastAsia="黑体"/>
          <w:lang w:eastAsia="zh-CN"/>
        </w:rPr>
        <w:t>　</w:t>
      </w:r>
      <w:r>
        <w:rPr>
          <w:rFonts w:hint="eastAsia"/>
        </w:rPr>
        <w:t>县业务主管部门应当在专项资金存续期限届满</w:t>
      </w:r>
      <w:r>
        <w:rPr>
          <w:rFonts w:hint="eastAsia" w:asciiTheme="minorEastAsia" w:hAnsiTheme="minorEastAsia" w:eastAsiaTheme="minorEastAsia" w:cstheme="minorEastAsia"/>
        </w:rPr>
        <w:t>1</w:t>
      </w:r>
      <w:r>
        <w:rPr>
          <w:rFonts w:hint="eastAsia"/>
        </w:rPr>
        <w:t>年之前进行绩效评价和专项审计，并将评价和审计结果报县财政部门。</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第十六条</w:t>
      </w:r>
      <w:r>
        <w:rPr>
          <w:rFonts w:hint="eastAsia" w:ascii="黑体" w:hAnsi="黑体" w:eastAsia="黑体" w:cs="黑体"/>
          <w:lang w:eastAsia="zh-CN"/>
        </w:rPr>
        <w:t>　</w:t>
      </w:r>
      <w:r>
        <w:rPr>
          <w:rFonts w:hint="eastAsia"/>
        </w:rPr>
        <w:t>县业务主管部门研究认为专项资金确需续期的，应当在专项资金存续期限届满</w:t>
      </w:r>
      <w:r>
        <w:rPr>
          <w:rFonts w:hint="eastAsia" w:asciiTheme="minorEastAsia" w:hAnsiTheme="minorEastAsia" w:eastAsiaTheme="minorEastAsia" w:cstheme="minorEastAsia"/>
        </w:rPr>
        <w:t>6</w:t>
      </w:r>
      <w:r>
        <w:rPr>
          <w:rFonts w:hint="eastAsia"/>
        </w:rPr>
        <w:t>个月之前按照专项资金设立程序向县财政部门提出申请，并提交绩效评价报告。县财政部门审核同意后，由县业务主管部门会同县财政部门按照设立程序报请县政府审议。</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第十七条</w:t>
      </w:r>
      <w:r>
        <w:rPr>
          <w:rFonts w:hint="eastAsia" w:ascii="黑体" w:hAnsi="黑体" w:eastAsia="黑体" w:cs="黑体"/>
          <w:lang w:eastAsia="zh-CN"/>
        </w:rPr>
        <w:t>　</w:t>
      </w:r>
      <w:r>
        <w:rPr>
          <w:rFonts w:hint="eastAsia"/>
        </w:rPr>
        <w:t>县业务主管部门、县财政部门在编报预算时，应对存在以下情形的专项资金进行调整、压减或撤销。包括：原设立的目标任务已完成，不必再安排的；审批政策依据等发生变化，不适合再安排的；支出结构不合理，使用分散的；审计、监督检查和绩效管理发现违法违纪问题情节严重，或整改无效的；绩效评价结果为中、低、差的；群众满意度低的；预算执行进度缓慢或连年结转结余的。</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第十八条</w:t>
      </w:r>
      <w:r>
        <w:rPr>
          <w:rFonts w:hint="eastAsia" w:eastAsia="黑体"/>
          <w:lang w:eastAsia="zh-CN"/>
        </w:rPr>
        <w:t>　</w:t>
      </w:r>
      <w:r>
        <w:rPr>
          <w:rFonts w:hint="eastAsia"/>
        </w:rPr>
        <w:t>专项资金实行到期退出制度。专项资金存续期限届满不再续期或者在存续期内被撤销的，县财政部门不再安排资金预算，县业务主管部门和县财政部门应当做好专项资金的清理和后续管理工作。</w:t>
      </w:r>
    </w:p>
    <w:p>
      <w:pPr>
        <w:keepNext w:val="0"/>
        <w:keepLines w:val="0"/>
        <w:pageBreakBefore w:val="0"/>
        <w:widowControl w:val="0"/>
        <w:numPr>
          <w:ilvl w:val="0"/>
          <w:numId w:val="1"/>
        </w:numPr>
        <w:kinsoku/>
        <w:wordWrap/>
        <w:overflowPunct w:val="0"/>
        <w:topLinePunct/>
        <w:autoSpaceDE/>
        <w:autoSpaceDN/>
        <w:bidi w:val="0"/>
        <w:adjustRightInd/>
        <w:snapToGrid/>
        <w:spacing w:line="600" w:lineRule="exact"/>
        <w:jc w:val="center"/>
        <w:textAlignment w:val="auto"/>
        <w:rPr>
          <w:rFonts w:hint="eastAsia" w:ascii="黑体" w:hAnsi="黑体" w:eastAsia="黑体" w:cs="黑体"/>
        </w:rPr>
      </w:pPr>
      <w:r>
        <w:rPr>
          <w:rFonts w:hint="eastAsia" w:ascii="黑体" w:hAnsi="黑体" w:eastAsia="黑体" w:cs="黑体"/>
        </w:rPr>
        <w:t>预算编制</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jc w:val="both"/>
        <w:textAlignment w:val="auto"/>
        <w:rPr>
          <w:rFonts w:hint="eastAsia" w:ascii="黑体" w:hAnsi="黑体" w:eastAsia="黑体" w:cs="黑体"/>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第十九条</w:t>
      </w:r>
      <w:r>
        <w:rPr>
          <w:rFonts w:hint="eastAsia" w:eastAsia="黑体"/>
          <w:lang w:eastAsia="zh-CN"/>
        </w:rPr>
        <w:t>　</w:t>
      </w:r>
      <w:r>
        <w:rPr>
          <w:rFonts w:hint="eastAsia"/>
        </w:rPr>
        <w:t>县业务主管部门应当按照年度预算编制程序，结合上一年度专项资金预算执行情况、绩效目标完成情况和下一年度任务目标，提出本部门下一年度专项资金目录，并按照预算编制要求，在编制年初预算前报送县财政部门。</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县财政部门结合有关部门的监督检查、专项审计和绩效评价结果，对下一年度专项资金需求提出审核意见，汇总编制下一年度专项资金目录清单，报送</w:t>
      </w:r>
      <w:r>
        <w:rPr>
          <w:rFonts w:hint="eastAsia"/>
          <w:lang w:val="en-US" w:eastAsia="zh-CN"/>
        </w:rPr>
        <w:t>县</w:t>
      </w:r>
      <w:r>
        <w:rPr>
          <w:rFonts w:hint="eastAsia"/>
        </w:rPr>
        <w:t>政府审定。</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专项资金目录清单编制完成后，如因新增专项资金、调整资金规模等原因需要调整，按照本条规定的程序进行调整。</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第二十条</w:t>
      </w:r>
      <w:r>
        <w:rPr>
          <w:rFonts w:hint="eastAsia" w:ascii="黑体" w:hAnsi="黑体" w:eastAsia="黑体" w:cs="黑体"/>
          <w:lang w:eastAsia="zh-CN"/>
        </w:rPr>
        <w:t>　</w:t>
      </w:r>
      <w:r>
        <w:rPr>
          <w:rFonts w:hint="eastAsia"/>
        </w:rPr>
        <w:t>县业务主管部门应当在部门预算编制阶段向县财政部门报送专项资金绩效目标，绩效目标作为专项资金预算执行、项目运行跟踪监控和绩效评价的依据。</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第二十一条</w:t>
      </w:r>
      <w:r>
        <w:rPr>
          <w:rFonts w:hint="eastAsia" w:ascii="黑体" w:hAnsi="黑体" w:eastAsia="黑体" w:cs="黑体"/>
          <w:lang w:eastAsia="zh-CN"/>
        </w:rPr>
        <w:t>　</w:t>
      </w:r>
      <w:r>
        <w:rPr>
          <w:rFonts w:hint="eastAsia"/>
        </w:rPr>
        <w:t>县业务主管部门应当按照《中华人民共和国预算法》等规定，以执行为导向，统筹规划，突出重点，根据专项资金目录清单编报专项资金预算，纳入本单位部门预算，并按要求明确编列到县直或乡镇。未列入专项资金目录清单的，不安排预算。</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第二十二条</w:t>
      </w:r>
      <w:r>
        <w:rPr>
          <w:rFonts w:hint="eastAsia" w:ascii="黑体" w:hAnsi="黑体" w:eastAsia="黑体" w:cs="黑体"/>
          <w:lang w:eastAsia="zh-CN"/>
        </w:rPr>
        <w:t>　</w:t>
      </w:r>
      <w:r>
        <w:rPr>
          <w:rFonts w:hint="eastAsia"/>
        </w:rPr>
        <w:t>按照预算管理要求，开展专项资金预算编制工作。</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（一）</w:t>
      </w:r>
      <w:r>
        <w:rPr>
          <w:rFonts w:hint="eastAsia"/>
        </w:rPr>
        <w:t>县业务主管部门将专项资金预算随同其部门预算一并报送县财政部门（以下称“一上”）；</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（二）</w:t>
      </w:r>
      <w:r>
        <w:rPr>
          <w:rFonts w:hint="eastAsia"/>
        </w:rPr>
        <w:t>县财政部门审核</w:t>
      </w:r>
      <w:r>
        <w:rPr>
          <w:rFonts w:hint="eastAsia"/>
          <w:lang w:val="en-US" w:eastAsia="zh-CN"/>
        </w:rPr>
        <w:t>县</w:t>
      </w:r>
      <w:r>
        <w:rPr>
          <w:rFonts w:hint="eastAsia"/>
        </w:rPr>
        <w:t>业务主管部门“一上”数据，并下达预算编报控制数（以下称“一下”）；</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（三）县业务主管部门根据“一下”控制数，按规定格式和要求将专项资金预算、绩效目标随同其部门预算草案再次报送县财政部门（以下称“二上”）；</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_GB2312" w:hAnsi="楷体_GB2312" w:eastAsia="楷体_GB2312" w:cs="楷体_GB2312"/>
          <w:lang w:eastAsia="zh-CN"/>
        </w:rPr>
        <w:t>　</w:t>
      </w:r>
      <w:r>
        <w:rPr>
          <w:rFonts w:hint="eastAsia"/>
          <w:lang w:eastAsia="zh-CN"/>
        </w:rPr>
        <w:t>　</w:t>
      </w:r>
      <w:r>
        <w:rPr>
          <w:rFonts w:hint="eastAsia"/>
        </w:rPr>
        <w:t>（四）县人大审议通过部门预算草案后，由县财政部门批复下达（以下称“二下”），县业务主管部门按批复的预算执行。</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ascii="黑体" w:hAnsi="黑体" w:eastAsia="黑体" w:cs="黑体"/>
        </w:rPr>
      </w:pP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ascii="黑体" w:hAnsi="黑体" w:eastAsia="黑体" w:cs="黑体"/>
          <w:lang w:eastAsia="zh-CN"/>
        </w:rPr>
      </w:pPr>
      <w:r>
        <w:rPr>
          <w:rFonts w:hint="eastAsia" w:ascii="黑体" w:hAnsi="黑体" w:eastAsia="黑体" w:cs="黑体"/>
        </w:rPr>
        <w:t>第五章</w:t>
      </w:r>
      <w:r>
        <w:rPr>
          <w:rFonts w:hint="eastAsia" w:ascii="黑体" w:hAnsi="黑体" w:eastAsia="黑体" w:cs="黑体"/>
          <w:lang w:eastAsia="zh-CN"/>
        </w:rPr>
        <w:t>　</w:t>
      </w:r>
      <w:r>
        <w:rPr>
          <w:rFonts w:hint="eastAsia" w:ascii="黑体" w:hAnsi="黑体" w:eastAsia="黑体" w:cs="黑体"/>
        </w:rPr>
        <w:t>预算执行</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第二十三条</w:t>
      </w:r>
      <w:r>
        <w:rPr>
          <w:rFonts w:hint="eastAsia" w:ascii="黑体" w:hAnsi="黑体" w:eastAsia="黑体" w:cs="黑体"/>
          <w:lang w:eastAsia="zh-CN"/>
        </w:rPr>
        <w:t>　</w:t>
      </w:r>
      <w:r>
        <w:rPr>
          <w:rFonts w:hint="eastAsia"/>
        </w:rPr>
        <w:t>县人民代表大会批准年度预算后，由县业务主管部门制定预算执行承诺书，征求县财政部门意见后，报分管县领导批准，报县财政部门备案。县业务主管部门要在预算执行过程中，定期对照分析，评估专项资金使用和项目实施情况。</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第二十四条</w:t>
      </w:r>
      <w:r>
        <w:rPr>
          <w:rFonts w:hint="eastAsia" w:ascii="黑体" w:hAnsi="黑体" w:eastAsia="黑体" w:cs="黑体"/>
          <w:lang w:eastAsia="zh-CN"/>
        </w:rPr>
        <w:t>　</w:t>
      </w:r>
      <w:r>
        <w:rPr>
          <w:rFonts w:hint="eastAsia"/>
        </w:rPr>
        <w:t>专项资金的分配方式应按照资金性质分类确定。</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（一）支持经济发展、面向生产经营性质领域的专项资金，分配方式根据相关规定管理。</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（二）支持社会事业发展、面向非经营性领域的专项资金实施项目，主要采取专家评审、公众评议及</w:t>
      </w:r>
      <w:r>
        <w:rPr>
          <w:rFonts w:hint="eastAsia"/>
          <w:lang w:val="en-US" w:eastAsia="zh-CN"/>
        </w:rPr>
        <w:t>县</w:t>
      </w:r>
      <w:r>
        <w:rPr>
          <w:rFonts w:hint="eastAsia"/>
        </w:rPr>
        <w:t>业务主管部门内部集体研究等方式分配。</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_GB2312" w:hAnsi="楷体_GB2312" w:eastAsia="楷体_GB2312" w:cs="楷体_GB2312"/>
          <w:lang w:eastAsia="zh-CN"/>
        </w:rPr>
        <w:t>　　</w:t>
      </w:r>
      <w:r>
        <w:rPr>
          <w:rFonts w:hint="eastAsia" w:ascii="仿宋_GB2312" w:hAnsi="仿宋_GB2312" w:eastAsia="仿宋_GB2312" w:cs="仿宋_GB2312"/>
        </w:rPr>
        <w:t>（三）</w:t>
      </w:r>
      <w:r>
        <w:rPr>
          <w:rFonts w:hint="eastAsia"/>
        </w:rPr>
        <w:t>支持民生事业发展、面向个人的专项资金实施项目，应明确分配标准、人数等，采取因素法或公式法分配。</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第二十五条</w:t>
      </w:r>
      <w:r>
        <w:rPr>
          <w:rFonts w:hint="eastAsia" w:ascii="黑体" w:hAnsi="黑体" w:eastAsia="黑体" w:cs="黑体"/>
          <w:lang w:eastAsia="zh-CN"/>
        </w:rPr>
        <w:t>　</w:t>
      </w:r>
      <w:r>
        <w:rPr>
          <w:rFonts w:hint="eastAsia"/>
        </w:rPr>
        <w:t>专项资金分配方案按以下程序报批。</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_GB2312" w:hAnsi="楷体_GB2312" w:eastAsia="楷体_GB2312" w:cs="楷体_GB2312"/>
          <w:lang w:eastAsia="zh-CN"/>
        </w:rPr>
        <w:t>　</w:t>
      </w:r>
      <w:r>
        <w:rPr>
          <w:rFonts w:hint="eastAsia"/>
          <w:lang w:eastAsia="zh-CN"/>
        </w:rPr>
        <w:t>　</w:t>
      </w:r>
      <w:r>
        <w:rPr>
          <w:rFonts w:hint="eastAsia"/>
        </w:rPr>
        <w:t>（一）年初预算已明确使用单位和具体支出项目的专项资金，由县级业务主管部门提出申请，县财政部门按内部审批程序办理。</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highlight w:val="none"/>
        </w:rPr>
      </w:pPr>
      <w:r>
        <w:rPr>
          <w:rFonts w:hint="eastAsia" w:ascii="楷体" w:hAnsi="楷体" w:eastAsia="楷体" w:cs="楷体"/>
          <w:lang w:eastAsia="zh-CN"/>
        </w:rPr>
        <w:t>　　</w:t>
      </w:r>
      <w:r>
        <w:rPr>
          <w:rFonts w:hint="eastAsia"/>
        </w:rPr>
        <w:t>（二）年初预算未明确使用单位或具体项目、需要二次分配的专项资金，由县级业务主管部门从部门储备项目库中遴选符合条件的项目，按轻重缓急的原则，结合上级相关专项资金统筹考虑，提出资金分配使用方案。资金分配使用方案及调整方案应按照“三重一大”要求经县业务主管部门党组会议或办公会议集体审议后，按程序征求县财政部门意见后，</w:t>
      </w:r>
      <w:r>
        <w:rPr>
          <w:rFonts w:hint="eastAsia"/>
          <w:lang w:val="en-US" w:eastAsia="zh-CN"/>
        </w:rPr>
        <w:t>并报分管</w:t>
      </w:r>
      <w:r>
        <w:rPr>
          <w:rFonts w:hint="eastAsia"/>
        </w:rPr>
        <w:t>县领导</w:t>
      </w:r>
      <w:r>
        <w:rPr>
          <w:rFonts w:hint="eastAsia"/>
          <w:lang w:val="en-US" w:eastAsia="zh-CN"/>
        </w:rPr>
        <w:t>提出意见</w:t>
      </w:r>
      <w:r>
        <w:rPr>
          <w:rFonts w:hint="eastAsia"/>
        </w:rPr>
        <w:t>。专项资金分配使用方案原则上应一次性提出，不分次进行报</w:t>
      </w:r>
      <w:r>
        <w:rPr>
          <w:rFonts w:hint="eastAsia"/>
          <w:highlight w:val="none"/>
        </w:rPr>
        <w:t>批，其中，分配的资金额度在</w:t>
      </w:r>
      <w:r>
        <w:rPr>
          <w:rFonts w:hint="eastAsia"/>
          <w:highlight w:val="none"/>
          <w:lang w:val="en-US" w:eastAsia="zh-CN"/>
        </w:rPr>
        <w:t>20万元以下的，报分管财政的县领导审批；20万元（含）至100万元的，经分管县领导、分管财政的县领导审核后，报县长审批；100万元（含）以上的提交县政府常务会议审定</w:t>
      </w:r>
      <w:r>
        <w:rPr>
          <w:rFonts w:hint="eastAsia"/>
          <w:highlight w:val="none"/>
        </w:rPr>
        <w:t>。</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（三）专项资金分配方案经县政府审批同意后，县业务主管部门应严格按照预算法规定要求办理资金分配、下达。</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四）县业务主管部门无正当理由未按规定时限报送资金分配方案的，县财政部门应及时作出提醒并报告相关分管县领导。经督促后仍未及时作出有效整改，导致未能按规定时限下达资金的，由县财政部门报县政府批准后收回资金。</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第二十六条</w:t>
      </w:r>
      <w:r>
        <w:rPr>
          <w:rFonts w:hint="eastAsia" w:ascii="黑体" w:hAnsi="黑体" w:eastAsia="黑体" w:cs="黑体"/>
          <w:lang w:eastAsia="zh-CN"/>
        </w:rPr>
        <w:t>　</w:t>
      </w:r>
      <w:r>
        <w:rPr>
          <w:rFonts w:hint="eastAsia"/>
        </w:rPr>
        <w:t>专项资金下达后，项目实施单位应加快项目组织实施，按照规定的开支范围加快支出进度。当年未使用完毕的资金按照财政结转结余办法办理。</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项目实施完毕后，县业务主管部门和用款单位要按照“谁审批具体项目，谁验收考评”的原则，自主或委托第三方专业机构组织项目验收或考评，并及时将验收或考评结果报县财政部门备案。</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第二十七条</w:t>
      </w:r>
      <w:r>
        <w:rPr>
          <w:rFonts w:hint="eastAsia" w:ascii="黑体" w:hAnsi="黑体" w:eastAsia="黑体" w:cs="黑体"/>
          <w:lang w:eastAsia="zh-CN"/>
        </w:rPr>
        <w:t>　</w:t>
      </w:r>
      <w:r>
        <w:rPr>
          <w:rFonts w:hint="eastAsia"/>
        </w:rPr>
        <w:t>专项资金严格按经批准的预算执行，年度预算执行中一般不新设立专项或增加额度；年中经批准出台新政策的，原则上列入以后年度预算安排。</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对确需调剂的事项，按预算法和财政部门规定办理。对专项资金调剂额度占该专项资金总额的</w:t>
      </w:r>
      <w:r>
        <w:rPr>
          <w:rFonts w:hint="eastAsia" w:asciiTheme="minorEastAsia" w:hAnsiTheme="minorEastAsia" w:eastAsiaTheme="minorEastAsia" w:cstheme="minorEastAsia"/>
        </w:rPr>
        <w:t>10%</w:t>
      </w:r>
      <w:r>
        <w:rPr>
          <w:rFonts w:hint="eastAsia"/>
        </w:rPr>
        <w:t>以下的，由县业务主管部门报县财政部门核准办理；达到</w:t>
      </w:r>
      <w:r>
        <w:rPr>
          <w:rFonts w:hint="eastAsia" w:asciiTheme="minorEastAsia" w:hAnsiTheme="minorEastAsia" w:eastAsiaTheme="minorEastAsia" w:cstheme="minorEastAsia"/>
        </w:rPr>
        <w:t>10%</w:t>
      </w:r>
      <w:r>
        <w:rPr>
          <w:rFonts w:hint="eastAsia"/>
        </w:rPr>
        <w:t>及以上的，由县业务主管部门报县财政部门核准后，再按程序报分管县领导审批；达到</w:t>
      </w:r>
      <w:r>
        <w:rPr>
          <w:rFonts w:hint="eastAsia" w:asciiTheme="minorEastAsia" w:hAnsiTheme="minorEastAsia" w:eastAsiaTheme="minorEastAsia" w:cstheme="minorEastAsia"/>
        </w:rPr>
        <w:t>20%</w:t>
      </w:r>
      <w:r>
        <w:rPr>
          <w:rFonts w:hint="eastAsia"/>
        </w:rPr>
        <w:t>及以上的，或调剂金额在</w:t>
      </w:r>
      <w:r>
        <w:rPr>
          <w:rFonts w:hint="eastAsia" w:asciiTheme="minorEastAsia" w:hAnsiTheme="minorEastAsia" w:eastAsiaTheme="minorEastAsia" w:cstheme="minorEastAsia"/>
        </w:rPr>
        <w:t>100</w:t>
      </w:r>
      <w:r>
        <w:rPr>
          <w:rFonts w:hint="eastAsia"/>
        </w:rPr>
        <w:t>万元以上的，需经分管县领导和分管财政工作的县领导审核后，报县政府主要领导审批。每年预算调剂办理时间最迟不超过</w:t>
      </w:r>
      <w:r>
        <w:rPr>
          <w:rFonts w:hint="eastAsia" w:asciiTheme="minorEastAsia" w:hAnsiTheme="minorEastAsia" w:eastAsiaTheme="minorEastAsia" w:cstheme="minorEastAsia"/>
        </w:rPr>
        <w:t>9</w:t>
      </w:r>
      <w:r>
        <w:rPr>
          <w:rFonts w:hint="eastAsia"/>
        </w:rPr>
        <w:t>月底。</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第二十八条</w:t>
      </w:r>
      <w:r>
        <w:rPr>
          <w:rFonts w:hint="eastAsia" w:ascii="黑体" w:hAnsi="黑体" w:eastAsia="黑体" w:cs="黑体"/>
          <w:lang w:eastAsia="zh-CN"/>
        </w:rPr>
        <w:t>　</w:t>
      </w:r>
      <w:r>
        <w:rPr>
          <w:rFonts w:hint="eastAsia"/>
        </w:rPr>
        <w:t>县财政部门根据县委、县政府的决策部署，结合专项资金执行情况，对专项资金实行动态统筹。</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jc w:val="center"/>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eastAsia="zh-CN"/>
        </w:rPr>
        <w:t>　</w:t>
      </w:r>
      <w:r>
        <w:rPr>
          <w:rFonts w:hint="eastAsia" w:ascii="黑体" w:hAnsi="黑体" w:eastAsia="黑体" w:cs="黑体"/>
        </w:rPr>
        <w:t>预算监督</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第二十九条</w:t>
      </w:r>
      <w:r>
        <w:rPr>
          <w:rFonts w:hint="eastAsia" w:ascii="黑体" w:hAnsi="黑体" w:eastAsia="黑体" w:cs="黑体"/>
          <w:lang w:eastAsia="zh-CN"/>
        </w:rPr>
        <w:t>　</w:t>
      </w:r>
      <w:r>
        <w:rPr>
          <w:rFonts w:hint="eastAsia"/>
        </w:rPr>
        <w:t>预算执行阶段，县业务主管部门要按照事前支持项目和事后支持项目的不同类型加强专项资金绩效目标监控，对监控中发现与既定绩效目标发生偏离的，及时责成项目单位采取措施予以纠正；情况严重的，调整、暂缓或者停止执行。县财政部门对专项资金绩效目标实现情况与预算执行进度情况进行监控并通报。</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第三十条</w:t>
      </w:r>
      <w:r>
        <w:rPr>
          <w:rFonts w:hint="eastAsia" w:ascii="黑体" w:hAnsi="黑体" w:eastAsia="黑体" w:cs="黑体"/>
          <w:lang w:eastAsia="zh-CN"/>
        </w:rPr>
        <w:t>　</w:t>
      </w:r>
      <w:r>
        <w:rPr>
          <w:rFonts w:hint="eastAsia"/>
        </w:rPr>
        <w:t>预算年度终了及预算执行完毕，由县业务主管部门和用款单位开展专项资金使用情况自评。县业务主管部门对项目开展绩效评价，形成自评报告报县财政部门备案。县财政部门结合县业务主管部门绩效自评情况和当年工作重点，委托第三方机构对部分专项资金进行重点绩效评价或自评抽查，将绩效结果汇总报县政府。</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第三十一条</w:t>
      </w:r>
      <w:r>
        <w:rPr>
          <w:rFonts w:hint="eastAsia" w:ascii="黑体" w:hAnsi="黑体" w:eastAsia="黑体" w:cs="黑体"/>
          <w:lang w:eastAsia="zh-CN"/>
        </w:rPr>
        <w:t>　</w:t>
      </w:r>
      <w:r>
        <w:rPr>
          <w:rFonts w:hint="eastAsia"/>
        </w:rPr>
        <w:t>县业务主管部门要依法履行职责，加强对专项资金</w:t>
      </w:r>
      <w:r>
        <w:rPr>
          <w:rFonts w:hint="eastAsia"/>
          <w:spacing w:val="-6"/>
        </w:rPr>
        <w:t>管理关键岗位和重要环节的廉政风险排查和防控，</w:t>
      </w:r>
      <w:r>
        <w:rPr>
          <w:rFonts w:hint="eastAsia"/>
        </w:rPr>
        <w:t>对专项资金预算执行、资金使用效益和财务管理进行跟踪监控。县财政、审计部门要按照预算法及相关规定进行监督检查。</w:t>
      </w: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ascii="黑体" w:hAnsi="黑体" w:eastAsia="黑体" w:cs="黑体"/>
        </w:rPr>
      </w:pP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rPr>
      </w:pPr>
      <w:r>
        <w:rPr>
          <w:rFonts w:hint="eastAsia" w:ascii="黑体" w:hAnsi="黑体" w:eastAsia="黑体" w:cs="黑体"/>
        </w:rPr>
        <w:t>第七章</w:t>
      </w:r>
      <w:r>
        <w:rPr>
          <w:rFonts w:hint="eastAsia" w:ascii="黑体" w:hAnsi="黑体" w:eastAsia="黑体" w:cs="黑体"/>
          <w:lang w:eastAsia="zh-CN"/>
        </w:rPr>
        <w:t>　</w:t>
      </w:r>
      <w:r>
        <w:rPr>
          <w:rFonts w:hint="eastAsia" w:ascii="黑体" w:hAnsi="黑体" w:eastAsia="黑体" w:cs="黑体"/>
        </w:rPr>
        <w:t>信息公开</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第三十二条</w:t>
      </w:r>
      <w:r>
        <w:rPr>
          <w:rFonts w:hint="eastAsia" w:ascii="黑体" w:hAnsi="黑体" w:eastAsia="黑体" w:cs="黑体"/>
          <w:lang w:eastAsia="zh-CN"/>
        </w:rPr>
        <w:t>　</w:t>
      </w:r>
      <w:r>
        <w:rPr>
          <w:rFonts w:hint="eastAsia"/>
        </w:rPr>
        <w:t>县业务主管部门是本部门分管专项资金信息公开公示的责任主体。项目实施单位要及时以适当方式公开财政资金使用情况。</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第三十三条</w:t>
      </w:r>
      <w:r>
        <w:rPr>
          <w:rFonts w:hint="eastAsia" w:ascii="黑体" w:hAnsi="黑体" w:eastAsia="黑体" w:cs="黑体"/>
          <w:lang w:eastAsia="zh-CN"/>
        </w:rPr>
        <w:t>　</w:t>
      </w:r>
      <w:r>
        <w:rPr>
          <w:rFonts w:hint="eastAsia"/>
        </w:rPr>
        <w:t>除涉及保密要求和重大敏感事项不予以公开的专项资金信息外，县级财政专项资金的分配、执行和结果等全过程信息按照“谁制定、谁分配、谁使用、谁公开”的原则向社会公开。主要信息内容包括：</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w:t>
      </w:r>
      <w:r>
        <w:rPr>
          <w:rFonts w:hint="eastAsia"/>
        </w:rPr>
        <w:t>（一）专项资金目录清单。</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（二）各项专项资金的具体管理办法。</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（三）专项资金申报通知（申报指南），包括申报条件、扶持范围、扶持对象、审批部门、咨询电话等。</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（四）项目计划情况，包括申报单位、申请金额、安排金额、绩效目标、项目立项储备等。</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rPr>
        <w:t>（五）资金分配方式、程序和结果，包括资金分配明细项目、金额和分配对象等。</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（六）专项资金使用情况。</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（七）专项资金绩效评价、监督检查和审计结果，包括项目财务决算报告、项目验收考评情况、绩效自评报告和财政部门反馈的重点评价报告、财政财务监督检查报告、审计结果等。</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（八）公开接受和处理投诉情况，包括投诉事项和投诉处理情况以及其他按规定应公开的内容。</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第三十四条</w:t>
      </w:r>
      <w:r>
        <w:rPr>
          <w:rFonts w:hint="eastAsia" w:ascii="黑体" w:hAnsi="黑体" w:eastAsia="黑体" w:cs="黑体"/>
          <w:lang w:eastAsia="zh-CN"/>
        </w:rPr>
        <w:t>　</w:t>
      </w:r>
      <w:r>
        <w:rPr>
          <w:rFonts w:hint="eastAsia"/>
        </w:rPr>
        <w:t>县业务主管部门应在相关信息审批生效后</w:t>
      </w:r>
      <w:r>
        <w:rPr>
          <w:rFonts w:hint="eastAsia" w:asciiTheme="minorEastAsia" w:hAnsiTheme="minorEastAsia" w:eastAsiaTheme="minorEastAsia" w:cstheme="minorEastAsia"/>
        </w:rPr>
        <w:t>20</w:t>
      </w:r>
      <w:r>
        <w:rPr>
          <w:rFonts w:hint="eastAsia"/>
        </w:rPr>
        <w:t>日内，通过专项资金管理平台、本部门门户网站、相关信息系统等载体向社会进行公开。</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eastAsia="zh-CN"/>
        </w:rPr>
        <w:t>　</w:t>
      </w:r>
      <w:r>
        <w:rPr>
          <w:rFonts w:hint="eastAsia" w:ascii="黑体" w:hAnsi="黑体" w:eastAsia="黑体" w:cs="黑体"/>
        </w:rPr>
        <w:t>责任追究</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ascii="黑体" w:hAnsi="黑体" w:eastAsia="黑体" w:cs="黑体"/>
        </w:rPr>
        <w:t>第三十五条</w:t>
      </w:r>
      <w:r>
        <w:rPr>
          <w:rFonts w:hint="eastAsia" w:ascii="黑体" w:hAnsi="黑体" w:eastAsia="黑体" w:cs="黑体"/>
          <w:lang w:eastAsia="zh-CN"/>
        </w:rPr>
        <w:t>　</w:t>
      </w:r>
      <w:r>
        <w:rPr>
          <w:rFonts w:hint="eastAsia"/>
        </w:rPr>
        <w:t>对存在以下情形的，追究相关部门、用款单位及责任人责任。</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（一）对专项资金预算执行进度慢、效果差的县业务主管部门和乡镇政府主要领导、分管领导，由县财政部门提请县政府进行约谈。</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二）对负责专项资金管理的县业务主管部门领导、内设部门领导、经办人员，以及其他协管部门、中介机构有关人员和评审专家在专项资金评审、分配、审批过程中存在违法违规行为的，按照“谁审批、谁负责”的原则，视情节轻重追究责任。</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三）申请单位在专项资金申报、管理、使用过程中存在虚报、挤占、挪用等违法违规行为的，依法依规作出严肃处理，追回专项资金，将失信信息纳入社会信用体系实施联合奖惩，并向社会公开。情节严重的，原则上</w:t>
      </w:r>
      <w:r>
        <w:rPr>
          <w:rFonts w:hint="eastAsia" w:asciiTheme="minorEastAsia" w:hAnsiTheme="minorEastAsia" w:eastAsiaTheme="minorEastAsia" w:cstheme="minorEastAsia"/>
        </w:rPr>
        <w:t>5</w:t>
      </w:r>
      <w:r>
        <w:rPr>
          <w:rFonts w:hint="eastAsia"/>
        </w:rPr>
        <w:t>年内停止其申报专项资金资格。</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ascii="楷体" w:hAnsi="楷体" w:eastAsia="楷体" w:cs="楷体"/>
          <w:lang w:eastAsia="zh-CN"/>
        </w:rPr>
        <w:t>　</w:t>
      </w:r>
      <w:r>
        <w:rPr>
          <w:rFonts w:hint="eastAsia"/>
          <w:lang w:eastAsia="zh-CN"/>
        </w:rPr>
        <w:t>　</w:t>
      </w:r>
      <w:r>
        <w:rPr>
          <w:rFonts w:hint="eastAsia"/>
        </w:rPr>
        <w:t>（四）部门未按规定将资金拨付到用款单位的，按有关规定进行问责。</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r>
        <w:rPr>
          <w:rFonts w:hint="eastAsia"/>
          <w:lang w:eastAsia="zh-CN"/>
        </w:rPr>
        <w:t>　　</w:t>
      </w:r>
      <w:r>
        <w:rPr>
          <w:rFonts w:hint="eastAsia"/>
        </w:rPr>
        <w:t>（五）涉嫌违法犯罪的，依法移送司法机关处理。</w:t>
      </w: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rPr>
      </w:pPr>
    </w:p>
    <w:p>
      <w:pPr>
        <w:keepNext w:val="0"/>
        <w:keepLines w:val="0"/>
        <w:pageBreakBefore w:val="0"/>
        <w:widowControl w:val="0"/>
        <w:numPr>
          <w:ilvl w:val="0"/>
          <w:numId w:val="2"/>
        </w:numPr>
        <w:kinsoku/>
        <w:wordWrap/>
        <w:overflowPunct w:val="0"/>
        <w:topLinePunct/>
        <w:autoSpaceDE/>
        <w:autoSpaceDN/>
        <w:bidi w:val="0"/>
        <w:adjustRightInd/>
        <w:snapToGrid/>
        <w:spacing w:line="600" w:lineRule="exact"/>
        <w:jc w:val="center"/>
        <w:textAlignment w:val="auto"/>
        <w:rPr>
          <w:rFonts w:hint="eastAsia" w:ascii="黑体" w:hAnsi="黑体" w:eastAsia="黑体" w:cs="黑体"/>
          <w:lang w:eastAsia="zh-CN"/>
        </w:rPr>
      </w:pPr>
      <w:r>
        <w:rPr>
          <w:rFonts w:hint="eastAsia" w:ascii="黑体" w:hAnsi="黑体" w:eastAsia="黑体" w:cs="黑体"/>
          <w:lang w:eastAsia="zh-CN"/>
        </w:rPr>
        <w:t>附则</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jc w:val="both"/>
        <w:textAlignment w:val="auto"/>
        <w:rPr>
          <w:rFonts w:hint="eastAsia" w:ascii="黑体" w:hAnsi="黑体" w:eastAsia="黑体" w:cs="黑体"/>
          <w:lang w:eastAsia="zh-CN"/>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lang w:eastAsia="zh-CN"/>
        </w:rPr>
      </w:pPr>
      <w:r>
        <w:rPr>
          <w:rFonts w:hint="eastAsia" w:ascii="黑体" w:hAnsi="黑体" w:eastAsia="黑体" w:cs="黑体"/>
        </w:rPr>
        <w:t>第三十六条</w:t>
      </w:r>
      <w:r>
        <w:rPr>
          <w:rFonts w:hint="eastAsia" w:ascii="黑体" w:hAnsi="黑体" w:eastAsia="黑体" w:cs="黑体"/>
          <w:lang w:eastAsia="zh-CN"/>
        </w:rPr>
        <w:t>　</w:t>
      </w:r>
      <w:r>
        <w:rPr>
          <w:rFonts w:hint="eastAsia"/>
        </w:rPr>
        <w:t>本办法自</w:t>
      </w:r>
      <w:r>
        <w:rPr>
          <w:rFonts w:hint="eastAsia" w:asciiTheme="minorEastAsia" w:hAnsiTheme="minorEastAsia" w:eastAsiaTheme="minorEastAsia" w:cstheme="minorEastAsia"/>
          <w:lang w:val="en-US" w:eastAsia="zh-CN"/>
        </w:rPr>
        <w:t>2022</w:t>
      </w:r>
      <w:r>
        <w:rPr>
          <w:rFonts w:hint="eastAsia"/>
          <w:lang w:eastAsia="zh-CN"/>
        </w:rPr>
        <w:t>年</w:t>
      </w:r>
      <w:r>
        <w:rPr>
          <w:rFonts w:hint="eastAsia" w:asciiTheme="minorEastAsia" w:hAnsiTheme="minorEastAsia" w:eastAsiaTheme="minorEastAsia" w:cstheme="minorEastAsia"/>
          <w:lang w:val="en-US" w:eastAsia="zh-CN"/>
        </w:rPr>
        <w:t>7</w:t>
      </w:r>
      <w:r>
        <w:rPr>
          <w:rFonts w:hint="eastAsia"/>
          <w:lang w:eastAsia="zh-CN"/>
        </w:rPr>
        <w:t>月</w:t>
      </w:r>
      <w:r>
        <w:rPr>
          <w:rFonts w:hint="eastAsia" w:asciiTheme="minorEastAsia" w:hAnsiTheme="minorEastAsia" w:eastAsiaTheme="minorEastAsia" w:cstheme="minorEastAsia"/>
          <w:lang w:val="en-US" w:eastAsia="zh-CN"/>
        </w:rPr>
        <w:t>15</w:t>
      </w:r>
      <w:r>
        <w:rPr>
          <w:rFonts w:hint="eastAsia"/>
        </w:rPr>
        <w:t>日起施行，有效期</w:t>
      </w:r>
      <w:r>
        <w:rPr>
          <w:rFonts w:hint="eastAsia" w:asciiTheme="minorEastAsia" w:hAnsiTheme="minorEastAsia" w:eastAsiaTheme="minorEastAsia" w:cstheme="minorEastAsia"/>
        </w:rPr>
        <w:t>3</w:t>
      </w:r>
      <w:r>
        <w:rPr>
          <w:rFonts w:hint="eastAsia"/>
        </w:rPr>
        <w:t>年。</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lang w:eastAsia="zh-CN"/>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rPr>
        <w:t>附件：</w:t>
      </w:r>
      <w:r>
        <w:rPr>
          <w:rFonts w:hint="eastAsia" w:asciiTheme="minorEastAsia" w:hAnsiTheme="minorEastAsia" w:eastAsiaTheme="minorEastAsia" w:cstheme="minorEastAsia"/>
        </w:rPr>
        <w:t>1.</w:t>
      </w:r>
      <w:r>
        <w:rPr>
          <w:rFonts w:hint="eastAsia"/>
        </w:rPr>
        <w:t>县级财政专项资金目录清单参考模板</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lang w:eastAsia="zh-CN"/>
        </w:rPr>
        <w:t>　　　</w:t>
      </w:r>
      <w:r>
        <w:rPr>
          <w:rFonts w:hint="eastAsia" w:asciiTheme="minorEastAsia" w:hAnsiTheme="minorEastAsia" w:eastAsiaTheme="minorEastAsia" w:cstheme="minorEastAsia"/>
        </w:rPr>
        <w:t>2.</w:t>
      </w:r>
      <w:r>
        <w:rPr>
          <w:rFonts w:hint="eastAsia"/>
        </w:rPr>
        <w:t>县级财政专项资金新增设立申报表</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lang w:eastAsia="zh-CN"/>
        </w:rPr>
        <w:t>　　　</w:t>
      </w:r>
      <w:r>
        <w:rPr>
          <w:rFonts w:hint="eastAsia" w:asciiTheme="minorEastAsia" w:hAnsiTheme="minorEastAsia" w:eastAsiaTheme="minorEastAsia" w:cstheme="minorEastAsia"/>
        </w:rPr>
        <w:t>3.</w:t>
      </w:r>
      <w:r>
        <w:rPr>
          <w:rFonts w:hint="eastAsia"/>
        </w:rPr>
        <w:t>可行性研究报告编写提纲</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r>
        <w:rPr>
          <w:rFonts w:hint="eastAsia"/>
          <w:lang w:eastAsia="zh-CN"/>
        </w:rPr>
        <w:t>　　　</w:t>
      </w:r>
      <w:r>
        <w:rPr>
          <w:rFonts w:hint="eastAsia" w:asciiTheme="minorEastAsia" w:hAnsiTheme="minorEastAsia" w:eastAsiaTheme="minorEastAsia" w:cstheme="minorEastAsia"/>
        </w:rPr>
        <w:t>4.</w:t>
      </w:r>
      <w:r>
        <w:rPr>
          <w:rFonts w:hint="eastAsia"/>
        </w:rPr>
        <w:t>专项资金任务清单参考模板</w:t>
      </w: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600" w:lineRule="exact"/>
        <w:ind w:firstLine="634" w:firstLineChars="200"/>
        <w:textAlignment w:val="auto"/>
        <w:rPr>
          <w:rFonts w:hint="eastAsia"/>
        </w:rPr>
      </w:pPr>
    </w:p>
    <w:p>
      <w:pPr>
        <w:jc w:val="left"/>
        <w:rPr>
          <w:rFonts w:hint="eastAsia" w:ascii="黑体" w:hAnsi="黑体" w:eastAsia="黑体" w:cs="黑体"/>
          <w:kern w:val="2"/>
          <w:sz w:val="32"/>
          <w:szCs w:val="32"/>
        </w:rPr>
      </w:pPr>
      <w:r>
        <w:rPr>
          <w:rFonts w:hint="eastAsia" w:ascii="黑体" w:hAnsi="黑体" w:eastAsia="黑体" w:cs="黑体"/>
          <w:kern w:val="2"/>
          <w:sz w:val="32"/>
          <w:szCs w:val="32"/>
        </w:rPr>
        <w:t>附件1</w:t>
      </w:r>
    </w:p>
    <w:tbl>
      <w:tblPr>
        <w:tblStyle w:val="4"/>
        <w:tblpPr w:leftFromText="180" w:rightFromText="180" w:vertAnchor="text" w:horzAnchor="page" w:tblpX="1559" w:tblpY="1194"/>
        <w:tblOverlap w:val="never"/>
        <w:tblW w:w="8988" w:type="dxa"/>
        <w:tblInd w:w="0" w:type="dxa"/>
        <w:tblLayout w:type="fixed"/>
        <w:tblCellMar>
          <w:top w:w="0" w:type="dxa"/>
          <w:left w:w="15" w:type="dxa"/>
          <w:bottom w:w="0" w:type="dxa"/>
          <w:right w:w="15" w:type="dxa"/>
        </w:tblCellMar>
      </w:tblPr>
      <w:tblGrid>
        <w:gridCol w:w="791"/>
        <w:gridCol w:w="1560"/>
        <w:gridCol w:w="1200"/>
        <w:gridCol w:w="1069"/>
        <w:gridCol w:w="1320"/>
        <w:gridCol w:w="1538"/>
        <w:gridCol w:w="1510"/>
      </w:tblGrid>
      <w:tr>
        <w:tblPrEx>
          <w:tblCellMar>
            <w:top w:w="0" w:type="dxa"/>
            <w:left w:w="15" w:type="dxa"/>
            <w:bottom w:w="0" w:type="dxa"/>
            <w:right w:w="15" w:type="dxa"/>
          </w:tblCellMar>
        </w:tblPrEx>
        <w:trPr>
          <w:trHeight w:val="435" w:hRule="atLeast"/>
        </w:trPr>
        <w:tc>
          <w:tcPr>
            <w:tcW w:w="4620" w:type="dxa"/>
            <w:gridSpan w:val="4"/>
            <w:tcBorders>
              <w:top w:val="nil"/>
              <w:left w:val="nil"/>
              <w:bottom w:val="single" w:color="auto" w:sz="4" w:space="0"/>
              <w:right w:val="nil"/>
            </w:tcBorders>
            <w:noWrap w:val="0"/>
            <w:vAlign w:val="center"/>
          </w:tcPr>
          <w:p>
            <w:pPr>
              <w:autoSpaceDN w:val="0"/>
              <w:jc w:val="left"/>
              <w:textAlignment w:val="center"/>
              <w:rPr>
                <w:rFonts w:hint="default" w:ascii="黑体" w:hAnsi="黑体" w:eastAsia="黑体" w:cs="Times New Roman"/>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主管部门</w:t>
            </w:r>
            <w:r>
              <w:rPr>
                <w:rFonts w:hint="eastAsia" w:cs="仿宋_GB2312"/>
                <w:color w:val="000000"/>
                <w:kern w:val="2"/>
                <w:sz w:val="24"/>
                <w:szCs w:val="24"/>
                <w:lang w:val="en-US" w:eastAsia="zh-CN"/>
              </w:rPr>
              <w:t>：</w:t>
            </w:r>
          </w:p>
        </w:tc>
        <w:tc>
          <w:tcPr>
            <w:tcW w:w="4368" w:type="dxa"/>
            <w:gridSpan w:val="3"/>
            <w:tcBorders>
              <w:top w:val="nil"/>
              <w:left w:val="nil"/>
              <w:bottom w:val="single" w:color="auto" w:sz="4" w:space="0"/>
              <w:right w:val="nil"/>
            </w:tcBorders>
            <w:noWrap w:val="0"/>
            <w:vAlign w:val="center"/>
          </w:tcPr>
          <w:p>
            <w:pPr>
              <w:autoSpaceDN w:val="0"/>
              <w:jc w:val="right"/>
              <w:textAlignment w:val="center"/>
              <w:rPr>
                <w:rFonts w:hint="default" w:ascii="黑体" w:hAnsi="黑体" w:eastAsia="黑体" w:cs="Times New Roman"/>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单位：万元</w:t>
            </w:r>
          </w:p>
        </w:tc>
      </w:tr>
      <w:tr>
        <w:tblPrEx>
          <w:tblCellMar>
            <w:top w:w="0" w:type="dxa"/>
            <w:left w:w="15" w:type="dxa"/>
            <w:bottom w:w="0" w:type="dxa"/>
            <w:right w:w="15" w:type="dxa"/>
          </w:tblCellMar>
        </w:tblPrEx>
        <w:trPr>
          <w:trHeight w:val="435" w:hRule="atLeast"/>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序号</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专项资金名称</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设立年限</w:t>
            </w: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主要用途</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绩效目标</w:t>
            </w:r>
          </w:p>
        </w:tc>
        <w:tc>
          <w:tcPr>
            <w:tcW w:w="1538"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资金</w:t>
            </w:r>
            <w:r>
              <w:rPr>
                <w:rFonts w:hint="eastAsia" w:ascii="黑体" w:hAnsi="黑体" w:eastAsia="黑体" w:cs="Times New Roman"/>
                <w:color w:val="000000"/>
                <w:kern w:val="2"/>
                <w:sz w:val="24"/>
                <w:szCs w:val="24"/>
              </w:rPr>
              <w:t>规模</w:t>
            </w:r>
          </w:p>
        </w:tc>
        <w:tc>
          <w:tcPr>
            <w:tcW w:w="151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黑体" w:hAnsi="黑体" w:eastAsia="黑体" w:cs="Times New Roman"/>
                <w:color w:val="000000"/>
                <w:kern w:val="2"/>
                <w:sz w:val="24"/>
                <w:szCs w:val="24"/>
              </w:rPr>
            </w:pPr>
            <w:r>
              <w:rPr>
                <w:rFonts w:ascii="黑体" w:hAnsi="黑体" w:eastAsia="黑体" w:cs="Times New Roman"/>
                <w:color w:val="000000"/>
                <w:kern w:val="2"/>
                <w:sz w:val="24"/>
                <w:szCs w:val="24"/>
              </w:rPr>
              <w:t>备注</w:t>
            </w:r>
          </w:p>
        </w:tc>
      </w:tr>
      <w:tr>
        <w:tblPrEx>
          <w:tblCellMar>
            <w:top w:w="0" w:type="dxa"/>
            <w:left w:w="15" w:type="dxa"/>
            <w:bottom w:w="0" w:type="dxa"/>
            <w:right w:w="15" w:type="dxa"/>
          </w:tblCellMar>
        </w:tblPrEx>
        <w:trPr>
          <w:trHeight w:val="570" w:hRule="atLeast"/>
        </w:trPr>
        <w:tc>
          <w:tcPr>
            <w:tcW w:w="791" w:type="dxa"/>
            <w:vMerge w:val="continue"/>
            <w:tcBorders>
              <w:top w:val="single" w:color="auto" w:sz="4" w:space="0"/>
              <w:left w:val="single" w:color="auto" w:sz="4" w:space="0"/>
              <w:bottom w:val="single" w:color="auto" w:sz="4" w:space="0"/>
              <w:right w:val="single" w:color="000000" w:sz="4" w:space="0"/>
            </w:tcBorders>
            <w:noWrap w:val="0"/>
            <w:vAlign w:val="center"/>
          </w:tcPr>
          <w:p>
            <w:pPr>
              <w:rPr>
                <w:rFonts w:ascii="宋体" w:hAnsi="宋体" w:eastAsia="宋体" w:cs="Times New Roman"/>
                <w:kern w:val="2"/>
                <w:sz w:val="24"/>
                <w:szCs w:val="24"/>
              </w:rPr>
            </w:pPr>
          </w:p>
        </w:tc>
        <w:tc>
          <w:tcPr>
            <w:tcW w:w="1560" w:type="dxa"/>
            <w:vMerge w:val="continue"/>
            <w:tcBorders>
              <w:top w:val="single" w:color="auto" w:sz="4" w:space="0"/>
              <w:bottom w:val="single" w:color="auto" w:sz="4" w:space="0"/>
              <w:right w:val="single" w:color="000000" w:sz="4" w:space="0"/>
            </w:tcBorders>
            <w:noWrap w:val="0"/>
            <w:vAlign w:val="center"/>
          </w:tcPr>
          <w:p>
            <w:pPr>
              <w:autoSpaceDN w:val="0"/>
              <w:rPr>
                <w:rFonts w:ascii="宋体" w:hAnsi="宋体" w:eastAsia="宋体" w:cs="Times New Roman"/>
                <w:kern w:val="2"/>
                <w:sz w:val="24"/>
                <w:szCs w:val="24"/>
              </w:rPr>
            </w:pPr>
          </w:p>
        </w:tc>
        <w:tc>
          <w:tcPr>
            <w:tcW w:w="1200" w:type="dxa"/>
            <w:vMerge w:val="continue"/>
            <w:tcBorders>
              <w:top w:val="single" w:color="auto" w:sz="4" w:space="0"/>
              <w:bottom w:val="single" w:color="auto" w:sz="4" w:space="0"/>
              <w:right w:val="single" w:color="000000" w:sz="4" w:space="0"/>
            </w:tcBorders>
            <w:noWrap w:val="0"/>
            <w:vAlign w:val="center"/>
          </w:tcPr>
          <w:p>
            <w:pPr>
              <w:rPr>
                <w:rFonts w:ascii="宋体" w:hAnsi="宋体" w:eastAsia="宋体" w:cs="Times New Roman"/>
                <w:kern w:val="2"/>
                <w:sz w:val="24"/>
                <w:szCs w:val="24"/>
              </w:rPr>
            </w:pPr>
          </w:p>
        </w:tc>
        <w:tc>
          <w:tcPr>
            <w:tcW w:w="1069" w:type="dxa"/>
            <w:vMerge w:val="continue"/>
            <w:tcBorders>
              <w:top w:val="single" w:color="auto" w:sz="4" w:space="0"/>
              <w:left w:val="single" w:color="000000" w:sz="4" w:space="0"/>
              <w:bottom w:val="single" w:color="auto" w:sz="4" w:space="0"/>
              <w:right w:val="single" w:color="000000" w:sz="4" w:space="0"/>
            </w:tcBorders>
            <w:noWrap w:val="0"/>
            <w:vAlign w:val="center"/>
          </w:tcPr>
          <w:p>
            <w:pPr>
              <w:rPr>
                <w:rFonts w:ascii="宋体" w:hAnsi="宋体" w:eastAsia="宋体" w:cs="Times New Roman"/>
                <w:kern w:val="2"/>
                <w:sz w:val="24"/>
                <w:szCs w:val="24"/>
              </w:rPr>
            </w:pPr>
          </w:p>
        </w:tc>
        <w:tc>
          <w:tcPr>
            <w:tcW w:w="1320" w:type="dxa"/>
            <w:vMerge w:val="continue"/>
            <w:tcBorders>
              <w:top w:val="single" w:color="auto" w:sz="4" w:space="0"/>
              <w:left w:val="single" w:color="000000" w:sz="4" w:space="0"/>
              <w:bottom w:val="single" w:color="auto" w:sz="4" w:space="0"/>
              <w:right w:val="single" w:color="000000" w:sz="4" w:space="0"/>
            </w:tcBorders>
            <w:noWrap w:val="0"/>
            <w:vAlign w:val="center"/>
          </w:tcPr>
          <w:p>
            <w:pPr>
              <w:rPr>
                <w:rFonts w:ascii="宋体" w:hAnsi="宋体" w:eastAsia="宋体" w:cs="Times New Roman"/>
                <w:kern w:val="2"/>
                <w:sz w:val="24"/>
                <w:szCs w:val="24"/>
              </w:rPr>
            </w:pPr>
          </w:p>
        </w:tc>
        <w:tc>
          <w:tcPr>
            <w:tcW w:w="1538" w:type="dxa"/>
            <w:vMerge w:val="continue"/>
            <w:tcBorders>
              <w:top w:val="single" w:color="auto" w:sz="4" w:space="0"/>
              <w:left w:val="single" w:color="000000" w:sz="4" w:space="0"/>
              <w:bottom w:val="single" w:color="auto" w:sz="4" w:space="0"/>
              <w:right w:val="single" w:color="000000" w:sz="4" w:space="0"/>
            </w:tcBorders>
            <w:noWrap w:val="0"/>
            <w:vAlign w:val="center"/>
          </w:tcPr>
          <w:p>
            <w:pPr>
              <w:rPr>
                <w:rFonts w:ascii="宋体" w:hAnsi="宋体" w:eastAsia="宋体" w:cs="Times New Roman"/>
                <w:kern w:val="2"/>
                <w:sz w:val="24"/>
                <w:szCs w:val="24"/>
              </w:rPr>
            </w:pPr>
          </w:p>
        </w:tc>
        <w:tc>
          <w:tcPr>
            <w:tcW w:w="1510" w:type="dxa"/>
            <w:vMerge w:val="continue"/>
            <w:tcBorders>
              <w:top w:val="single" w:color="auto" w:sz="4" w:space="0"/>
              <w:left w:val="single" w:color="000000"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auto"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auto"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200" w:type="dxa"/>
            <w:tcBorders>
              <w:top w:val="single" w:color="auto"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069" w:type="dxa"/>
            <w:tcBorders>
              <w:top w:val="single" w:color="auto"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auto"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auto"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auto"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r>
        <w:tblPrEx>
          <w:tblCellMar>
            <w:top w:w="0" w:type="dxa"/>
            <w:left w:w="15" w:type="dxa"/>
            <w:bottom w:w="0" w:type="dxa"/>
            <w:right w:w="15"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4"/>
                <w:szCs w:val="24"/>
              </w:rPr>
            </w:pPr>
          </w:p>
        </w:tc>
        <w:tc>
          <w:tcPr>
            <w:tcW w:w="1560" w:type="dxa"/>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仿宋_GB2312" w:hAnsi="仿宋_GB2312" w:eastAsia="仿宋_GB2312" w:cs="Times New Roman"/>
                <w:color w:val="000000"/>
                <w:kern w:val="2"/>
                <w:sz w:val="24"/>
                <w:szCs w:val="24"/>
              </w:rPr>
            </w:pPr>
          </w:p>
        </w:tc>
        <w:tc>
          <w:tcPr>
            <w:tcW w:w="1200" w:type="dxa"/>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仿宋_GB2312" w:hAnsi="仿宋_GB2312" w:eastAsia="仿宋_GB2312" w:cs="Times New Roman"/>
                <w:color w:val="000000"/>
                <w:kern w:val="2"/>
                <w:sz w:val="24"/>
                <w:szCs w:val="24"/>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仿宋_GB2312" w:hAnsi="仿宋_GB2312" w:eastAsia="仿宋_GB2312" w:cs="Times New Roman"/>
                <w:color w:val="000000"/>
                <w:kern w:val="2"/>
                <w:sz w:val="24"/>
                <w:szCs w:val="24"/>
              </w:rPr>
            </w:pPr>
          </w:p>
        </w:tc>
      </w:tr>
    </w:tbl>
    <w:p>
      <w:pPr>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县级财政专项资金目录清单参考模板</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rPr>
      </w:pPr>
    </w:p>
    <w:p>
      <w:pPr>
        <w:tabs>
          <w:tab w:val="left" w:pos="0"/>
        </w:tabs>
        <w:adjustRightInd w:val="0"/>
        <w:snapToGrid w:val="0"/>
        <w:spacing w:line="360" w:lineRule="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主管部门联系人及电话：</w:t>
      </w:r>
    </w:p>
    <w:p>
      <w:pPr>
        <w:tabs>
          <w:tab w:val="left" w:pos="0"/>
        </w:tabs>
        <w:adjustRightInd w:val="0"/>
        <w:snapToGrid w:val="0"/>
        <w:spacing w:line="360" w:lineRule="auto"/>
        <w:rPr>
          <w:rFonts w:hint="eastAsia" w:ascii="黑体" w:hAnsi="Times New Roman" w:eastAsia="黑体" w:cs="黑体"/>
          <w:kern w:val="2"/>
          <w:sz w:val="32"/>
          <w:szCs w:val="32"/>
        </w:rPr>
      </w:pPr>
    </w:p>
    <w:p>
      <w:pPr>
        <w:tabs>
          <w:tab w:val="left" w:pos="0"/>
        </w:tabs>
        <w:adjustRightInd w:val="0"/>
        <w:snapToGrid w:val="0"/>
        <w:spacing w:line="360" w:lineRule="auto"/>
        <w:rPr>
          <w:rFonts w:hint="eastAsia" w:ascii="黑体" w:hAnsi="Times New Roman" w:eastAsia="黑体" w:cs="黑体"/>
          <w:kern w:val="2"/>
          <w:sz w:val="32"/>
          <w:szCs w:val="32"/>
        </w:rPr>
      </w:pPr>
    </w:p>
    <w:p>
      <w:pPr>
        <w:tabs>
          <w:tab w:val="left" w:pos="0"/>
        </w:tabs>
        <w:adjustRightInd w:val="0"/>
        <w:snapToGrid w:val="0"/>
        <w:spacing w:line="360" w:lineRule="auto"/>
        <w:rPr>
          <w:rFonts w:hint="eastAsia" w:ascii="黑体" w:hAnsi="Times New Roman" w:eastAsia="黑体" w:cs="黑体"/>
          <w:kern w:val="2"/>
          <w:sz w:val="32"/>
          <w:szCs w:val="32"/>
        </w:rPr>
      </w:pPr>
    </w:p>
    <w:p>
      <w:pPr>
        <w:tabs>
          <w:tab w:val="left" w:pos="0"/>
        </w:tabs>
        <w:adjustRightInd w:val="0"/>
        <w:snapToGrid w:val="0"/>
        <w:spacing w:line="360" w:lineRule="auto"/>
        <w:rPr>
          <w:rFonts w:hint="eastAsia" w:ascii="黑体" w:hAnsi="Times New Roman" w:eastAsia="黑体" w:cs="黑体"/>
          <w:kern w:val="2"/>
          <w:sz w:val="32"/>
          <w:szCs w:val="32"/>
        </w:rPr>
      </w:pP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黑体" w:hAnsi="Times New Roman" w:eastAsia="黑体" w:cs="黑体"/>
          <w:kern w:val="2"/>
          <w:sz w:val="32"/>
          <w:szCs w:val="32"/>
        </w:rPr>
      </w:pPr>
      <w:r>
        <w:rPr>
          <w:rFonts w:hint="eastAsia" w:ascii="黑体" w:hAnsi="Times New Roman" w:eastAsia="黑体" w:cs="黑体"/>
          <w:kern w:val="2"/>
          <w:sz w:val="32"/>
          <w:szCs w:val="32"/>
        </w:rPr>
        <w:t>附件2</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黑体" w:hAnsi="Times New Roman" w:eastAsia="黑体" w:cs="黑体"/>
          <w:kern w:val="2"/>
          <w:sz w:val="32"/>
          <w:szCs w:val="32"/>
        </w:rPr>
      </w:pPr>
    </w:p>
    <w:p>
      <w:pPr>
        <w:adjustRightInd w:val="0"/>
        <w:snapToGrid w:val="0"/>
        <w:spacing w:line="360" w:lineRule="auto"/>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县级财政专项资金新增设立申报表</w:t>
      </w:r>
    </w:p>
    <w:p>
      <w:pPr>
        <w:adjustRightInd w:val="0"/>
        <w:snapToGrid w:val="0"/>
        <w:spacing w:line="360" w:lineRule="auto"/>
        <w:rPr>
          <w:rFonts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rPr>
        <w:t xml:space="preserve">填报日期：       </w:t>
      </w:r>
      <w:r>
        <w:rPr>
          <w:rFonts w:hint="eastAsia" w:hAnsi="Times New Roman" w:cs="仿宋_GB2312"/>
          <w:kern w:val="2"/>
          <w:sz w:val="28"/>
          <w:szCs w:val="28"/>
          <w:lang w:val="en-US" w:eastAsia="zh-CN"/>
        </w:rPr>
        <w:t xml:space="preserve">  </w:t>
      </w:r>
      <w:r>
        <w:rPr>
          <w:rFonts w:hint="eastAsia" w:ascii="仿宋_GB2312" w:hAnsi="Times New Roman" w:eastAsia="仿宋_GB2312" w:cs="仿宋_GB2312"/>
          <w:kern w:val="2"/>
          <w:sz w:val="28"/>
          <w:szCs w:val="28"/>
        </w:rPr>
        <w:t xml:space="preserve">     （单位盖章）     </w:t>
      </w:r>
      <w:r>
        <w:rPr>
          <w:rFonts w:hint="eastAsia" w:hAnsi="Times New Roman" w:cs="仿宋_GB2312"/>
          <w:kern w:val="2"/>
          <w:sz w:val="28"/>
          <w:szCs w:val="28"/>
          <w:lang w:val="en-US" w:eastAsia="zh-CN"/>
        </w:rPr>
        <w:t xml:space="preserve">  </w:t>
      </w:r>
      <w:r>
        <w:rPr>
          <w:rFonts w:hint="eastAsia" w:ascii="仿宋_GB2312" w:hAnsi="Times New Roman" w:eastAsia="仿宋_GB2312" w:cs="仿宋_GB2312"/>
          <w:kern w:val="2"/>
          <w:sz w:val="28"/>
          <w:szCs w:val="28"/>
        </w:rPr>
        <w:t xml:space="preserve">      单位：万元</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2573"/>
        <w:gridCol w:w="2294"/>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申报单位</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单位编码</w:t>
            </w:r>
          </w:p>
        </w:tc>
        <w:tc>
          <w:tcPr>
            <w:tcW w:w="22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仿宋_GB2312" w:hAnsi="Times New Roman" w:eastAsia="仿宋_GB2312" w:cs="Times New Roman"/>
                <w:kern w:val="2"/>
                <w:sz w:val="24"/>
                <w:szCs w:val="22"/>
              </w:rPr>
            </w:pPr>
            <w:r>
              <w:rPr>
                <w:rFonts w:hint="eastAsia" w:ascii="仿宋_GB2312" w:hAnsi="Times New Roman" w:eastAsia="仿宋_GB2312" w:cs="Times New Roman"/>
                <w:kern w:val="2"/>
                <w:sz w:val="24"/>
                <w:szCs w:val="22"/>
              </w:rPr>
              <w:t>（预算单位编码，六位数）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专项资金名称</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设立年限</w:t>
            </w:r>
          </w:p>
        </w:tc>
        <w:tc>
          <w:tcPr>
            <w:tcW w:w="22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申报责任人</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联系电话</w:t>
            </w:r>
          </w:p>
        </w:tc>
        <w:tc>
          <w:tcPr>
            <w:tcW w:w="22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设立依据</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r>
              <w:rPr>
                <w:rFonts w:hint="eastAsia" w:ascii="仿宋_GB2312" w:hAnsi="Times New Roman" w:eastAsia="仿宋_GB2312" w:cs="Times New Roman"/>
                <w:kern w:val="2"/>
                <w:sz w:val="24"/>
                <w:szCs w:val="22"/>
              </w:rPr>
              <w:t>（政策文件文号）</w:t>
            </w:r>
          </w:p>
          <w:p>
            <w:pPr>
              <w:adjustRightInd w:val="0"/>
              <w:snapToGrid w:val="0"/>
              <w:spacing w:line="360" w:lineRule="auto"/>
              <w:rPr>
                <w:rFonts w:ascii="仿宋_GB2312" w:hAnsi="Times New Roman" w:eastAsia="仿宋_GB2312" w:cs="Times New Roman"/>
                <w:kern w:val="2"/>
                <w:sz w:val="24"/>
                <w:szCs w:val="22"/>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新增资金总额</w:t>
            </w:r>
          </w:p>
        </w:tc>
        <w:tc>
          <w:tcPr>
            <w:tcW w:w="22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专项金设立政策背景及原因</w:t>
            </w:r>
          </w:p>
        </w:tc>
        <w:tc>
          <w:tcPr>
            <w:tcW w:w="71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r>
              <w:rPr>
                <w:rFonts w:hint="eastAsia" w:ascii="仿宋_GB2312" w:hAnsi="Times New Roman" w:eastAsia="仿宋_GB2312" w:cs="Droid Sans"/>
                <w:kern w:val="2"/>
                <w:sz w:val="24"/>
                <w:szCs w:val="22"/>
              </w:rPr>
              <w:t>（国家、省、市和县委、县政府新出台的政策文件、决策部署，设立的必要性、可行性、合理性等）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年限内每年资金安排计划</w:t>
            </w:r>
          </w:p>
        </w:tc>
        <w:tc>
          <w:tcPr>
            <w:tcW w:w="71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专项资金用途范围</w:t>
            </w:r>
          </w:p>
        </w:tc>
        <w:tc>
          <w:tcPr>
            <w:tcW w:w="71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专项资金绩效目标</w:t>
            </w:r>
          </w:p>
        </w:tc>
        <w:tc>
          <w:tcPr>
            <w:tcW w:w="71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部门审核意见</w:t>
            </w:r>
          </w:p>
        </w:tc>
        <w:tc>
          <w:tcPr>
            <w:tcW w:w="71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p>
            <w:pPr>
              <w:adjustRightInd w:val="0"/>
              <w:snapToGrid w:val="0"/>
              <w:spacing w:line="360" w:lineRule="auto"/>
              <w:rPr>
                <w:rFonts w:ascii="仿宋_GB2312" w:hAnsi="Times New Roman" w:eastAsia="仿宋_GB2312" w:cs="Times New Roman"/>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黑体" w:hAnsi="黑体" w:eastAsia="黑体" w:cs="黑体"/>
                <w:kern w:val="2"/>
                <w:sz w:val="28"/>
                <w:szCs w:val="24"/>
              </w:rPr>
            </w:pPr>
            <w:r>
              <w:rPr>
                <w:rFonts w:hint="eastAsia" w:ascii="黑体" w:hAnsi="黑体" w:eastAsia="黑体" w:cs="黑体"/>
                <w:kern w:val="2"/>
                <w:sz w:val="28"/>
                <w:szCs w:val="28"/>
              </w:rPr>
              <w:t>县财政局审核意见</w:t>
            </w:r>
          </w:p>
        </w:tc>
        <w:tc>
          <w:tcPr>
            <w:tcW w:w="71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仿宋_GB2312" w:hAnsi="Times New Roman" w:eastAsia="仿宋_GB2312" w:cs="Times New Roman"/>
                <w:kern w:val="2"/>
                <w:sz w:val="24"/>
                <w:szCs w:val="22"/>
              </w:rPr>
            </w:pPr>
          </w:p>
        </w:tc>
      </w:tr>
    </w:tbl>
    <w:p>
      <w:pPr>
        <w:adjustRightInd w:val="0"/>
        <w:snapToGrid w:val="0"/>
        <w:spacing w:line="360" w:lineRule="auto"/>
        <w:jc w:val="left"/>
        <w:rPr>
          <w:rFonts w:hint="eastAsia" w:ascii="黑体" w:hAnsi="Times New Roman" w:eastAsia="黑体" w:cs="黑体"/>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6" w:lineRule="exact"/>
        <w:jc w:val="left"/>
        <w:textAlignment w:val="auto"/>
        <w:rPr>
          <w:rFonts w:hint="eastAsia" w:ascii="黑体" w:hAnsi="Times New Roman" w:eastAsia="黑体" w:cs="黑体"/>
          <w:kern w:val="2"/>
          <w:sz w:val="32"/>
          <w:szCs w:val="32"/>
        </w:rPr>
      </w:pPr>
      <w:r>
        <w:rPr>
          <w:rFonts w:hint="eastAsia" w:ascii="黑体" w:hAnsi="Times New Roman" w:eastAsia="黑体" w:cs="黑体"/>
          <w:kern w:val="2"/>
          <w:sz w:val="32"/>
          <w:szCs w:val="32"/>
        </w:rPr>
        <w:t>附件3</w:t>
      </w:r>
    </w:p>
    <w:p>
      <w:pPr>
        <w:keepNext w:val="0"/>
        <w:keepLines w:val="0"/>
        <w:pageBreakBefore w:val="0"/>
        <w:widowControl w:val="0"/>
        <w:kinsoku/>
        <w:wordWrap/>
        <w:overflowPunct/>
        <w:topLinePunct w:val="0"/>
        <w:autoSpaceDE/>
        <w:autoSpaceDN/>
        <w:bidi w:val="0"/>
        <w:adjustRightInd w:val="0"/>
        <w:snapToGrid w:val="0"/>
        <w:spacing w:line="596" w:lineRule="exact"/>
        <w:jc w:val="left"/>
        <w:textAlignment w:val="auto"/>
        <w:rPr>
          <w:rFonts w:hint="eastAsia" w:ascii="黑体" w:hAnsi="Times New Roman" w:eastAsia="黑体" w:cs="黑体"/>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可行性研究报告编写提纲</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黑体" w:hAnsi="Times New Roman" w:eastAsia="黑体" w:cs="黑体"/>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黑体" w:hAnsi="Times New Roman" w:eastAsia="黑体" w:cs="Times New Roman"/>
          <w:kern w:val="2"/>
          <w:sz w:val="32"/>
          <w:szCs w:val="32"/>
        </w:rPr>
      </w:pPr>
      <w:r>
        <w:rPr>
          <w:rFonts w:hint="eastAsia" w:ascii="黑体" w:hAnsi="Times New Roman" w:eastAsia="黑体" w:cs="黑体"/>
          <w:kern w:val="2"/>
          <w:sz w:val="32"/>
          <w:szCs w:val="32"/>
        </w:rPr>
        <w:t>一、基本情况</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1.</w:t>
      </w:r>
      <w:r>
        <w:rPr>
          <w:rFonts w:hint="eastAsia" w:ascii="仿宋_GB2312" w:hAnsi="Times New Roman" w:eastAsia="仿宋_GB2312" w:cs="仿宋_GB2312"/>
          <w:kern w:val="2"/>
          <w:sz w:val="32"/>
          <w:szCs w:val="32"/>
        </w:rPr>
        <w:t>单位基本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2.</w:t>
      </w:r>
      <w:r>
        <w:rPr>
          <w:rFonts w:hint="eastAsia" w:ascii="仿宋_GB2312" w:hAnsi="Times New Roman" w:eastAsia="仿宋_GB2312" w:cs="仿宋_GB2312"/>
          <w:kern w:val="2"/>
          <w:sz w:val="32"/>
          <w:szCs w:val="32"/>
        </w:rPr>
        <w:t>专项资金申报负责人基本情况：姓名、性别、职务、职称、专业、联系电话、与专项资金相关的主要情况。</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3.</w:t>
      </w:r>
      <w:r>
        <w:rPr>
          <w:rFonts w:hint="eastAsia" w:ascii="仿宋_GB2312" w:hAnsi="Times New Roman" w:eastAsia="仿宋_GB2312" w:cs="仿宋_GB2312"/>
          <w:kern w:val="2"/>
          <w:sz w:val="32"/>
          <w:szCs w:val="32"/>
        </w:rPr>
        <w:t>专项资金基本情况：专项资金名称、性质、用款单位及范围、主要工作内容、预期总目标及阶段性目标情况；绩效目标；总投入情况（包括人、财、物等方面）。</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黑体" w:hAnsi="Times New Roman" w:eastAsia="黑体" w:cs="Times New Roman"/>
          <w:kern w:val="2"/>
          <w:sz w:val="32"/>
          <w:szCs w:val="32"/>
        </w:rPr>
      </w:pPr>
      <w:r>
        <w:rPr>
          <w:rFonts w:hint="eastAsia" w:ascii="黑体" w:hAnsi="Times New Roman" w:eastAsia="黑体" w:cs="黑体"/>
          <w:kern w:val="2"/>
          <w:sz w:val="32"/>
          <w:szCs w:val="32"/>
        </w:rPr>
        <w:t>二、必要性与可行性</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1.</w:t>
      </w:r>
      <w:r>
        <w:rPr>
          <w:rFonts w:hint="eastAsia" w:ascii="仿宋_GB2312" w:hAnsi="Times New Roman" w:eastAsia="仿宋_GB2312" w:cs="仿宋_GB2312"/>
          <w:kern w:val="2"/>
          <w:sz w:val="32"/>
          <w:szCs w:val="32"/>
        </w:rPr>
        <w:t>专项资金设立或变更背景情况：专项资金使用收益范围分析；需求分析；是否符合国家、省、市的政策，是否属于国家、省、市政策优先支持的领域和范围。</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2.</w:t>
      </w:r>
      <w:r>
        <w:rPr>
          <w:rFonts w:hint="eastAsia" w:ascii="仿宋_GB2312" w:hAnsi="Times New Roman" w:eastAsia="仿宋_GB2312" w:cs="仿宋_GB2312"/>
          <w:kern w:val="2"/>
          <w:sz w:val="32"/>
          <w:szCs w:val="32"/>
        </w:rPr>
        <w:t>专项资金设立或变更的必要性：专项资金设立或变更对促进事业发展或完成行政事业性工作任务的意义与作用。</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3.</w:t>
      </w:r>
      <w:r>
        <w:rPr>
          <w:rFonts w:hint="eastAsia" w:ascii="仿宋_GB2312" w:hAnsi="Times New Roman" w:eastAsia="仿宋_GB2312" w:cs="仿宋_GB2312"/>
          <w:kern w:val="2"/>
          <w:sz w:val="32"/>
          <w:szCs w:val="32"/>
        </w:rPr>
        <w:t>专项资金设立或变更的可行性：专项资金安排的主要工作思路与设想；专项资金预算的合理性及可靠性分析；专项资金绩效目标分析，包括绩效指标分析；与同类项目的对比分析；专项资金预期绩效目标的可持续性分析。</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4.</w:t>
      </w:r>
      <w:r>
        <w:rPr>
          <w:rFonts w:hint="eastAsia" w:ascii="仿宋_GB2312" w:hAnsi="Times New Roman" w:eastAsia="仿宋_GB2312" w:cs="仿宋_GB2312"/>
          <w:kern w:val="2"/>
          <w:sz w:val="32"/>
          <w:szCs w:val="32"/>
        </w:rPr>
        <w:t>专项资金实施风险与不确定性：实施存在的主要风险与不确定分析；对风险的应对措施分析。</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黑体" w:hAnsi="Times New Roman" w:eastAsia="黑体" w:cs="Times New Roman"/>
          <w:kern w:val="2"/>
          <w:sz w:val="32"/>
          <w:szCs w:val="32"/>
        </w:rPr>
      </w:pPr>
      <w:r>
        <w:rPr>
          <w:rFonts w:hint="eastAsia" w:ascii="黑体" w:hAnsi="Times New Roman" w:eastAsia="黑体" w:cs="黑体"/>
          <w:kern w:val="2"/>
          <w:sz w:val="32"/>
          <w:szCs w:val="32"/>
        </w:rPr>
        <w:t>三、实施条件</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1.</w:t>
      </w:r>
      <w:r>
        <w:rPr>
          <w:rFonts w:hint="eastAsia" w:ascii="仿宋_GB2312" w:hAnsi="Times New Roman" w:eastAsia="仿宋_GB2312" w:cs="仿宋_GB2312"/>
          <w:kern w:val="2"/>
          <w:sz w:val="32"/>
          <w:szCs w:val="32"/>
        </w:rPr>
        <w:t>人员条件：专项资金主管部门及负责人的组织管理能力；主要用款单位及参加人员的姓名、性别、职务、职称、专业、对使用范围的熟识情况。</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2.</w:t>
      </w:r>
      <w:r>
        <w:rPr>
          <w:rFonts w:hint="eastAsia" w:ascii="仿宋_GB2312" w:hAnsi="Times New Roman" w:eastAsia="仿宋_GB2312" w:cs="仿宋_GB2312"/>
          <w:kern w:val="2"/>
          <w:sz w:val="32"/>
          <w:szCs w:val="32"/>
        </w:rPr>
        <w:t>资金条件：专项资金投入总额及投入计划；对财政预算资金的需求额；其他渠道资金的来源及其落实情况。</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3.</w:t>
      </w:r>
      <w:r>
        <w:rPr>
          <w:rFonts w:hint="eastAsia" w:ascii="仿宋_GB2312" w:hAnsi="Times New Roman" w:eastAsia="仿宋_GB2312" w:cs="仿宋_GB2312"/>
          <w:kern w:val="2"/>
          <w:sz w:val="32"/>
          <w:szCs w:val="32"/>
        </w:rPr>
        <w:t>基础条件：专项资金主管部门、用款单位及合作单位完成目标已经具备的基础条件（重点说明用款单位及合作单位具备的设施条件，需要增加的关键设施）。</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仿宋_GB2312" w:hAnsi="Times New Roman" w:eastAsia="仿宋_GB2312" w:cs="Times New Roman"/>
          <w:kern w:val="2"/>
          <w:sz w:val="32"/>
          <w:szCs w:val="32"/>
        </w:rPr>
      </w:pPr>
      <w:r>
        <w:rPr>
          <w:rFonts w:hint="eastAsia" w:asciiTheme="minorEastAsia" w:hAnsiTheme="minorEastAsia" w:eastAsiaTheme="minorEastAsia" w:cstheme="minorEastAsia"/>
        </w:rPr>
        <w:t>4.</w:t>
      </w:r>
      <w:r>
        <w:rPr>
          <w:rFonts w:hint="eastAsia" w:ascii="仿宋_GB2312" w:hAnsi="Times New Roman" w:eastAsia="仿宋_GB2312" w:cs="仿宋_GB2312"/>
          <w:kern w:val="2"/>
          <w:sz w:val="32"/>
          <w:szCs w:val="32"/>
        </w:rPr>
        <w:t>其他相关条件。</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jc w:val="left"/>
        <w:textAlignment w:val="auto"/>
        <w:rPr>
          <w:rFonts w:ascii="黑体" w:hAnsi="Times New Roman" w:eastAsia="黑体" w:cs="Times New Roman"/>
          <w:kern w:val="2"/>
          <w:sz w:val="32"/>
          <w:szCs w:val="32"/>
        </w:rPr>
      </w:pPr>
      <w:r>
        <w:rPr>
          <w:rFonts w:hint="eastAsia" w:ascii="黑体" w:hAnsi="Times New Roman" w:eastAsia="黑体" w:cs="黑体"/>
          <w:kern w:val="2"/>
          <w:sz w:val="32"/>
          <w:szCs w:val="32"/>
        </w:rPr>
        <w:t>四、进度与计划安排</w:t>
      </w:r>
    </w:p>
    <w:p>
      <w:pPr>
        <w:keepNext w:val="0"/>
        <w:keepLines w:val="0"/>
        <w:pageBreakBefore w:val="0"/>
        <w:widowControl w:val="0"/>
        <w:kinsoku/>
        <w:wordWrap/>
        <w:overflowPunct/>
        <w:topLinePunct w:val="0"/>
        <w:autoSpaceDE/>
        <w:autoSpaceDN/>
        <w:bidi w:val="0"/>
        <w:adjustRightInd w:val="0"/>
        <w:snapToGrid w:val="0"/>
        <w:spacing w:line="596" w:lineRule="exact"/>
        <w:ind w:firstLine="634" w:firstLineChars="200"/>
        <w:textAlignment w:val="auto"/>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专项资金使用的阶段性目标情况，分阶段实施进度与计划安排情况。</w:t>
      </w:r>
    </w:p>
    <w:p>
      <w:pPr>
        <w:keepNext w:val="0"/>
        <w:keepLines w:val="0"/>
        <w:pageBreakBefore w:val="0"/>
        <w:widowControl w:val="0"/>
        <w:kinsoku/>
        <w:wordWrap/>
        <w:overflowPunct/>
        <w:topLinePunct w:val="0"/>
        <w:autoSpaceDE/>
        <w:autoSpaceDN/>
        <w:bidi w:val="0"/>
        <w:spacing w:line="596" w:lineRule="exact"/>
        <w:ind w:firstLine="634" w:firstLineChars="200"/>
        <w:textAlignment w:val="auto"/>
        <w:rPr>
          <w:rFonts w:hint="eastAsia" w:ascii="Times New Roman" w:hAnsi="Times New Roman" w:eastAsia="宋体" w:cs="Times New Roman"/>
          <w:kern w:val="2"/>
          <w:sz w:val="21"/>
          <w:szCs w:val="24"/>
        </w:rPr>
      </w:pPr>
      <w:r>
        <w:rPr>
          <w:rFonts w:hint="eastAsia" w:ascii="黑体" w:hAnsi="Times New Roman" w:eastAsia="黑体" w:cs="黑体"/>
          <w:kern w:val="2"/>
          <w:sz w:val="32"/>
          <w:szCs w:val="32"/>
        </w:rPr>
        <w:t>五、主要结论</w:t>
      </w:r>
    </w:p>
    <w:p>
      <w:pPr>
        <w:jc w:val="left"/>
        <w:rPr>
          <w:rFonts w:hint="eastAsia" w:ascii="黑体" w:hAnsi="黑体" w:eastAsia="黑体" w:cs="黑体"/>
          <w:kern w:val="2"/>
          <w:sz w:val="32"/>
          <w:szCs w:val="32"/>
        </w:rPr>
      </w:pPr>
    </w:p>
    <w:p>
      <w:pPr>
        <w:jc w:val="left"/>
        <w:rPr>
          <w:rFonts w:hint="eastAsia" w:ascii="黑体" w:hAnsi="黑体" w:eastAsia="黑体" w:cs="黑体"/>
          <w:kern w:val="2"/>
          <w:sz w:val="32"/>
          <w:szCs w:val="32"/>
        </w:rPr>
      </w:pPr>
    </w:p>
    <w:p>
      <w:pPr>
        <w:rPr>
          <w:rFonts w:hint="eastAsia" w:ascii="黑体" w:hAnsi="黑体" w:eastAsia="黑体" w:cs="黑体"/>
          <w:kern w:val="2"/>
          <w:sz w:val="32"/>
          <w:szCs w:val="32"/>
        </w:rPr>
        <w:sectPr>
          <w:footerReference r:id="rId3" w:type="default"/>
          <w:pgSz w:w="11905" w:h="16838"/>
          <w:pgMar w:top="1440" w:right="1797" w:bottom="1440" w:left="1797" w:header="851" w:footer="1531" w:gutter="0"/>
          <w:cols w:space="0" w:num="1"/>
          <w:rtlGutter w:val="0"/>
          <w:docGrid w:type="linesAndChars" w:linePitch="597" w:charSpace="-644"/>
        </w:sectPr>
      </w:pPr>
      <w:r>
        <w:rPr>
          <w:rFonts w:hint="eastAsia" w:ascii="黑体" w:hAnsi="黑体" w:eastAsia="黑体" w:cs="黑体"/>
          <w:kern w:val="2"/>
          <w:sz w:val="32"/>
          <w:szCs w:val="32"/>
        </w:rPr>
        <w:br w:type="page"/>
      </w:r>
    </w:p>
    <w:p>
      <w:pPr>
        <w:jc w:val="left"/>
        <w:rPr>
          <w:rFonts w:hint="eastAsia" w:ascii="仿宋_GB2312" w:hAnsi="Times New Roman" w:eastAsia="仿宋_GB2312" w:cs="Times New Roman"/>
          <w:kern w:val="2"/>
          <w:sz w:val="32"/>
          <w:szCs w:val="32"/>
        </w:rPr>
      </w:pPr>
      <w:r>
        <w:rPr>
          <w:rFonts w:hint="eastAsia" w:ascii="黑体" w:hAnsi="黑体" w:eastAsia="黑体" w:cs="黑体"/>
          <w:kern w:val="2"/>
          <w:sz w:val="32"/>
          <w:szCs w:val="32"/>
        </w:rPr>
        <w:t>附件4</w:t>
      </w:r>
    </w:p>
    <w:p>
      <w:pPr>
        <w:jc w:val="left"/>
        <w:rPr>
          <w:rFonts w:hint="eastAsia" w:ascii="仿宋_GB2312" w:hAnsi="Times New Roman" w:eastAsia="仿宋_GB2312" w:cs="Times New Roman"/>
          <w:kern w:val="2"/>
          <w:sz w:val="32"/>
          <w:szCs w:val="32"/>
        </w:rPr>
      </w:pPr>
    </w:p>
    <w:tbl>
      <w:tblPr>
        <w:tblStyle w:val="4"/>
        <w:tblW w:w="9959" w:type="dxa"/>
        <w:tblInd w:w="-93" w:type="dxa"/>
        <w:tblLayout w:type="fixed"/>
        <w:tblCellMar>
          <w:top w:w="0" w:type="dxa"/>
          <w:left w:w="15" w:type="dxa"/>
          <w:bottom w:w="0" w:type="dxa"/>
          <w:right w:w="15" w:type="dxa"/>
        </w:tblCellMar>
      </w:tblPr>
      <w:tblGrid>
        <w:gridCol w:w="493"/>
        <w:gridCol w:w="1022"/>
        <w:gridCol w:w="1634"/>
        <w:gridCol w:w="1050"/>
        <w:gridCol w:w="1245"/>
        <w:gridCol w:w="1830"/>
        <w:gridCol w:w="855"/>
        <w:gridCol w:w="975"/>
        <w:gridCol w:w="855"/>
      </w:tblGrid>
      <w:tr>
        <w:tblPrEx>
          <w:tblCellMar>
            <w:top w:w="0" w:type="dxa"/>
            <w:left w:w="15" w:type="dxa"/>
            <w:bottom w:w="0" w:type="dxa"/>
            <w:right w:w="15" w:type="dxa"/>
          </w:tblCellMar>
        </w:tblPrEx>
        <w:trPr>
          <w:trHeight w:val="510" w:hRule="atLeast"/>
        </w:trPr>
        <w:tc>
          <w:tcPr>
            <w:tcW w:w="9959" w:type="dxa"/>
            <w:gridSpan w:val="9"/>
            <w:noWrap w:val="0"/>
            <w:vAlign w:val="center"/>
          </w:tcPr>
          <w:p>
            <w:pPr>
              <w:autoSpaceDN w:val="0"/>
              <w:jc w:val="center"/>
              <w:textAlignment w:val="center"/>
              <w:rPr>
                <w:rFonts w:ascii="宋体" w:hAnsi="宋体" w:eastAsia="宋体" w:cs="Times New Roman"/>
                <w:b/>
                <w:color w:val="000000"/>
                <w:kern w:val="2"/>
                <w:sz w:val="40"/>
                <w:szCs w:val="24"/>
              </w:rPr>
            </w:pPr>
            <w:r>
              <w:rPr>
                <w:rFonts w:hint="eastAsia" w:ascii="方正小标宋简体" w:hAnsi="方正小标宋简体" w:eastAsia="方正小标宋简体" w:cs="方正小标宋简体"/>
                <w:b w:val="0"/>
                <w:bCs/>
                <w:color w:val="000000"/>
                <w:kern w:val="2"/>
                <w:sz w:val="44"/>
                <w:szCs w:val="44"/>
              </w:rPr>
              <w:t>专项资金任务清单参考模板</w:t>
            </w:r>
          </w:p>
        </w:tc>
      </w:tr>
      <w:tr>
        <w:tblPrEx>
          <w:tblCellMar>
            <w:top w:w="0" w:type="dxa"/>
            <w:left w:w="15" w:type="dxa"/>
            <w:bottom w:w="0" w:type="dxa"/>
            <w:right w:w="15" w:type="dxa"/>
          </w:tblCellMar>
        </w:tblPrEx>
        <w:trPr>
          <w:trHeight w:val="780" w:hRule="atLeast"/>
        </w:trPr>
        <w:tc>
          <w:tcPr>
            <w:tcW w:w="49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序号</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专项资金名称</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任务要求/目标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任务性质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实施方式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实施标准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工作量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完成时限</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center"/>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备注</w:t>
            </w:r>
          </w:p>
        </w:tc>
      </w:tr>
      <w:tr>
        <w:tblPrEx>
          <w:tblCellMar>
            <w:top w:w="0" w:type="dxa"/>
            <w:left w:w="15" w:type="dxa"/>
            <w:bottom w:w="0" w:type="dxa"/>
            <w:right w:w="15" w:type="dxa"/>
          </w:tblCellMar>
        </w:tblPrEx>
        <w:trPr>
          <w:trHeight w:val="1635" w:hRule="atLeast"/>
        </w:trPr>
        <w:tc>
          <w:tcPr>
            <w:tcW w:w="4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eastAsia="宋体" w:cs="Times New Roman"/>
                <w:color w:val="000000"/>
                <w:kern w:val="2"/>
                <w:sz w:val="24"/>
                <w:szCs w:val="24"/>
              </w:rPr>
            </w:pPr>
            <w:r>
              <w:rPr>
                <w:rFonts w:ascii="宋体" w:hAnsi="宋体" w:eastAsia="宋体" w:cs="Times New Roman"/>
                <w:color w:val="000000"/>
                <w:kern w:val="2"/>
                <w:sz w:val="24"/>
                <w:szCs w:val="24"/>
              </w:rPr>
              <w:t>1</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应与专项资金目录清单衔接一致</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反映可量化、可操作、可执行、可检验的任务和目标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选填“约束性任务”或“指导性任务”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反映完成任务和目标应采取的组织实施方式方法</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反映完成任务和目标应对照执行的相关标准，如每单位投入应完成的任务量，或者每单位任务量不得超过的投入额度等。</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反映需完成的任务和目标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反映完成任务和目标的时间要求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kern w:val="2"/>
                <w:sz w:val="20"/>
                <w:szCs w:val="24"/>
              </w:rPr>
            </w:pPr>
            <w:r>
              <w:rPr>
                <w:rFonts w:hint="eastAsia" w:ascii="仿宋_GB2312" w:hAnsi="仿宋_GB2312" w:eastAsia="仿宋_GB2312" w:cs="仿宋_GB2312"/>
                <w:color w:val="000000"/>
                <w:kern w:val="2"/>
                <w:sz w:val="20"/>
                <w:szCs w:val="24"/>
              </w:rPr>
              <w:t>反映其他要求</w:t>
            </w:r>
          </w:p>
        </w:tc>
      </w:tr>
      <w:tr>
        <w:tblPrEx>
          <w:tblCellMar>
            <w:top w:w="0" w:type="dxa"/>
            <w:left w:w="15" w:type="dxa"/>
            <w:bottom w:w="0" w:type="dxa"/>
            <w:right w:w="15" w:type="dxa"/>
          </w:tblCellMar>
        </w:tblPrEx>
        <w:trPr>
          <w:trHeight w:val="780" w:hRule="atLeast"/>
        </w:trPr>
        <w:tc>
          <w:tcPr>
            <w:tcW w:w="4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eastAsia="宋体" w:cs="Times New Roman"/>
                <w:color w:val="000000"/>
                <w:kern w:val="2"/>
                <w:sz w:val="24"/>
                <w:szCs w:val="24"/>
              </w:rPr>
            </w:pPr>
            <w:r>
              <w:rPr>
                <w:rFonts w:ascii="宋体" w:hAnsi="宋体" w:eastAsia="宋体" w:cs="Times New Roman"/>
                <w:color w:val="000000"/>
                <w:kern w:val="2"/>
                <w:sz w:val="24"/>
                <w:szCs w:val="24"/>
              </w:rPr>
              <w:t>2</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r>
      <w:tr>
        <w:tblPrEx>
          <w:tblCellMar>
            <w:top w:w="0" w:type="dxa"/>
            <w:left w:w="15" w:type="dxa"/>
            <w:bottom w:w="0" w:type="dxa"/>
            <w:right w:w="15" w:type="dxa"/>
          </w:tblCellMar>
        </w:tblPrEx>
        <w:trPr>
          <w:trHeight w:val="780" w:hRule="atLeast"/>
        </w:trPr>
        <w:tc>
          <w:tcPr>
            <w:tcW w:w="49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eastAsia="宋体" w:cs="Times New Roman"/>
                <w:color w:val="000000"/>
                <w:kern w:val="2"/>
                <w:sz w:val="24"/>
                <w:szCs w:val="24"/>
              </w:rPr>
            </w:pPr>
            <w:r>
              <w:rPr>
                <w:rFonts w:ascii="宋体" w:hAnsi="宋体" w:eastAsia="宋体" w:cs="Times New Roman"/>
                <w:color w:val="000000"/>
                <w:kern w:val="2"/>
                <w:sz w:val="24"/>
                <w:szCs w:val="24"/>
              </w:rPr>
              <w:t>3</w:t>
            </w:r>
          </w:p>
        </w:tc>
        <w:tc>
          <w:tcPr>
            <w:tcW w:w="1022"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634"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050"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245"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830"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975"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r>
      <w:tr>
        <w:tblPrEx>
          <w:tblCellMar>
            <w:top w:w="0" w:type="dxa"/>
            <w:left w:w="15" w:type="dxa"/>
            <w:bottom w:w="0" w:type="dxa"/>
            <w:right w:w="15" w:type="dxa"/>
          </w:tblCellMar>
        </w:tblPrEx>
        <w:trPr>
          <w:trHeight w:val="780" w:hRule="atLeast"/>
        </w:trPr>
        <w:tc>
          <w:tcPr>
            <w:tcW w:w="4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eastAsia="宋体" w:cs="Times New Roman"/>
                <w:color w:val="000000"/>
                <w:kern w:val="2"/>
                <w:sz w:val="24"/>
                <w:szCs w:val="24"/>
              </w:rPr>
            </w:pPr>
            <w:r>
              <w:rPr>
                <w:rFonts w:ascii="宋体" w:hAnsi="宋体" w:eastAsia="宋体" w:cs="Times New Roman"/>
                <w:color w:val="000000"/>
                <w:kern w:val="2"/>
                <w:sz w:val="24"/>
                <w:szCs w:val="24"/>
              </w:rPr>
              <w:t>4</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r>
      <w:tr>
        <w:tblPrEx>
          <w:tblCellMar>
            <w:top w:w="0" w:type="dxa"/>
            <w:left w:w="15" w:type="dxa"/>
            <w:bottom w:w="0" w:type="dxa"/>
            <w:right w:w="15" w:type="dxa"/>
          </w:tblCellMar>
        </w:tblPrEx>
        <w:trPr>
          <w:trHeight w:val="780" w:hRule="atLeast"/>
        </w:trPr>
        <w:tc>
          <w:tcPr>
            <w:tcW w:w="4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eastAsia="宋体" w:cs="Times New Roman"/>
                <w:color w:val="000000"/>
                <w:kern w:val="2"/>
                <w:sz w:val="24"/>
                <w:szCs w:val="24"/>
              </w:rPr>
            </w:pPr>
            <w:r>
              <w:rPr>
                <w:rFonts w:ascii="宋体" w:hAnsi="宋体" w:eastAsia="宋体" w:cs="Times New Roman"/>
                <w:color w:val="000000"/>
                <w:kern w:val="2"/>
                <w:sz w:val="24"/>
                <w:szCs w:val="24"/>
              </w:rPr>
              <w:t>5</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Times New Roman"/>
                <w:color w:val="000000"/>
                <w:kern w:val="2"/>
                <w:sz w:val="20"/>
                <w:szCs w:val="24"/>
              </w:rPr>
            </w:pPr>
          </w:p>
        </w:tc>
      </w:tr>
      <w:tr>
        <w:tblPrEx>
          <w:tblCellMar>
            <w:top w:w="0" w:type="dxa"/>
            <w:left w:w="15" w:type="dxa"/>
            <w:bottom w:w="0" w:type="dxa"/>
            <w:right w:w="15" w:type="dxa"/>
          </w:tblCellMar>
        </w:tblPrEx>
        <w:trPr>
          <w:trHeight w:val="1320" w:hRule="atLeast"/>
        </w:trPr>
        <w:tc>
          <w:tcPr>
            <w:tcW w:w="9959" w:type="dxa"/>
            <w:gridSpan w:val="9"/>
            <w:tcBorders>
              <w:top w:val="single" w:color="000000" w:sz="4" w:space="0"/>
              <w:left w:val="single" w:color="000000" w:sz="4" w:space="0"/>
              <w:bottom w:val="single" w:color="000000" w:sz="4" w:space="0"/>
              <w:right w:val="single" w:color="000000" w:sz="4" w:space="0"/>
            </w:tcBorders>
            <w:noWrap w:val="0"/>
            <w:vAlign w:val="top"/>
          </w:tcPr>
          <w:p>
            <w:pPr>
              <w:autoSpaceDN w:val="0"/>
              <w:spacing w:line="360" w:lineRule="exact"/>
              <w:jc w:val="left"/>
              <w:textAlignment w:val="top"/>
              <w:rPr>
                <w:rFonts w:ascii="宋体" w:hAnsi="宋体" w:eastAsia="宋体" w:cs="Times New Roman"/>
                <w:color w:val="000000"/>
                <w:kern w:val="2"/>
                <w:sz w:val="22"/>
                <w:szCs w:val="24"/>
              </w:rPr>
            </w:pPr>
            <w:r>
              <w:rPr>
                <w:rFonts w:ascii="宋体" w:hAnsi="宋体" w:eastAsia="宋体" w:cs="Times New Roman"/>
                <w:color w:val="000000"/>
                <w:kern w:val="2"/>
                <w:sz w:val="22"/>
                <w:szCs w:val="24"/>
              </w:rPr>
              <w:t>负面清单：</w:t>
            </w:r>
          </w:p>
          <w:p>
            <w:pPr>
              <w:autoSpaceDN w:val="0"/>
              <w:spacing w:line="360" w:lineRule="exact"/>
              <w:jc w:val="left"/>
              <w:textAlignment w:val="top"/>
              <w:rPr>
                <w:rFonts w:ascii="宋体" w:hAnsi="宋体" w:eastAsia="宋体" w:cs="Times New Roman"/>
                <w:color w:val="000000"/>
                <w:kern w:val="2"/>
                <w:sz w:val="22"/>
                <w:szCs w:val="24"/>
              </w:rPr>
            </w:pPr>
            <w:r>
              <w:rPr>
                <w:rFonts w:ascii="宋体" w:hAnsi="宋体" w:eastAsia="宋体" w:cs="Times New Roman"/>
                <w:color w:val="000000"/>
                <w:kern w:val="2"/>
                <w:sz w:val="22"/>
                <w:szCs w:val="24"/>
              </w:rPr>
              <w:t>反映资金不得投入的领域、范围、对象和用途等。</w:t>
            </w:r>
          </w:p>
        </w:tc>
      </w:tr>
      <w:tr>
        <w:tblPrEx>
          <w:tblCellMar>
            <w:top w:w="0" w:type="dxa"/>
            <w:left w:w="15" w:type="dxa"/>
            <w:bottom w:w="0" w:type="dxa"/>
            <w:right w:w="15" w:type="dxa"/>
          </w:tblCellMar>
        </w:tblPrEx>
        <w:trPr>
          <w:trHeight w:val="795" w:hRule="atLeast"/>
        </w:trPr>
        <w:tc>
          <w:tcPr>
            <w:tcW w:w="9959" w:type="dxa"/>
            <w:gridSpan w:val="9"/>
            <w:noWrap w:val="0"/>
            <w:vAlign w:val="center"/>
          </w:tcPr>
          <w:p>
            <w:pPr>
              <w:autoSpaceDN w:val="0"/>
              <w:spacing w:line="360" w:lineRule="exact"/>
              <w:jc w:val="left"/>
              <w:textAlignment w:val="center"/>
              <w:rPr>
                <w:rFonts w:ascii="宋体" w:hAnsi="宋体" w:eastAsia="宋体" w:cs="Times New Roman"/>
                <w:color w:val="000000"/>
                <w:kern w:val="2"/>
                <w:sz w:val="22"/>
                <w:szCs w:val="24"/>
              </w:rPr>
            </w:pPr>
            <w:r>
              <w:rPr>
                <w:rFonts w:ascii="宋体" w:hAnsi="宋体" w:eastAsia="宋体" w:cs="Times New Roman"/>
                <w:color w:val="000000"/>
                <w:kern w:val="2"/>
                <w:sz w:val="22"/>
                <w:szCs w:val="24"/>
              </w:rPr>
              <w:t>说明：本表仅供参考，各部门可根据不同行业、不同领域的实际情况，修改完善任务清单，各选项结合实际情况选填，也可增加个性化的内容。</w:t>
            </w:r>
          </w:p>
        </w:tc>
      </w:tr>
    </w:tbl>
    <w:p>
      <w:pPr>
        <w:overflowPunct w:val="0"/>
        <w:topLinePunct/>
        <w:ind w:right="1280" w:firstLine="634" w:firstLineChars="200"/>
        <w:jc w:val="center"/>
        <w:rPr>
          <w:rFonts w:hint="eastAsia"/>
        </w:rPr>
      </w:pPr>
    </w:p>
    <w:p>
      <w:pPr>
        <w:overflowPunct w:val="0"/>
        <w:topLinePunct/>
        <w:ind w:right="1280" w:firstLine="634" w:firstLineChars="200"/>
        <w:jc w:val="center"/>
        <w:rPr>
          <w:rFonts w:hint="eastAsia"/>
        </w:rPr>
      </w:pPr>
    </w:p>
    <w:p>
      <w:pPr>
        <w:rPr>
          <w:rFonts w:hint="eastAsia"/>
          <w:lang w:eastAsia="zh-CN"/>
        </w:rPr>
        <w:sectPr>
          <w:pgSz w:w="11905" w:h="16838"/>
          <w:pgMar w:top="1440" w:right="1797" w:bottom="1440" w:left="1174" w:header="851" w:footer="1531" w:gutter="0"/>
          <w:cols w:space="0" w:num="1"/>
          <w:rtlGutter w:val="0"/>
          <w:docGrid w:type="linesAndChars" w:linePitch="597" w:charSpace="-644"/>
        </w:sectPr>
      </w:pPr>
    </w:p>
    <w:p>
      <w:pPr>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overflowPunct w:val="0"/>
        <w:topLinePunct/>
        <w:ind w:right="1268" w:rightChars="400" w:firstLine="634" w:firstLineChars="200"/>
        <w:jc w:val="right"/>
        <w:rPr>
          <w:rFonts w:hint="eastAsia"/>
          <w:lang w:eastAsia="zh-CN"/>
        </w:rPr>
      </w:pPr>
    </w:p>
    <w:p>
      <w:pPr>
        <w:keepNext w:val="0"/>
        <w:keepLines w:val="0"/>
        <w:pageBreakBefore w:val="0"/>
        <w:widowControl w:val="0"/>
        <w:kinsoku/>
        <w:wordWrap/>
        <w:overflowPunct w:val="0"/>
        <w:topLinePunct/>
        <w:autoSpaceDE/>
        <w:autoSpaceDN/>
        <w:bidi w:val="0"/>
        <w:adjustRightInd/>
        <w:snapToGrid/>
        <w:spacing w:line="600" w:lineRule="exact"/>
        <w:ind w:right="0" w:rightChars="0"/>
        <w:jc w:val="both"/>
        <w:textAlignment w:val="auto"/>
        <w:rPr>
          <w:rFonts w:hint="eastAsia"/>
          <w:lang w:eastAsia="zh-CN"/>
        </w:rPr>
      </w:pPr>
    </w:p>
    <w:p>
      <w:pPr>
        <w:keepNext w:val="0"/>
        <w:keepLines w:val="0"/>
        <w:pageBreakBefore w:val="0"/>
        <w:widowControl w:val="0"/>
        <w:kinsoku/>
        <w:wordWrap/>
        <w:overflowPunct w:val="0"/>
        <w:topLinePunct/>
        <w:autoSpaceDE/>
        <w:autoSpaceDN/>
        <w:bidi w:val="0"/>
        <w:adjustRightInd/>
        <w:snapToGrid/>
        <w:spacing w:line="600" w:lineRule="exact"/>
        <w:ind w:left="0" w:right="0" w:rightChars="0"/>
        <w:jc w:val="both"/>
        <w:textAlignment w:val="auto"/>
        <w:rPr>
          <w:rFonts w:hint="default"/>
          <w:lang w:val="en-US" w:eastAsia="zh-CN"/>
        </w:rPr>
      </w:pPr>
      <w:r>
        <w:rPr>
          <w:rFonts w:hint="eastAsia" w:ascii="黑体" w:hAnsi="黑体" w:eastAsia="黑体" w:cs="黑体"/>
          <w:lang w:val="en-US" w:eastAsia="zh-CN"/>
        </w:rPr>
        <w:t>公开方式：</w:t>
      </w:r>
      <w:r>
        <w:rPr>
          <w:rFonts w:hint="eastAsia"/>
          <w:lang w:val="en-US" w:eastAsia="zh-CN"/>
        </w:rPr>
        <w:t>主动公开</w:t>
      </w:r>
    </w:p>
    <w:p>
      <w:pPr>
        <w:keepNext w:val="0"/>
        <w:keepLines w:val="0"/>
        <w:pageBreakBefore w:val="0"/>
        <w:widowControl w:val="0"/>
        <w:pBdr>
          <w:top w:val="none" w:color="auto" w:sz="0" w:space="0"/>
          <w:left w:val="none" w:color="auto" w:sz="0" w:space="4"/>
          <w:bottom w:val="single" w:color="auto" w:sz="8" w:space="0"/>
          <w:right w:val="none" w:color="auto" w:sz="0" w:space="4"/>
          <w:between w:val="none" w:color="auto" w:sz="0" w:space="0"/>
        </w:pBdr>
        <w:kinsoku/>
        <w:wordWrap/>
        <w:autoSpaceDE/>
        <w:autoSpaceDN/>
        <w:bidi w:val="0"/>
        <w:adjustRightInd/>
        <w:snapToGrid/>
        <w:spacing w:line="600" w:lineRule="exact"/>
        <w:ind w:left="0" w:right="0" w:rightChars="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138" w:leftChars="0" w:right="0" w:rightChars="0" w:hanging="1138" w:hangingChars="359"/>
        <w:textAlignment w:val="auto"/>
        <w:rPr>
          <w:rFonts w:hint="eastAsia"/>
          <w:sz w:val="28"/>
          <w:szCs w:val="28"/>
          <w:lang w:eastAsia="zh-CN"/>
        </w:rPr>
      </w:pPr>
      <w:r>
        <w:rPr>
          <w:rFonts w:hint="eastAsia" w:eastAsia="仿宋_GB2312"/>
          <w:sz w:val="32"/>
          <w:szCs w:val="32"/>
          <w:lang w:eastAsia="zh-CN"/>
        </w:rPr>
        <w:t>　</w:t>
      </w:r>
      <w:r>
        <w:rPr>
          <w:rFonts w:hint="eastAsia" w:eastAsia="仿宋_GB2312"/>
          <w:sz w:val="28"/>
          <w:szCs w:val="28"/>
          <w:lang w:eastAsia="zh-CN"/>
        </w:rPr>
        <w:t>抄送：县纪</w:t>
      </w:r>
      <w:r>
        <w:rPr>
          <w:rFonts w:hint="eastAsia" w:eastAsia="仿宋_GB2312"/>
          <w:spacing w:val="-6"/>
          <w:sz w:val="28"/>
          <w:szCs w:val="28"/>
          <w:lang w:eastAsia="zh-CN"/>
        </w:rPr>
        <w:t>委</w:t>
      </w:r>
      <w:r>
        <w:rPr>
          <w:rFonts w:hint="eastAsia"/>
          <w:spacing w:val="-6"/>
          <w:sz w:val="28"/>
          <w:szCs w:val="28"/>
          <w:lang w:val="en-US" w:eastAsia="zh-CN"/>
        </w:rPr>
        <w:t>监委</w:t>
      </w:r>
      <w:r>
        <w:rPr>
          <w:rFonts w:hint="eastAsia" w:eastAsia="仿宋_GB2312"/>
          <w:spacing w:val="-6"/>
          <w:sz w:val="28"/>
          <w:szCs w:val="28"/>
          <w:lang w:eastAsia="zh-CN"/>
        </w:rPr>
        <w:t>，县委办，</w:t>
      </w:r>
      <w:r>
        <w:rPr>
          <w:rFonts w:hint="eastAsia"/>
          <w:spacing w:val="-6"/>
          <w:sz w:val="28"/>
          <w:szCs w:val="28"/>
          <w:lang w:val="en-US" w:eastAsia="zh-CN"/>
        </w:rPr>
        <w:t>县</w:t>
      </w:r>
      <w:r>
        <w:rPr>
          <w:rFonts w:hint="eastAsia" w:eastAsia="仿宋_GB2312"/>
          <w:spacing w:val="-6"/>
          <w:sz w:val="28"/>
          <w:szCs w:val="28"/>
          <w:lang w:eastAsia="zh-CN"/>
        </w:rPr>
        <w:t>人大办，</w:t>
      </w:r>
      <w:r>
        <w:rPr>
          <w:rFonts w:hint="eastAsia"/>
          <w:spacing w:val="-6"/>
          <w:sz w:val="28"/>
          <w:szCs w:val="28"/>
          <w:lang w:val="en-US" w:eastAsia="zh-CN"/>
        </w:rPr>
        <w:t>县</w:t>
      </w:r>
      <w:r>
        <w:rPr>
          <w:rFonts w:hint="eastAsia" w:eastAsia="仿宋_GB2312"/>
          <w:spacing w:val="-6"/>
          <w:sz w:val="28"/>
          <w:szCs w:val="28"/>
          <w:lang w:eastAsia="zh-CN"/>
        </w:rPr>
        <w:t>政协办，县委工作部门，</w:t>
      </w:r>
      <w:r>
        <w:rPr>
          <w:rFonts w:hint="eastAsia"/>
          <w:sz w:val="28"/>
          <w:szCs w:val="28"/>
          <w:lang w:val="en-US" w:eastAsia="zh-CN"/>
        </w:rPr>
        <w:t>县人</w:t>
      </w:r>
      <w:r>
        <w:rPr>
          <w:rFonts w:hint="eastAsia"/>
          <w:spacing w:val="-6"/>
          <w:sz w:val="28"/>
          <w:szCs w:val="28"/>
          <w:lang w:val="en-US" w:eastAsia="zh-CN"/>
        </w:rPr>
        <w:t>武部，县</w:t>
      </w:r>
      <w:r>
        <w:rPr>
          <w:rFonts w:hint="eastAsia" w:eastAsia="仿宋_GB2312"/>
          <w:spacing w:val="-6"/>
          <w:sz w:val="28"/>
          <w:szCs w:val="28"/>
          <w:lang w:eastAsia="zh-CN"/>
        </w:rPr>
        <w:t>法院，</w:t>
      </w:r>
      <w:r>
        <w:rPr>
          <w:rFonts w:hint="eastAsia"/>
          <w:spacing w:val="-6"/>
          <w:sz w:val="28"/>
          <w:szCs w:val="28"/>
          <w:lang w:val="en-US" w:eastAsia="zh-CN"/>
        </w:rPr>
        <w:t>县</w:t>
      </w:r>
      <w:r>
        <w:rPr>
          <w:rFonts w:hint="eastAsia" w:eastAsia="仿宋_GB2312"/>
          <w:spacing w:val="-6"/>
          <w:sz w:val="28"/>
          <w:szCs w:val="28"/>
          <w:lang w:eastAsia="zh-CN"/>
        </w:rPr>
        <w:t>检察院，各人民团体，省</w:t>
      </w:r>
      <w:r>
        <w:rPr>
          <w:rFonts w:hint="eastAsia"/>
          <w:spacing w:val="-6"/>
          <w:sz w:val="28"/>
          <w:szCs w:val="28"/>
          <w:lang w:eastAsia="zh-CN"/>
        </w:rPr>
        <w:t>、</w:t>
      </w:r>
      <w:r>
        <w:rPr>
          <w:rFonts w:hint="eastAsia" w:eastAsia="仿宋_GB2312"/>
          <w:spacing w:val="-6"/>
          <w:sz w:val="28"/>
          <w:szCs w:val="28"/>
          <w:lang w:eastAsia="zh-CN"/>
        </w:rPr>
        <w:t>市驻县单位。</w:t>
      </w:r>
    </w:p>
    <w:p>
      <w:pPr>
        <w:keepNext w:val="0"/>
        <w:keepLines w:val="0"/>
        <w:pageBreakBefore w:val="0"/>
        <w:widowControl w:val="0"/>
        <w:pBdr>
          <w:top w:val="single" w:color="auto" w:sz="6" w:space="1"/>
          <w:left w:val="none" w:color="auto" w:sz="0" w:space="4"/>
          <w:bottom w:val="single" w:color="auto" w:sz="8" w:space="1"/>
          <w:right w:val="none" w:color="auto" w:sz="0" w:space="4"/>
          <w:between w:val="none" w:color="auto" w:sz="0" w:space="0"/>
        </w:pBdr>
        <w:tabs>
          <w:tab w:val="left" w:pos="808"/>
        </w:tabs>
        <w:kinsoku/>
        <w:wordWrap/>
        <w:overflowPunct w:val="0"/>
        <w:topLinePunct/>
        <w:autoSpaceDE/>
        <w:autoSpaceDN/>
        <w:bidi w:val="0"/>
        <w:adjustRightInd/>
        <w:snapToGrid/>
        <w:spacing w:line="600" w:lineRule="exact"/>
        <w:ind w:left="0" w:right="0" w:rightChars="0" w:firstLine="277" w:firstLineChars="100"/>
        <w:jc w:val="both"/>
        <w:textAlignment w:val="auto"/>
        <w:rPr>
          <w:rFonts w:hint="eastAsia"/>
          <w:lang w:eastAsia="zh-CN"/>
        </w:rPr>
      </w:pPr>
      <w:r>
        <w:rPr>
          <w:rFonts w:hint="eastAsia"/>
          <w:sz w:val="28"/>
          <w:szCs w:val="28"/>
        </w:rPr>
        <w:t>连平县</w:t>
      </w:r>
      <w:r>
        <w:rPr>
          <w:rFonts w:hint="eastAsia" w:eastAsia="仿宋_GB2312"/>
          <w:sz w:val="28"/>
          <w:szCs w:val="28"/>
          <w:lang w:eastAsia="zh-CN"/>
        </w:rPr>
        <w:t>人民政府</w:t>
      </w:r>
      <w:r>
        <w:rPr>
          <w:rFonts w:hint="eastAsia"/>
          <w:sz w:val="28"/>
          <w:szCs w:val="28"/>
        </w:rPr>
        <w:t xml:space="preserve">办公室      </w:t>
      </w:r>
      <w:r>
        <w:rPr>
          <w:rFonts w:hint="eastAsia" w:ascii="仿宋_GB2312" w:eastAsia="仿宋_GB2312"/>
          <w:sz w:val="28"/>
          <w:szCs w:val="28"/>
          <w:lang w:val="en-US" w:eastAsia="zh-CN"/>
        </w:rPr>
        <w:t xml:space="preserve"> </w:t>
      </w:r>
      <w:r>
        <w:rPr>
          <w:rFonts w:hint="eastAsia"/>
          <w:sz w:val="28"/>
          <w:szCs w:val="28"/>
        </w:rPr>
        <w:t xml:space="preserve">         </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sz w:val="28"/>
          <w:szCs w:val="28"/>
        </w:rPr>
        <w:t>年</w:t>
      </w:r>
      <w:r>
        <w:rPr>
          <w:rFonts w:hint="eastAsia" w:asciiTheme="minorEastAsia" w:hAnsiTheme="minorEastAsia" w:eastAsiaTheme="minorEastAsia" w:cstheme="minorEastAsia"/>
          <w:sz w:val="28"/>
          <w:szCs w:val="28"/>
          <w:lang w:val="en-US" w:eastAsia="zh-CN"/>
        </w:rPr>
        <w:t>6</w:t>
      </w:r>
      <w:r>
        <w:rPr>
          <w:rFonts w:hint="eastAsia"/>
          <w:sz w:val="28"/>
          <w:szCs w:val="28"/>
        </w:rPr>
        <w:t>月</w:t>
      </w:r>
      <w:r>
        <w:rPr>
          <w:rFonts w:hint="eastAsia" w:asciiTheme="minorEastAsia" w:hAnsiTheme="minorEastAsia" w:eastAsiaTheme="minorEastAsia" w:cstheme="minorEastAsia"/>
          <w:sz w:val="28"/>
          <w:szCs w:val="28"/>
          <w:lang w:val="en-US" w:eastAsia="zh-CN"/>
        </w:rPr>
        <w:t>15</w:t>
      </w:r>
      <w:r>
        <w:rPr>
          <w:rFonts w:hint="eastAsia"/>
          <w:sz w:val="28"/>
          <w:szCs w:val="28"/>
        </w:rPr>
        <w:t>日</w:t>
      </w:r>
      <w:r>
        <w:rPr>
          <w:rFonts w:hint="eastAsia" w:eastAsia="仿宋_GB2312"/>
          <w:sz w:val="28"/>
          <w:szCs w:val="28"/>
          <w:lang w:eastAsia="zh-CN"/>
        </w:rPr>
        <w:t>印发</w:t>
      </w:r>
    </w:p>
    <w:sectPr>
      <w:pgSz w:w="11905" w:h="16838"/>
      <w:pgMar w:top="1440" w:right="1797" w:bottom="1440" w:left="1797" w:header="851" w:footer="1531" w:gutter="0"/>
      <w:cols w:space="0" w:num="1"/>
      <w:rtlGutter w:val="0"/>
      <w:docGrid w:type="linesAndChars" w:linePitch="597" w:charSpace="-6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5443220" y="9625965"/>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0lY7tAAAAAFAQAADwAAAAAAAAABACAAAAAiAAAAZHJzL2Rvd25y&#10;ZXYueG1sUEsBAhQAFAAAAAgAh07iQGqhIOU/AgAAbwQAAA4AAAAAAAAAAQAgAAAAHwEAAGRycy9l&#10;Mm9Eb2MueG1sUEsFBgAAAAAGAAYAWQEAANAFAAAAAA==&#10;">
              <v:fill on="f" focussize="0,0"/>
              <v:stroke on="f" weight="0.5pt"/>
              <v:imagedata o:title=""/>
              <o:lock v:ext="edit" aspectratio="f"/>
              <v:textbox inset="0mm,0mm,0mm,0mm" style="mso-fit-shape-to-text:t;">
                <w:txbxContent>
                  <w:p>
                    <w:pPr>
                      <w:pStyle w:val="2"/>
                      <w:ind w:left="320" w:leftChars="100" w:right="320" w:rightChars="1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53E24"/>
    <w:multiLevelType w:val="singleLevel"/>
    <w:tmpl w:val="AB353E24"/>
    <w:lvl w:ilvl="0" w:tentative="0">
      <w:start w:val="9"/>
      <w:numFmt w:val="chineseCounting"/>
      <w:suff w:val="nothing"/>
      <w:lvlText w:val="第%1章　"/>
      <w:lvlJc w:val="left"/>
      <w:rPr>
        <w:rFonts w:hint="eastAsia"/>
      </w:rPr>
    </w:lvl>
  </w:abstractNum>
  <w:abstractNum w:abstractNumId="1">
    <w:nsid w:val="F700CF47"/>
    <w:multiLevelType w:val="singleLevel"/>
    <w:tmpl w:val="F700CF47"/>
    <w:lvl w:ilvl="0" w:tentative="0">
      <w:start w:val="4"/>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12"/>
    <w:rsid w:val="00057FA8"/>
    <w:rsid w:val="001416FD"/>
    <w:rsid w:val="00177471"/>
    <w:rsid w:val="0025362C"/>
    <w:rsid w:val="002837A8"/>
    <w:rsid w:val="002A47B3"/>
    <w:rsid w:val="002F1143"/>
    <w:rsid w:val="00390422"/>
    <w:rsid w:val="003A4EAC"/>
    <w:rsid w:val="003A7481"/>
    <w:rsid w:val="00421550"/>
    <w:rsid w:val="004A3D4F"/>
    <w:rsid w:val="004B2009"/>
    <w:rsid w:val="00564BC8"/>
    <w:rsid w:val="005E7D13"/>
    <w:rsid w:val="0063737E"/>
    <w:rsid w:val="006A3AFE"/>
    <w:rsid w:val="006F1DE6"/>
    <w:rsid w:val="007740FB"/>
    <w:rsid w:val="007827E0"/>
    <w:rsid w:val="007B12F2"/>
    <w:rsid w:val="00833169"/>
    <w:rsid w:val="008561AB"/>
    <w:rsid w:val="0088163B"/>
    <w:rsid w:val="008F2692"/>
    <w:rsid w:val="0092077A"/>
    <w:rsid w:val="009940F2"/>
    <w:rsid w:val="009D6FE4"/>
    <w:rsid w:val="00A0230B"/>
    <w:rsid w:val="00A46A23"/>
    <w:rsid w:val="00A64927"/>
    <w:rsid w:val="00A65BDC"/>
    <w:rsid w:val="00A965CF"/>
    <w:rsid w:val="00AB528A"/>
    <w:rsid w:val="00B6769F"/>
    <w:rsid w:val="00BA1F88"/>
    <w:rsid w:val="00C13548"/>
    <w:rsid w:val="00C521F0"/>
    <w:rsid w:val="00D24970"/>
    <w:rsid w:val="00D52BD3"/>
    <w:rsid w:val="00D61995"/>
    <w:rsid w:val="00E40809"/>
    <w:rsid w:val="00EA3F62"/>
    <w:rsid w:val="00EA42DF"/>
    <w:rsid w:val="00ED18D2"/>
    <w:rsid w:val="00F13FF3"/>
    <w:rsid w:val="00FC461B"/>
    <w:rsid w:val="011D6628"/>
    <w:rsid w:val="025313B7"/>
    <w:rsid w:val="02E31AAF"/>
    <w:rsid w:val="02E62F92"/>
    <w:rsid w:val="030C29C9"/>
    <w:rsid w:val="039E5293"/>
    <w:rsid w:val="03D94E60"/>
    <w:rsid w:val="04721B22"/>
    <w:rsid w:val="04E22FF2"/>
    <w:rsid w:val="04F7578C"/>
    <w:rsid w:val="05470C4E"/>
    <w:rsid w:val="05C26D99"/>
    <w:rsid w:val="060E22A5"/>
    <w:rsid w:val="0668535E"/>
    <w:rsid w:val="06A7629C"/>
    <w:rsid w:val="07390DA2"/>
    <w:rsid w:val="07B90158"/>
    <w:rsid w:val="07BC3D1F"/>
    <w:rsid w:val="07C26255"/>
    <w:rsid w:val="08213626"/>
    <w:rsid w:val="08227B64"/>
    <w:rsid w:val="08595207"/>
    <w:rsid w:val="087C5D9E"/>
    <w:rsid w:val="08E13F41"/>
    <w:rsid w:val="0AB53623"/>
    <w:rsid w:val="0AE94D30"/>
    <w:rsid w:val="0B3A48A6"/>
    <w:rsid w:val="0BA318C2"/>
    <w:rsid w:val="0BE733C6"/>
    <w:rsid w:val="0C17743A"/>
    <w:rsid w:val="0C87714F"/>
    <w:rsid w:val="0CEF740C"/>
    <w:rsid w:val="0D026D4E"/>
    <w:rsid w:val="0DCF6448"/>
    <w:rsid w:val="0E1C35C6"/>
    <w:rsid w:val="0E864C50"/>
    <w:rsid w:val="0F561370"/>
    <w:rsid w:val="0FA07A83"/>
    <w:rsid w:val="1035261A"/>
    <w:rsid w:val="10405FBC"/>
    <w:rsid w:val="10DE7AC9"/>
    <w:rsid w:val="1180700D"/>
    <w:rsid w:val="11BB2C08"/>
    <w:rsid w:val="11BF6F2E"/>
    <w:rsid w:val="11D64A47"/>
    <w:rsid w:val="11E60061"/>
    <w:rsid w:val="12006963"/>
    <w:rsid w:val="121134D3"/>
    <w:rsid w:val="12761EE6"/>
    <w:rsid w:val="129E061C"/>
    <w:rsid w:val="14230C38"/>
    <w:rsid w:val="14C8347B"/>
    <w:rsid w:val="14F55004"/>
    <w:rsid w:val="14FD08DF"/>
    <w:rsid w:val="154319E4"/>
    <w:rsid w:val="154537F8"/>
    <w:rsid w:val="159E0C96"/>
    <w:rsid w:val="15CA3755"/>
    <w:rsid w:val="15D76602"/>
    <w:rsid w:val="160814C7"/>
    <w:rsid w:val="168D6EA8"/>
    <w:rsid w:val="16AE531B"/>
    <w:rsid w:val="16C75F45"/>
    <w:rsid w:val="16FF6D8F"/>
    <w:rsid w:val="1719069C"/>
    <w:rsid w:val="177C0E66"/>
    <w:rsid w:val="17855ED1"/>
    <w:rsid w:val="178A7732"/>
    <w:rsid w:val="17E17548"/>
    <w:rsid w:val="188F7DC3"/>
    <w:rsid w:val="18B33D8A"/>
    <w:rsid w:val="18C922B2"/>
    <w:rsid w:val="18CF0A1C"/>
    <w:rsid w:val="19BD6E49"/>
    <w:rsid w:val="1A076FB4"/>
    <w:rsid w:val="1A364CAB"/>
    <w:rsid w:val="1A8247B4"/>
    <w:rsid w:val="1B1B66C0"/>
    <w:rsid w:val="1B687CF0"/>
    <w:rsid w:val="1B7300BF"/>
    <w:rsid w:val="1B9304E6"/>
    <w:rsid w:val="1BA64E9B"/>
    <w:rsid w:val="1C09210E"/>
    <w:rsid w:val="1C294256"/>
    <w:rsid w:val="1C331EF7"/>
    <w:rsid w:val="1C3B2407"/>
    <w:rsid w:val="1CA37641"/>
    <w:rsid w:val="1CAC56A9"/>
    <w:rsid w:val="1CC133F1"/>
    <w:rsid w:val="1D030A9B"/>
    <w:rsid w:val="1D1B4FFA"/>
    <w:rsid w:val="1D6E625A"/>
    <w:rsid w:val="1E483441"/>
    <w:rsid w:val="1E4B49DC"/>
    <w:rsid w:val="1E595292"/>
    <w:rsid w:val="1E5D5E98"/>
    <w:rsid w:val="1F2A2234"/>
    <w:rsid w:val="1F5A58F8"/>
    <w:rsid w:val="1FDF4765"/>
    <w:rsid w:val="21616DA2"/>
    <w:rsid w:val="219E23A4"/>
    <w:rsid w:val="22142199"/>
    <w:rsid w:val="229350BC"/>
    <w:rsid w:val="2310236D"/>
    <w:rsid w:val="237222C8"/>
    <w:rsid w:val="24443031"/>
    <w:rsid w:val="24802CB0"/>
    <w:rsid w:val="24D107C7"/>
    <w:rsid w:val="255A2FA7"/>
    <w:rsid w:val="25783B09"/>
    <w:rsid w:val="25812D27"/>
    <w:rsid w:val="25A86F6C"/>
    <w:rsid w:val="2698181B"/>
    <w:rsid w:val="26A663A1"/>
    <w:rsid w:val="26BB2C1F"/>
    <w:rsid w:val="26F30162"/>
    <w:rsid w:val="27174E80"/>
    <w:rsid w:val="27B05AE0"/>
    <w:rsid w:val="27E93CE7"/>
    <w:rsid w:val="28185B67"/>
    <w:rsid w:val="28D475A7"/>
    <w:rsid w:val="28E41F89"/>
    <w:rsid w:val="28EA56F4"/>
    <w:rsid w:val="28F93EA8"/>
    <w:rsid w:val="29A471E2"/>
    <w:rsid w:val="29F50676"/>
    <w:rsid w:val="2A275681"/>
    <w:rsid w:val="2A2F0FF4"/>
    <w:rsid w:val="2A3627F7"/>
    <w:rsid w:val="2ABA3239"/>
    <w:rsid w:val="2B2D727A"/>
    <w:rsid w:val="2B6C1B38"/>
    <w:rsid w:val="2C596FA7"/>
    <w:rsid w:val="2CA223E3"/>
    <w:rsid w:val="2CF30DE2"/>
    <w:rsid w:val="2D0B5D8E"/>
    <w:rsid w:val="2D1777EA"/>
    <w:rsid w:val="2D251473"/>
    <w:rsid w:val="2D8376E0"/>
    <w:rsid w:val="2E4A39C8"/>
    <w:rsid w:val="2E6706BD"/>
    <w:rsid w:val="2E813509"/>
    <w:rsid w:val="2F544613"/>
    <w:rsid w:val="303311AF"/>
    <w:rsid w:val="30566E88"/>
    <w:rsid w:val="305B0E9A"/>
    <w:rsid w:val="30A73BBB"/>
    <w:rsid w:val="30AB1E30"/>
    <w:rsid w:val="31251C07"/>
    <w:rsid w:val="312E5389"/>
    <w:rsid w:val="317E7738"/>
    <w:rsid w:val="31B67EF2"/>
    <w:rsid w:val="320B53B4"/>
    <w:rsid w:val="327E19B5"/>
    <w:rsid w:val="32A02CD8"/>
    <w:rsid w:val="32D42001"/>
    <w:rsid w:val="33603089"/>
    <w:rsid w:val="33A36FB3"/>
    <w:rsid w:val="33F4613B"/>
    <w:rsid w:val="340F35FD"/>
    <w:rsid w:val="341D557B"/>
    <w:rsid w:val="344E37A0"/>
    <w:rsid w:val="34AE7187"/>
    <w:rsid w:val="357F0475"/>
    <w:rsid w:val="36813305"/>
    <w:rsid w:val="374E4FEB"/>
    <w:rsid w:val="37656983"/>
    <w:rsid w:val="37D745B7"/>
    <w:rsid w:val="381527CE"/>
    <w:rsid w:val="390923E8"/>
    <w:rsid w:val="390E67F1"/>
    <w:rsid w:val="39725CBE"/>
    <w:rsid w:val="3A5373BD"/>
    <w:rsid w:val="3AA71098"/>
    <w:rsid w:val="3AAD1181"/>
    <w:rsid w:val="3B7D7D84"/>
    <w:rsid w:val="3C311392"/>
    <w:rsid w:val="3CE73900"/>
    <w:rsid w:val="3D4D005C"/>
    <w:rsid w:val="3D8510FB"/>
    <w:rsid w:val="3E296FCC"/>
    <w:rsid w:val="3F253021"/>
    <w:rsid w:val="3F2A0010"/>
    <w:rsid w:val="407A597D"/>
    <w:rsid w:val="414A2E06"/>
    <w:rsid w:val="415B47E6"/>
    <w:rsid w:val="421710DD"/>
    <w:rsid w:val="422E77D5"/>
    <w:rsid w:val="424A4063"/>
    <w:rsid w:val="42891864"/>
    <w:rsid w:val="42B21B6E"/>
    <w:rsid w:val="4373236E"/>
    <w:rsid w:val="44057614"/>
    <w:rsid w:val="448A23F1"/>
    <w:rsid w:val="4521593F"/>
    <w:rsid w:val="45711E5B"/>
    <w:rsid w:val="457D56E9"/>
    <w:rsid w:val="46442C19"/>
    <w:rsid w:val="46462243"/>
    <w:rsid w:val="4655409E"/>
    <w:rsid w:val="46C87E41"/>
    <w:rsid w:val="46D76766"/>
    <w:rsid w:val="471C0E34"/>
    <w:rsid w:val="476272EB"/>
    <w:rsid w:val="47906205"/>
    <w:rsid w:val="47BC36C1"/>
    <w:rsid w:val="47C314AA"/>
    <w:rsid w:val="48072C06"/>
    <w:rsid w:val="49035EE2"/>
    <w:rsid w:val="494472AD"/>
    <w:rsid w:val="494A6E09"/>
    <w:rsid w:val="49561BDE"/>
    <w:rsid w:val="49C36E82"/>
    <w:rsid w:val="49F6450B"/>
    <w:rsid w:val="4A022F2D"/>
    <w:rsid w:val="4A041926"/>
    <w:rsid w:val="4A7F4D68"/>
    <w:rsid w:val="4BA67D1B"/>
    <w:rsid w:val="4C1972AE"/>
    <w:rsid w:val="4C881BED"/>
    <w:rsid w:val="4DDB37CF"/>
    <w:rsid w:val="4E2B3C10"/>
    <w:rsid w:val="4E41756E"/>
    <w:rsid w:val="4E8816DC"/>
    <w:rsid w:val="4F103B2F"/>
    <w:rsid w:val="4FB01D79"/>
    <w:rsid w:val="51804FA6"/>
    <w:rsid w:val="518C323B"/>
    <w:rsid w:val="51CD08D5"/>
    <w:rsid w:val="52303EB1"/>
    <w:rsid w:val="52D424B4"/>
    <w:rsid w:val="532D5AD7"/>
    <w:rsid w:val="53A437F2"/>
    <w:rsid w:val="53C165CB"/>
    <w:rsid w:val="53C37BA7"/>
    <w:rsid w:val="54497E57"/>
    <w:rsid w:val="546C33AB"/>
    <w:rsid w:val="5477094C"/>
    <w:rsid w:val="54872CCC"/>
    <w:rsid w:val="549B1AE4"/>
    <w:rsid w:val="55042229"/>
    <w:rsid w:val="562D4CE9"/>
    <w:rsid w:val="564E636B"/>
    <w:rsid w:val="567121F2"/>
    <w:rsid w:val="56CB56B5"/>
    <w:rsid w:val="57886E55"/>
    <w:rsid w:val="57EC1824"/>
    <w:rsid w:val="58810A50"/>
    <w:rsid w:val="591D5782"/>
    <w:rsid w:val="59617939"/>
    <w:rsid w:val="59700E3D"/>
    <w:rsid w:val="5A106B8E"/>
    <w:rsid w:val="5A1310BE"/>
    <w:rsid w:val="5A8226CD"/>
    <w:rsid w:val="5A8B41D4"/>
    <w:rsid w:val="5ACB5B4D"/>
    <w:rsid w:val="5B233ACD"/>
    <w:rsid w:val="5BBF3CEF"/>
    <w:rsid w:val="5BDA635A"/>
    <w:rsid w:val="5BE20B42"/>
    <w:rsid w:val="5C591F30"/>
    <w:rsid w:val="5C7F1F03"/>
    <w:rsid w:val="5CE06336"/>
    <w:rsid w:val="5D4D2253"/>
    <w:rsid w:val="5F580FF8"/>
    <w:rsid w:val="60C424E1"/>
    <w:rsid w:val="6125738A"/>
    <w:rsid w:val="61E375C8"/>
    <w:rsid w:val="62133CFA"/>
    <w:rsid w:val="627C31B5"/>
    <w:rsid w:val="62F96C04"/>
    <w:rsid w:val="6329624E"/>
    <w:rsid w:val="6358188F"/>
    <w:rsid w:val="637A69BD"/>
    <w:rsid w:val="637F020D"/>
    <w:rsid w:val="640678DF"/>
    <w:rsid w:val="64900F9B"/>
    <w:rsid w:val="64A01E63"/>
    <w:rsid w:val="656F1E59"/>
    <w:rsid w:val="65C12BA8"/>
    <w:rsid w:val="66373265"/>
    <w:rsid w:val="67501757"/>
    <w:rsid w:val="69C971F9"/>
    <w:rsid w:val="69F85FBB"/>
    <w:rsid w:val="6A35509A"/>
    <w:rsid w:val="6A86666D"/>
    <w:rsid w:val="6A915296"/>
    <w:rsid w:val="6BDB57C8"/>
    <w:rsid w:val="6C4870D8"/>
    <w:rsid w:val="6C9D6D61"/>
    <w:rsid w:val="6D0269E7"/>
    <w:rsid w:val="6D255D06"/>
    <w:rsid w:val="6DBB1830"/>
    <w:rsid w:val="6F1766A5"/>
    <w:rsid w:val="6F665A94"/>
    <w:rsid w:val="6FB53A29"/>
    <w:rsid w:val="70085AA5"/>
    <w:rsid w:val="70312D88"/>
    <w:rsid w:val="71150778"/>
    <w:rsid w:val="7145180D"/>
    <w:rsid w:val="71941595"/>
    <w:rsid w:val="72863CC3"/>
    <w:rsid w:val="73380132"/>
    <w:rsid w:val="73900A5E"/>
    <w:rsid w:val="74C32786"/>
    <w:rsid w:val="74DA60DB"/>
    <w:rsid w:val="75004140"/>
    <w:rsid w:val="761519CE"/>
    <w:rsid w:val="762F24EB"/>
    <w:rsid w:val="769E7301"/>
    <w:rsid w:val="76C24308"/>
    <w:rsid w:val="76F61E10"/>
    <w:rsid w:val="77014D7C"/>
    <w:rsid w:val="77015EDF"/>
    <w:rsid w:val="774B62FE"/>
    <w:rsid w:val="77566030"/>
    <w:rsid w:val="77DA650A"/>
    <w:rsid w:val="77DD0754"/>
    <w:rsid w:val="77E526FB"/>
    <w:rsid w:val="77FA5AD3"/>
    <w:rsid w:val="788A3423"/>
    <w:rsid w:val="790C41E8"/>
    <w:rsid w:val="79E4565C"/>
    <w:rsid w:val="7B0E3703"/>
    <w:rsid w:val="7BD9305F"/>
    <w:rsid w:val="7C753237"/>
    <w:rsid w:val="7C824B22"/>
    <w:rsid w:val="7CB25E91"/>
    <w:rsid w:val="7CB3707C"/>
    <w:rsid w:val="7CEC315C"/>
    <w:rsid w:val="7D3D1721"/>
    <w:rsid w:val="7E044E72"/>
    <w:rsid w:val="7EA90353"/>
    <w:rsid w:val="7EB76978"/>
    <w:rsid w:val="7F662326"/>
    <w:rsid w:val="7F951767"/>
    <w:rsid w:val="7FFE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3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Body text|1"/>
    <w:basedOn w:val="1"/>
    <w:qFormat/>
    <w:uiPriority w:val="0"/>
    <w:pPr>
      <w:spacing w:line="406"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02894-C973-4488-8907-D3E35F4B713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585</Characters>
  <Lines>4</Lines>
  <Paragraphs>1</Paragraphs>
  <TotalTime>26</TotalTime>
  <ScaleCrop>false</ScaleCrop>
  <LinksUpToDate>false</LinksUpToDate>
  <CharactersWithSpaces>686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2021-03-02T06:49:00Z</dcterms:created>
  <dc:creator>lenovo</dc:creator>
  <cp:lastModifiedBy>LONG</cp:lastModifiedBy>
  <cp:lastPrinted>2022-06-18T03:10:00Z</cp:lastPrinted>
  <dcterms:modified xsi:type="dcterms:W3CDTF">2022-06-22T02:00:32Z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8D6ED2FA47B249B0AABBC2984AD15FF1</vt:lpwstr>
  </property>
</Properties>
</file>