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深圳南山（连平）产业园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入园企业（项目）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扶持奖励办法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（征求意见稿）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为贯彻落实中共广东省委办公室、广东省人民政府办公厅《关于深化珠三角地区与粤东西北地区全面对口帮扶工作的意见》（粤</w:t>
      </w:r>
      <w:r>
        <w:rPr>
          <w:rFonts w:hint="eastAsia" w:cs="仿宋_GB2312"/>
          <w:color w:val="auto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办〔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2016〕81号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）精神，将产业梯度转移和产业共建作为对口帮扶工作的重中之重，突出产业共建，扎实推进</w:t>
      </w:r>
      <w:r>
        <w:rPr>
          <w:rFonts w:hint="eastAsia" w:ascii="仿宋_GB2312" w:hAnsi="仿宋_GB2312" w:eastAsia="仿宋_GB2312" w:cs="仿宋_GB2312"/>
          <w:color w:val="auto"/>
        </w:rPr>
        <w:t>深圳南山（连平）产业园</w:t>
      </w:r>
      <w:r>
        <w:rPr>
          <w:rFonts w:hint="eastAsia" w:cs="仿宋_GB2312"/>
          <w:color w:val="auto"/>
          <w:lang w:eastAsia="zh-CN"/>
        </w:rPr>
        <w:t>二期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的招商引资和项目建设工作，</w:t>
      </w:r>
      <w:r>
        <w:rPr>
          <w:rFonts w:hint="eastAsia" w:ascii="仿宋_GB2312" w:hAnsi="仿宋_GB2312" w:eastAsia="仿宋_GB2312" w:cs="仿宋_GB2312"/>
          <w:color w:val="auto"/>
        </w:rPr>
        <w:t>最大限度地释放园区红利、激发活力，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促进连平产业大发展，全</w:t>
      </w:r>
      <w:r>
        <w:rPr>
          <w:rFonts w:hint="eastAsia" w:cs="仿宋_GB2312"/>
          <w:color w:val="auto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融入粤港澳大湾区</w:t>
      </w:r>
      <w:r>
        <w:rPr>
          <w:rFonts w:hint="eastAsia" w:cs="仿宋_GB2312"/>
          <w:color w:val="auto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，确保与全国同步全面建成小康社会。根据国家、省、市的有关文件精神，并结</w:t>
      </w:r>
      <w:r>
        <w:rPr>
          <w:rFonts w:hint="eastAsia" w:ascii="仿宋_GB2312" w:hAnsi="仿宋_GB2312" w:eastAsia="仿宋_GB2312" w:cs="仿宋_GB2312"/>
          <w:color w:val="auto"/>
        </w:rPr>
        <w:t>合深圳南山（连平）产业园</w:t>
      </w:r>
      <w:r>
        <w:rPr>
          <w:rFonts w:hint="eastAsia" w:cs="仿宋_GB2312"/>
          <w:color w:val="auto"/>
          <w:lang w:eastAsia="zh-CN"/>
        </w:rPr>
        <w:t>二期</w:t>
      </w:r>
      <w:r>
        <w:rPr>
          <w:rFonts w:hint="eastAsia" w:ascii="仿宋_GB2312" w:hAnsi="仿宋_GB2312" w:eastAsia="仿宋_GB2312" w:cs="仿宋_GB2312"/>
          <w:color w:val="auto"/>
        </w:rPr>
        <w:t>实际发展情况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一、奖励扶持资金来源及扶持对象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本办法</w:t>
      </w:r>
      <w:r>
        <w:rPr>
          <w:rFonts w:hint="eastAsia" w:cs="仿宋_GB2312"/>
          <w:b w:val="0"/>
          <w:bCs w:val="0"/>
          <w:color w:val="auto"/>
          <w:lang w:eastAsia="zh-CN"/>
        </w:rPr>
        <w:t>扶持企业资金来源为连平县财政资金，扶持对象为</w:t>
      </w:r>
      <w:r>
        <w:rPr>
          <w:rFonts w:hint="eastAsia" w:cs="仿宋_GB2312"/>
          <w:color w:val="auto"/>
          <w:lang w:eastAsia="zh-CN"/>
        </w:rPr>
        <w:t>入驻</w:t>
      </w:r>
      <w:r>
        <w:rPr>
          <w:rFonts w:hint="eastAsia" w:ascii="仿宋_GB2312" w:hAnsi="仿宋_GB2312" w:eastAsia="仿宋_GB2312" w:cs="仿宋_GB2312"/>
          <w:color w:val="auto"/>
        </w:rPr>
        <w:t>深圳南山（连平）产业园</w:t>
      </w:r>
      <w:r>
        <w:rPr>
          <w:rFonts w:hint="eastAsia" w:cs="仿宋_GB2312"/>
          <w:color w:val="auto"/>
          <w:lang w:eastAsia="zh-CN"/>
        </w:rPr>
        <w:t>二期的工业</w:t>
      </w:r>
      <w:r>
        <w:rPr>
          <w:rFonts w:hint="eastAsia" w:ascii="仿宋_GB2312" w:hAnsi="仿宋_GB2312" w:eastAsia="仿宋_GB2312" w:cs="仿宋_GB2312"/>
          <w:color w:val="auto"/>
        </w:rPr>
        <w:t>企业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（项目）。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二、奖励扶持实施主体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连平县工业园管委会负责奖励扶持企业资格初审，组织符合条件的企业申报奖励扶持，并会同县工商信局、县财政局</w:t>
      </w:r>
      <w:r>
        <w:rPr>
          <w:rFonts w:hint="eastAsia" w:cs="仿宋_GB2312"/>
          <w:b w:val="0"/>
          <w:bCs w:val="0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深圳南山对口帮扶连平指挥部</w:t>
      </w:r>
      <w:r>
        <w:rPr>
          <w:rFonts w:hint="eastAsia" w:cs="仿宋_GB2312"/>
          <w:b w:val="0"/>
          <w:bCs w:val="0"/>
          <w:color w:val="auto"/>
          <w:lang w:eastAsia="zh-CN"/>
        </w:rPr>
        <w:t>和深汇通公司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对奖励扶持资金额度进行审核，报县政府批准后实施奖励扶持。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入园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企业（项目）</w:t>
      </w:r>
      <w:r>
        <w:rPr>
          <w:rFonts w:hint="eastAsia" w:ascii="仿宋_GB2312" w:hAnsi="仿宋_GB2312" w:eastAsia="仿宋_GB2312" w:cs="仿宋_GB2312"/>
          <w:color w:val="auto"/>
        </w:rPr>
        <w:t>需同时满足以下条件方可获得相应扶持：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</w:rPr>
        <w:t>项目为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连平县</w:t>
      </w:r>
      <w:r>
        <w:rPr>
          <w:rFonts w:hint="eastAsia" w:ascii="仿宋_GB2312" w:hAnsi="仿宋_GB2312" w:eastAsia="仿宋_GB2312" w:cs="仿宋_GB2312"/>
          <w:color w:val="auto"/>
        </w:rPr>
        <w:t>鼓励引进发展的工业项目，且在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连平县</w:t>
      </w:r>
      <w:r>
        <w:rPr>
          <w:rFonts w:hint="eastAsia" w:ascii="仿宋_GB2312" w:hAnsi="仿宋_GB2312" w:eastAsia="仿宋_GB2312" w:cs="仿宋_GB2312"/>
          <w:color w:val="auto"/>
        </w:rPr>
        <w:t>注册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</w:rPr>
        <w:t>依法纳税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</w:rPr>
        <w:t>项目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</w:rPr>
        <w:t>容积率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</w:rPr>
        <w:t>不低于1.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2，特殊行业项目，根据国家相关规定符合下调条件的，需经县人民政府批准；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（三）项目建筑风格外观与</w:t>
      </w:r>
      <w:r>
        <w:rPr>
          <w:rFonts w:hint="eastAsia" w:ascii="仿宋_GB2312" w:hAnsi="仿宋_GB2312" w:eastAsia="仿宋_GB2312" w:cs="仿宋_GB2312"/>
          <w:color w:val="auto"/>
        </w:rPr>
        <w:t>深圳南山（连平）产业园</w:t>
      </w:r>
      <w:r>
        <w:rPr>
          <w:rFonts w:hint="eastAsia" w:cs="仿宋_GB2312"/>
          <w:color w:val="auto"/>
          <w:lang w:eastAsia="zh-CN"/>
        </w:rPr>
        <w:t>整体风格外观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趋同；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（四）项目使用工业用地时，投资强度</w:t>
      </w:r>
      <w:r>
        <w:rPr>
          <w:rFonts w:hint="eastAsia" w:cs="仿宋_GB2312"/>
          <w:color w:val="auto"/>
          <w:lang w:eastAsia="zh-CN"/>
        </w:rPr>
        <w:t>达到</w:t>
      </w:r>
      <w:r>
        <w:rPr>
          <w:rFonts w:hint="eastAsia" w:ascii="仿宋_GB2312" w:hAnsi="仿宋_GB2312" w:eastAsia="仿宋_GB2312" w:cs="仿宋_GB2312"/>
          <w:lang w:eastAsia="zh-CN"/>
        </w:rPr>
        <w:t>每亩工业用地投资额达</w:t>
      </w:r>
      <w:r>
        <w:rPr>
          <w:rFonts w:hint="eastAsia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00万元人民币以上；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项目建设需一次性完成；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（六）项目需完全履行</w:t>
      </w:r>
      <w:r>
        <w:rPr>
          <w:rFonts w:hint="eastAsia" w:ascii="仿宋_GB2312" w:hAnsi="仿宋_GB2312" w:eastAsia="仿宋_GB2312" w:cs="仿宋_GB2312"/>
          <w:color w:val="auto"/>
        </w:rPr>
        <w:t>深圳南山（连平）产业园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与有关各方签订的投资协议中其他义务。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四、项目具体奖励方式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（一）用地优惠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工业用地出让价按144元/平方米优惠（实际出让价按评估价执行）。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（二）建厂补贴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1.工业生产项目建设生产厂房、员工宿舍和办公楼，按投资合同约定如期开工、投产的，每平方米建筑面积奖补120元。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项目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主体工程达到正负零</w:t>
      </w:r>
      <w:r>
        <w:rPr>
          <w:rFonts w:hint="eastAsia" w:cs="仿宋_GB2312"/>
          <w:color w:val="auto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cs="仿宋_GB2312"/>
          <w:color w:val="auto"/>
          <w:lang w:eastAsia="zh-CN"/>
        </w:rPr>
        <w:t>给予奖补资金的</w:t>
      </w:r>
      <w:r>
        <w:rPr>
          <w:rFonts w:hint="eastAsia" w:cs="仿宋_GB2312"/>
          <w:color w:val="auto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；项目主体工程封顶时，给予奖补资金的20%；</w:t>
      </w:r>
      <w:r>
        <w:rPr>
          <w:rFonts w:hint="eastAsia" w:ascii="仿宋_GB2312" w:hAnsi="仿宋_GB2312" w:eastAsia="仿宋_GB2312" w:cs="仿宋_GB2312"/>
          <w:color w:val="auto"/>
        </w:rPr>
        <w:t>项目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投产</w:t>
      </w:r>
      <w:r>
        <w:rPr>
          <w:rFonts w:hint="eastAsia" w:cs="仿宋_GB2312"/>
          <w:color w:val="auto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cs="仿宋_GB2312"/>
          <w:color w:val="auto"/>
          <w:lang w:eastAsia="zh-CN"/>
        </w:rPr>
        <w:t>给予奖补资金的</w:t>
      </w:r>
      <w:r>
        <w:rPr>
          <w:rFonts w:hint="eastAsia" w:cs="仿宋_GB2312"/>
          <w:color w:val="auto"/>
          <w:lang w:val="en-US" w:eastAsia="zh-CN"/>
        </w:rPr>
        <w:t>30%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</w:rPr>
        <w:t>项目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达产一年</w:t>
      </w:r>
      <w:r>
        <w:rPr>
          <w:rFonts w:hint="eastAsia" w:cs="仿宋_GB2312"/>
          <w:color w:val="auto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cs="仿宋_GB2312"/>
          <w:color w:val="auto"/>
          <w:lang w:eastAsia="zh-CN"/>
        </w:rPr>
        <w:t>税收产出程度达到约定标准，给予奖补资金的</w:t>
      </w:r>
      <w:r>
        <w:rPr>
          <w:rFonts w:hint="eastAsia" w:cs="仿宋_GB2312"/>
          <w:color w:val="auto"/>
          <w:lang w:val="en-US" w:eastAsia="zh-CN"/>
        </w:rPr>
        <w:t>20%。</w:t>
      </w:r>
      <w:r>
        <w:rPr>
          <w:rFonts w:hint="eastAsia" w:cs="仿宋_GB2312"/>
          <w:color w:val="auto"/>
          <w:lang w:eastAsia="zh-CN"/>
        </w:rPr>
        <w:t>奖补资金总额最高不超过项目用地的土地出让款（不含税）。（由县工业园管委会现场认定核查后，报县政府审批同意后拨付。县住建、自然资源、财政和工商信等部门参与）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cs="仿宋_GB2312"/>
          <w:color w:val="auto"/>
          <w:lang w:eastAsia="zh-CN"/>
        </w:rPr>
      </w:pPr>
      <w:r>
        <w:rPr>
          <w:rFonts w:hint="eastAsia" w:cs="仿宋_GB2312"/>
          <w:color w:val="auto"/>
          <w:lang w:val="en-US" w:eastAsia="zh-CN"/>
        </w:rPr>
        <w:t>（三）按投资合同约定如期开工并投产的</w:t>
      </w:r>
      <w:r>
        <w:rPr>
          <w:rFonts w:hint="eastAsia" w:ascii="仿宋_GB2312" w:hAnsi="仿宋_GB2312" w:eastAsia="仿宋_GB2312" w:cs="仿宋_GB2312"/>
          <w:color w:val="auto"/>
        </w:rPr>
        <w:t>深圳南山（连平）产业园</w:t>
      </w:r>
      <w:r>
        <w:rPr>
          <w:rFonts w:hint="eastAsia" w:cs="仿宋_GB2312"/>
          <w:color w:val="auto"/>
          <w:lang w:eastAsia="zh-CN"/>
        </w:rPr>
        <w:t>一期项目，参照本办法奖励标准执行，奖补条件以当时合同约定的有关条款为准。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cs="仿宋_GB2312"/>
          <w:color w:val="auto"/>
          <w:lang w:val="en-US" w:eastAsia="zh-CN"/>
        </w:rPr>
      </w:pPr>
      <w:r>
        <w:rPr>
          <w:rFonts w:hint="eastAsia" w:cs="仿宋_GB2312"/>
          <w:color w:val="auto"/>
          <w:lang w:val="en-US" w:eastAsia="zh-CN"/>
        </w:rPr>
        <w:t>（四）2017年9月30日前引进连平县工业园的生产性项目，参照</w:t>
      </w:r>
      <w:r>
        <w:rPr>
          <w:rFonts w:hint="eastAsia" w:cs="仿宋_GB2312"/>
          <w:color w:val="auto"/>
          <w:lang w:eastAsia="zh-CN"/>
        </w:rPr>
        <w:t>本办法奖励标准</w:t>
      </w:r>
      <w:r>
        <w:rPr>
          <w:rFonts w:hint="eastAsia" w:cs="仿宋_GB2312"/>
          <w:color w:val="auto"/>
          <w:lang w:val="en-US" w:eastAsia="zh-CN"/>
        </w:rPr>
        <w:t>执行，已经享受过相关政策优惠的企业不再享受</w:t>
      </w:r>
      <w:r>
        <w:rPr>
          <w:rFonts w:hint="eastAsia" w:cs="仿宋_GB2312"/>
          <w:color w:val="auto"/>
          <w:lang w:eastAsia="zh-CN"/>
        </w:rPr>
        <w:t>本办法奖励</w:t>
      </w:r>
      <w:r>
        <w:rPr>
          <w:rFonts w:hint="eastAsia" w:cs="仿宋_GB2312"/>
          <w:color w:val="auto"/>
          <w:lang w:val="en-US" w:eastAsia="zh-CN"/>
        </w:rPr>
        <w:t>，由县工业园管委会制定奖励方案，报县政府审批。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（一）申报单位应如实填写申报材料</w:t>
      </w:r>
      <w:r>
        <w:rPr>
          <w:rFonts w:hint="eastAsia" w:cs="仿宋_GB2312"/>
          <w:lang w:val="en-US" w:eastAsia="zh-CN"/>
        </w:rPr>
        <w:t>（详见附件）</w:t>
      </w:r>
      <w:r>
        <w:rPr>
          <w:rFonts w:hint="eastAsia" w:ascii="仿宋_GB2312" w:hAnsi="仿宋_GB2312" w:eastAsia="仿宋_GB2312" w:cs="仿宋_GB2312"/>
          <w:lang w:val="en-US" w:eastAsia="zh-CN"/>
        </w:rPr>
        <w:t>，并对申报材料的真实性、合法性和有效性负责；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（二）申报材料的复印件均需加盖单位公章，如有必要需提供原件进行核查；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（三）申报单位必须按照</w:t>
      </w:r>
      <w:r>
        <w:rPr>
          <w:rFonts w:hint="eastAsia" w:ascii="仿宋_GB2312" w:hAnsi="仿宋_GB2312" w:eastAsia="仿宋_GB2312" w:cs="仿宋_GB2312"/>
        </w:rPr>
        <w:t>深圳南山（连平）产业园</w:t>
      </w:r>
      <w:r>
        <w:rPr>
          <w:rFonts w:hint="eastAsia" w:ascii="仿宋_GB2312" w:hAnsi="仿宋_GB2312" w:eastAsia="仿宋_GB2312" w:cs="仿宋_GB2312"/>
          <w:lang w:val="en-US" w:eastAsia="zh-CN"/>
        </w:rPr>
        <w:t>项目投资合同书要求实施建设；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（四）申报材料一式三份，用A4纸装订成册，并于</w:t>
      </w:r>
      <w:r>
        <w:rPr>
          <w:rFonts w:hint="eastAsia" w:cs="仿宋_GB2312"/>
          <w:lang w:val="en-US" w:eastAsia="zh-CN"/>
        </w:rPr>
        <w:t>达到奖励条件的三个月内</w:t>
      </w:r>
      <w:r>
        <w:rPr>
          <w:rFonts w:hint="eastAsia" w:ascii="仿宋_GB2312" w:hAnsi="仿宋_GB2312" w:eastAsia="仿宋_GB2312" w:cs="仿宋_GB2312"/>
          <w:lang w:val="en-US" w:eastAsia="zh-CN"/>
        </w:rPr>
        <w:t>报送至连平县工业园管委会办公室（联系人：</w:t>
      </w:r>
      <w:r>
        <w:rPr>
          <w:rFonts w:hint="eastAsia" w:cs="仿宋_GB2312"/>
          <w:lang w:val="en-US" w:eastAsia="zh-CN"/>
        </w:rPr>
        <w:t>吴耿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电子邮箱：lpgyy900@163.com）。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从用地依法出让之日（指签订国有土地使用权出让合同之日）起</w:t>
      </w:r>
      <w:r>
        <w:rPr>
          <w:rFonts w:hint="eastAsia" w:cs="仿宋_GB2312"/>
          <w:color w:va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年内未竣工投产的，原已支付的奖补资金从用地依法出让之日起满</w:t>
      </w:r>
      <w:r>
        <w:rPr>
          <w:rFonts w:hint="eastAsia" w:cs="仿宋_GB2312"/>
          <w:color w:va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年后的1个月之内退还，逾期未退还的，从逾期之日起按日收取未退还奖补资金万分之五的滞纳金。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七、资金监督和绩效管理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（一）建立</w:t>
      </w:r>
      <w:r>
        <w:rPr>
          <w:rFonts w:hint="eastAsia" w:cs="仿宋_GB2312"/>
          <w:b w:val="0"/>
          <w:bCs w:val="0"/>
          <w:color w:val="auto"/>
          <w:lang w:eastAsia="zh-CN"/>
        </w:rPr>
        <w:t>扶持资金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绩效管理机制，包括绩效目标申报审核、绩效监测督查、绩效评价和绩效问责。县财政局负责组织开展绩效评价工作，并视工作需要组织开展重点绩效评价工作。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（二）县财政局和县工商信局应按照职责分工，加强项目和支持资金的监督管理，充分发挥</w:t>
      </w:r>
      <w:r>
        <w:rPr>
          <w:rFonts w:hint="eastAsia" w:cs="仿宋_GB2312"/>
          <w:b w:val="0"/>
          <w:bCs w:val="0"/>
          <w:color w:val="auto"/>
          <w:lang w:eastAsia="zh-CN"/>
        </w:rPr>
        <w:t>扶持资金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（三）对弄虚作假、截留、挪用、挤占奖励资金等行为，按《财政违法行为处罚处分条例</w:t>
      </w:r>
      <w:r>
        <w:rPr>
          <w:rFonts w:hint="eastAsia" w:cs="仿宋_GB2312"/>
          <w:b w:val="0"/>
          <w:bCs w:val="0"/>
          <w:color w:val="auto"/>
          <w:lang w:eastAsia="zh-CN"/>
        </w:rPr>
        <w:t>（修订版）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》（国务院令</w:t>
      </w:r>
      <w:r>
        <w:rPr>
          <w:rFonts w:hint="eastAsia" w:cs="仿宋_GB2312"/>
          <w:b w:val="0"/>
          <w:bCs w:val="0"/>
          <w:color w:val="auto"/>
          <w:lang w:val="en-US" w:eastAsia="zh-CN"/>
        </w:rPr>
        <w:t>588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）的相关规定进行处理，并依法追究有关单位及其相关人员责任。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八、附则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</w:rPr>
        <w:t>自</w:t>
      </w:r>
      <w:r>
        <w:rPr>
          <w:rFonts w:hint="eastAsia" w:cs="仿宋_GB2312"/>
          <w:color w:val="auto"/>
          <w:lang w:val="en-US" w:eastAsia="zh-CN"/>
        </w:rPr>
        <w:t>20   年  月  日</w:t>
      </w:r>
      <w:r>
        <w:rPr>
          <w:rFonts w:hint="eastAsia" w:ascii="仿宋_GB2312" w:hAnsi="仿宋_GB2312" w:eastAsia="仿宋_GB2312" w:cs="仿宋_GB2312"/>
          <w:color w:val="auto"/>
        </w:rPr>
        <w:t>起生效，有效期</w:t>
      </w:r>
      <w:r>
        <w:rPr>
          <w:rFonts w:hint="eastAsia" w:cs="仿宋_GB2312"/>
          <w:color w:va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（二）</w:t>
      </w:r>
      <w:r>
        <w:rPr>
          <w:rFonts w:hint="eastAsia" w:cs="仿宋_GB2312"/>
          <w:color w:val="auto"/>
          <w:lang w:eastAsia="zh-CN"/>
        </w:rPr>
        <w:t>本办法由县工业商务和信息化局负责解释。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cs="仿宋_GB2312"/>
          <w:color w:val="auto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此前发布的有关鼓励投资政策如与本办法有抵触的，以本办法为准。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20" w:firstLineChars="500"/>
        <w:textAlignment w:val="auto"/>
        <w:rPr>
          <w:rFonts w:hint="default" w:cs="仿宋_GB2312"/>
          <w:color w:val="auto"/>
          <w:lang w:val="en-US" w:eastAsia="zh-CN"/>
        </w:rPr>
      </w:pPr>
    </w:p>
    <w:sectPr>
      <w:footerReference r:id="rId3" w:type="default"/>
      <w:pgSz w:w="11906" w:h="16838"/>
      <w:pgMar w:top="1814" w:right="1800" w:bottom="1440" w:left="1587" w:header="851" w:footer="992" w:gutter="0"/>
      <w:pgNumType w:fmt="numberInDash"/>
      <w:cols w:space="0" w:num="1"/>
      <w:rtlGutter w:val="0"/>
      <w:docGrid w:type="linesAndChars" w:linePitch="604" w:charSpace="-3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B7C4D"/>
    <w:rsid w:val="0235659B"/>
    <w:rsid w:val="02FB7FA3"/>
    <w:rsid w:val="06293766"/>
    <w:rsid w:val="07E36FEF"/>
    <w:rsid w:val="0BCE5019"/>
    <w:rsid w:val="0C0651C6"/>
    <w:rsid w:val="0D3454C1"/>
    <w:rsid w:val="109B4F22"/>
    <w:rsid w:val="129D5856"/>
    <w:rsid w:val="139B3A48"/>
    <w:rsid w:val="13CF729E"/>
    <w:rsid w:val="16220B89"/>
    <w:rsid w:val="181062C1"/>
    <w:rsid w:val="190B6CA4"/>
    <w:rsid w:val="191301B6"/>
    <w:rsid w:val="1C1D3E3B"/>
    <w:rsid w:val="1FE30AF3"/>
    <w:rsid w:val="21E441E4"/>
    <w:rsid w:val="22317550"/>
    <w:rsid w:val="22474DFC"/>
    <w:rsid w:val="28A24436"/>
    <w:rsid w:val="29817DC5"/>
    <w:rsid w:val="2AC5419C"/>
    <w:rsid w:val="2B90727C"/>
    <w:rsid w:val="2C065E33"/>
    <w:rsid w:val="2CFA0DEE"/>
    <w:rsid w:val="35F03133"/>
    <w:rsid w:val="3805735F"/>
    <w:rsid w:val="3B233C45"/>
    <w:rsid w:val="3B927E09"/>
    <w:rsid w:val="3C8228A0"/>
    <w:rsid w:val="3F5D47B4"/>
    <w:rsid w:val="427A298D"/>
    <w:rsid w:val="45CC0CBF"/>
    <w:rsid w:val="475170B0"/>
    <w:rsid w:val="4D6459B0"/>
    <w:rsid w:val="5506775B"/>
    <w:rsid w:val="600E1709"/>
    <w:rsid w:val="62255F45"/>
    <w:rsid w:val="63D34290"/>
    <w:rsid w:val="6BC716E0"/>
    <w:rsid w:val="6EF802B3"/>
    <w:rsid w:val="7021698B"/>
    <w:rsid w:val="725E6DC1"/>
    <w:rsid w:val="73B0682E"/>
    <w:rsid w:val="74916D03"/>
    <w:rsid w:val="74B01C72"/>
    <w:rsid w:val="758D4EE3"/>
    <w:rsid w:val="773B7C4D"/>
    <w:rsid w:val="78110CB5"/>
    <w:rsid w:val="7A9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连平县工业商务和信息化局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2019-09-17T07:30:00Z</dcterms:created>
  <dc:creator>jxj01</dc:creator>
  <cp:lastModifiedBy>Administrator</cp:lastModifiedBy>
  <cp:lastPrinted>2020-01-09T08:12:00Z</cp:lastPrinted>
  <dcterms:modified xsi:type="dcterms:W3CDTF">2022-11-11T03:35:35Z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80A57B88D9734EC9A32E473D036EECD8</vt:lpwstr>
  </property>
</Properties>
</file>