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val="en-US" w:eastAsia="zh-CN"/>
        </w:rPr>
        <w:t>连平县县级</w:t>
      </w:r>
      <w:r>
        <w:rPr>
          <w:rFonts w:hint="eastAsia" w:ascii="方正小标宋简体" w:hAnsi="方正小标宋简体" w:eastAsia="方正小标宋简体" w:cs="方正小标宋简体"/>
          <w:bCs/>
          <w:color w:val="000000"/>
          <w:sz w:val="44"/>
          <w:szCs w:val="44"/>
        </w:rPr>
        <w:t>自然资源行政执法减免责清单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729"/>
        <w:gridCol w:w="939"/>
        <w:gridCol w:w="5055"/>
        <w:gridCol w:w="3576"/>
        <w:gridCol w:w="1224"/>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63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729"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939"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505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3576"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免处罚适用情形</w:t>
            </w:r>
          </w:p>
        </w:tc>
        <w:tc>
          <w:tcPr>
            <w:tcW w:w="122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73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635"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拒不履行土地复垦义务</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440212003000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eastAsia="zh-CN"/>
              </w:rPr>
              <w:t>第四十三条、</w:t>
            </w:r>
            <w:r>
              <w:rPr>
                <w:rFonts w:hint="eastAsia" w:ascii="仿宋_GB2312" w:hAnsi="Times New Roman" w:eastAsia="仿宋_GB2312" w:cs="Times New Roman"/>
                <w:color w:val="000000"/>
                <w:sz w:val="24"/>
              </w:rPr>
              <w:t>第七十六条</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1.《土地管理法实施条例》（2021年修订）第五十六条第一款</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违法行为轻微，积极配合查处工作，及时履行土地复垦义务并通过验收，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35" w:type="dxa"/>
            <w:vAlign w:val="center"/>
          </w:tcPr>
          <w:p>
            <w:pPr>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临时用地期满之日起一年内未完成复垦或者未恢复种植条件</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1.《土地管理法》（2019年修正）第七十六条 </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1.《土地管理法实施条例》（2021年修订）第二十条第三款、第五十六条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违法行为轻微，积极配合查处工作，及时</w:t>
            </w:r>
            <w:r>
              <w:rPr>
                <w:rFonts w:hint="eastAsia" w:ascii="仿宋_GB2312" w:hAnsi="Times New Roman" w:eastAsia="仿宋_GB2312" w:cs="Times New Roman"/>
                <w:color w:val="000000"/>
                <w:sz w:val="24"/>
              </w:rPr>
              <w:t>完成复垦或者恢复种植条件</w:t>
            </w:r>
            <w:r>
              <w:rPr>
                <w:rFonts w:hint="eastAsia" w:ascii="仿宋_GB2312" w:hAnsi="Times New Roman" w:eastAsia="仿宋_GB2312" w:cs="Times New Roman"/>
                <w:color w:val="000000"/>
                <w:sz w:val="24"/>
                <w:lang w:eastAsia="zh-CN"/>
              </w:rPr>
              <w:t>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接受土地调查的单位和个人无正当理由不履行现场指界义务</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440212021000</w:t>
            </w:r>
          </w:p>
        </w:tc>
        <w:tc>
          <w:tcPr>
            <w:tcW w:w="505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1.《土地调查条例》（2018年修订）第十七条</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第三十二条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1.《土地调查条例实施办法》（2019年修正）第二十九条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改正，积极履行现场指界义务，没有造成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未按照规定补充编制土地复垦方案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1.《土地复垦条例》（2011年）第十三条</w:t>
            </w:r>
            <w:r>
              <w:rPr>
                <w:rFonts w:hint="eastAsia" w:ascii="仿宋_GB2312" w:hAnsi="Times New Roman" w:eastAsia="仿宋_GB2312" w:cs="Times New Roman"/>
                <w:color w:val="000000"/>
                <w:sz w:val="24"/>
                <w:lang w:val="en-US" w:eastAsia="zh-CN"/>
              </w:rPr>
              <w:t>第三款</w:t>
            </w:r>
            <w:r>
              <w:rPr>
                <w:rFonts w:hint="eastAsia" w:ascii="仿宋_GB2312" w:hAnsi="Times New Roman" w:eastAsia="仿宋_GB2312" w:cs="Times New Roman"/>
                <w:color w:val="000000"/>
                <w:sz w:val="24"/>
              </w:rPr>
              <w:t>、第三十七条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改正，按照规定补充编制土地复垦方案，没有造成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土地复垦义务人未按照规定将土地复垦费用列入生产成本或者建设项目总投资</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1.《土地复垦条例》（2011年）第十五条、第三十八条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改正，按照规定将土地复垦费用列入生产成本或者建设项目总投资，没有造成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土地复垦义务人未按照规定预存土地复垦费用</w:t>
            </w:r>
          </w:p>
        </w:tc>
        <w:tc>
          <w:tcPr>
            <w:tcW w:w="939" w:type="dxa"/>
            <w:vAlign w:val="center"/>
          </w:tcPr>
          <w:p>
            <w:pPr>
              <w:jc w:val="center"/>
              <w:rPr>
                <w:rFonts w:hint="eastAsia" w:ascii="仿宋_GB2312" w:hAnsi="Times New Roman" w:eastAsia="仿宋_GB2312" w:cs="Times New Roman"/>
                <w:color w:val="000000"/>
                <w:sz w:val="24"/>
                <w:highlight w:val="none"/>
                <w:lang w:eastAsia="zh-CN"/>
              </w:rPr>
            </w:pPr>
            <w:r>
              <w:rPr>
                <w:rFonts w:hint="eastAsia" w:ascii="仿宋_GB2312" w:hAnsi="Times New Roman" w:eastAsia="仿宋_GB2312" w:cs="Times New Roman"/>
                <w:color w:val="000000"/>
                <w:sz w:val="24"/>
                <w:highlight w:val="none"/>
                <w:lang w:val="en-US" w:eastAsia="zh-CN"/>
              </w:rPr>
              <w:t>44021201E000</w:t>
            </w:r>
          </w:p>
          <w:p>
            <w:pPr>
              <w:jc w:val="center"/>
              <w:rPr>
                <w:rFonts w:hint="eastAsia" w:ascii="仿宋_GB2312" w:hAnsi="Times New Roman" w:eastAsia="仿宋_GB2312" w:cs="Times New Roman"/>
                <w:color w:val="000000"/>
                <w:sz w:val="24"/>
                <w:highlight w:val="none"/>
                <w:lang w:eastAsia="zh-CN"/>
              </w:rPr>
            </w:pPr>
          </w:p>
        </w:tc>
        <w:tc>
          <w:tcPr>
            <w:tcW w:w="5055"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【行政法规】</w:t>
            </w:r>
            <w:r>
              <w:rPr>
                <w:rFonts w:hint="eastAsia" w:ascii="仿宋_GB2312" w:hAnsi="Times New Roman" w:eastAsia="仿宋_GB2312" w:cs="Times New Roman"/>
                <w:color w:val="000000"/>
                <w:sz w:val="24"/>
                <w:highlight w:val="none"/>
              </w:rPr>
              <w:br w:type="textWrapping"/>
            </w:r>
            <w:r>
              <w:rPr>
                <w:rFonts w:hint="eastAsia" w:ascii="仿宋_GB2312" w:hAnsi="Times New Roman" w:eastAsia="仿宋_GB2312" w:cs="Times New Roman"/>
                <w:color w:val="000000"/>
                <w:sz w:val="24"/>
                <w:highlight w:val="none"/>
              </w:rPr>
              <w:t>1.《土地复垦条例》（2011年）第三十八条</w:t>
            </w:r>
          </w:p>
          <w:p>
            <w:pPr>
              <w:rPr>
                <w:rFonts w:hint="eastAsia" w:ascii="仿宋_GB2312" w:hAnsi="Times New Roman" w:eastAsia="仿宋_GB2312" w:cs="Times New Roman"/>
                <w:color w:val="000000"/>
                <w:sz w:val="24"/>
                <w:highlight w:val="none"/>
                <w:lang w:eastAsia="zh-CN"/>
              </w:rPr>
            </w:pPr>
            <w:r>
              <w:rPr>
                <w:rFonts w:hint="eastAsia" w:ascii="仿宋_GB2312" w:hAnsi="Times New Roman" w:eastAsia="仿宋_GB2312" w:cs="Times New Roman"/>
                <w:color w:val="000000"/>
                <w:sz w:val="24"/>
                <w:highlight w:val="none"/>
                <w:lang w:eastAsia="zh-CN"/>
              </w:rPr>
              <w:t>【</w:t>
            </w:r>
            <w:r>
              <w:rPr>
                <w:rFonts w:hint="eastAsia" w:ascii="仿宋_GB2312" w:hAnsi="Times New Roman" w:eastAsia="仿宋_GB2312" w:cs="Times New Roman"/>
                <w:color w:val="000000"/>
                <w:sz w:val="24"/>
                <w:highlight w:val="none"/>
                <w:lang w:val="en-US" w:eastAsia="zh-CN"/>
              </w:rPr>
              <w:t>地方性法规</w:t>
            </w:r>
            <w:r>
              <w:rPr>
                <w:rFonts w:hint="eastAsia" w:ascii="仿宋_GB2312" w:hAnsi="Times New Roman" w:eastAsia="仿宋_GB2312" w:cs="Times New Roman"/>
                <w:color w:val="000000"/>
                <w:sz w:val="24"/>
                <w:highlight w:val="none"/>
                <w:lang w:eastAsia="zh-CN"/>
              </w:rPr>
              <w:t>】</w:t>
            </w:r>
          </w:p>
          <w:p>
            <w:pPr>
              <w:rPr>
                <w:rFonts w:hint="eastAsia" w:ascii="仿宋_GB2312" w:hAnsi="Times New Roman" w:eastAsia="仿宋_GB2312" w:cs="Times New Roman"/>
                <w:color w:val="000000"/>
                <w:sz w:val="24"/>
                <w:highlight w:val="none"/>
                <w:lang w:eastAsia="zh-CN"/>
              </w:rPr>
            </w:pPr>
            <w:r>
              <w:rPr>
                <w:rFonts w:hint="eastAsia" w:ascii="仿宋_GB2312" w:hAnsi="Times New Roman" w:eastAsia="仿宋_GB2312" w:cs="Times New Roman"/>
                <w:color w:val="000000"/>
                <w:sz w:val="24"/>
                <w:highlight w:val="none"/>
                <w:lang w:eastAsia="zh-CN"/>
              </w:rPr>
              <w:t>1.《广东省土地管理条例》（2022年）第二十一条、第五十三条</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【部门规章】</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1.《土地复垦条例实施办法》（2019年修正）</w:t>
            </w:r>
            <w:r>
              <w:rPr>
                <w:rFonts w:hint="eastAsia" w:ascii="仿宋_GB2312" w:hAnsi="Times New Roman" w:eastAsia="仿宋_GB2312" w:cs="Times New Roman"/>
                <w:color w:val="000000"/>
                <w:sz w:val="24"/>
                <w:highlight w:val="none"/>
                <w:lang w:eastAsia="zh-CN"/>
              </w:rPr>
              <w:t>第十六条、第十七条、第十八条、第十九条、</w:t>
            </w:r>
            <w:r>
              <w:rPr>
                <w:rFonts w:hint="eastAsia" w:ascii="仿宋_GB2312" w:hAnsi="Times New Roman" w:eastAsia="仿宋_GB2312" w:cs="Times New Roman"/>
                <w:color w:val="000000"/>
                <w:sz w:val="24"/>
                <w:highlight w:val="none"/>
              </w:rPr>
              <w:t xml:space="preserve">第五十一条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改正，按照规定预存土地复垦费用，没有造成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土地复垦义务人未按照规定报告土地损毁情况、土地复垦费用使用情况或者土地复垦工程实施情况</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1.《土地复垦条例》（2011年）第十七条第一款、第四十一条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改正，按照规定报告土地损毁情况、土地复垦费用使用情况或者土地复垦工程实施情况，没有造成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土地复垦义务人未按照规定开展土地复垦质量控制和采取管护措施</w:t>
            </w:r>
          </w:p>
        </w:tc>
        <w:tc>
          <w:tcPr>
            <w:tcW w:w="939" w:type="dxa"/>
            <w:vAlign w:val="center"/>
          </w:tcPr>
          <w:p>
            <w:pPr>
              <w:jc w:val="center"/>
              <w:rPr>
                <w:rFonts w:hint="eastAsia" w:ascii="仿宋_GB2312" w:hAnsi="Times New Roman" w:eastAsia="仿宋_GB2312" w:cs="Times New Roman"/>
                <w:color w:val="000000"/>
                <w:sz w:val="24"/>
                <w:highlight w:val="none"/>
                <w:lang w:eastAsia="zh-CN"/>
              </w:rPr>
            </w:pPr>
            <w:r>
              <w:rPr>
                <w:rFonts w:hint="eastAsia" w:ascii="仿宋_GB2312" w:hAnsi="Times New Roman" w:eastAsia="仿宋_GB2312" w:cs="Times New Roman"/>
                <w:color w:val="000000"/>
                <w:sz w:val="24"/>
                <w:highlight w:val="none"/>
                <w:lang w:eastAsia="zh-CN"/>
              </w:rPr>
              <w:t>44021200M000</w:t>
            </w:r>
          </w:p>
        </w:tc>
        <w:tc>
          <w:tcPr>
            <w:tcW w:w="5055"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【行政法规】</w:t>
            </w:r>
            <w:r>
              <w:rPr>
                <w:rFonts w:hint="eastAsia" w:ascii="仿宋_GB2312" w:hAnsi="Times New Roman" w:eastAsia="仿宋_GB2312" w:cs="Times New Roman"/>
                <w:color w:val="000000"/>
                <w:sz w:val="24"/>
                <w:highlight w:val="none"/>
              </w:rPr>
              <w:br w:type="textWrapping"/>
            </w:r>
            <w:r>
              <w:rPr>
                <w:rFonts w:hint="eastAsia" w:ascii="仿宋_GB2312" w:hAnsi="Times New Roman" w:eastAsia="仿宋_GB2312" w:cs="Times New Roman"/>
                <w:color w:val="000000"/>
                <w:sz w:val="24"/>
                <w:highlight w:val="none"/>
              </w:rPr>
              <w:t>1.《土地复垦条例》（2011年）第四十一条</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【部门规章】</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1.《土地复垦条例实施办法》（2019年修正）第二十五条、第五十二条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改正，按照规定开展土地复垦质量控制和采取管护措施，没有造成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土地复垦义务人依照规定应当缴纳土地复垦费而不缴纳</w:t>
            </w:r>
          </w:p>
        </w:tc>
        <w:tc>
          <w:tcPr>
            <w:tcW w:w="939" w:type="dxa"/>
            <w:vAlign w:val="center"/>
          </w:tcPr>
          <w:p>
            <w:pPr>
              <w:jc w:val="center"/>
              <w:rPr>
                <w:rFonts w:hint="default" w:ascii="仿宋_GB2312" w:hAnsi="Times New Roman" w:eastAsia="仿宋_GB2312" w:cs="Times New Roman"/>
                <w:color w:val="000000"/>
                <w:sz w:val="24"/>
                <w:highlight w:val="none"/>
                <w:lang w:val="en-US" w:eastAsia="zh-CN"/>
              </w:rPr>
            </w:pPr>
            <w:r>
              <w:rPr>
                <w:rFonts w:hint="eastAsia" w:ascii="仿宋_GB2312" w:hAnsi="Times New Roman" w:eastAsia="仿宋_GB2312" w:cs="Times New Roman"/>
                <w:color w:val="000000"/>
                <w:sz w:val="24"/>
                <w:highlight w:val="none"/>
                <w:lang w:val="en-US" w:eastAsia="zh-CN"/>
              </w:rPr>
              <w:t>440212019000</w:t>
            </w:r>
          </w:p>
        </w:tc>
        <w:tc>
          <w:tcPr>
            <w:tcW w:w="5055"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【行政法规】</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1.《土地复垦条例》（2011年）第十八条第一款、第四十二条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缴款</w:t>
            </w:r>
            <w:r>
              <w:rPr>
                <w:rFonts w:hint="eastAsia" w:ascii="仿宋_GB2312" w:hAnsi="Times New Roman" w:eastAsia="仿宋_GB2312" w:cs="Times New Roman"/>
                <w:color w:val="000000"/>
                <w:sz w:val="24"/>
                <w:lang w:eastAsia="zh-CN"/>
              </w:rPr>
              <w:t>土地复垦费</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729"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土地复垦义务人未按照规定将土地复垦方案、土地复垦规划设计报所在地县级自然资源主管部门备案</w:t>
            </w:r>
          </w:p>
        </w:tc>
        <w:tc>
          <w:tcPr>
            <w:tcW w:w="939" w:type="dxa"/>
            <w:vAlign w:val="center"/>
          </w:tcPr>
          <w:p>
            <w:pPr>
              <w:jc w:val="center"/>
              <w:rPr>
                <w:rFonts w:hint="eastAsia" w:ascii="仿宋_GB2312" w:hAnsi="Times New Roman" w:eastAsia="仿宋_GB2312" w:cs="Times New Roman"/>
                <w:color w:val="000000"/>
                <w:sz w:val="24"/>
                <w:highlight w:val="none"/>
                <w:lang w:eastAsia="zh-CN"/>
              </w:rPr>
            </w:pPr>
            <w:r>
              <w:rPr>
                <w:rFonts w:hint="eastAsia" w:ascii="仿宋_GB2312" w:hAnsi="Times New Roman" w:eastAsia="仿宋_GB2312" w:cs="Times New Roman"/>
                <w:color w:val="000000"/>
                <w:sz w:val="24"/>
                <w:highlight w:val="none"/>
                <w:lang w:eastAsia="zh-CN"/>
              </w:rPr>
              <w:t>44021200L000</w:t>
            </w:r>
          </w:p>
        </w:tc>
        <w:tc>
          <w:tcPr>
            <w:tcW w:w="5055"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【行政法规】</w:t>
            </w:r>
            <w:r>
              <w:rPr>
                <w:rFonts w:hint="eastAsia" w:ascii="仿宋_GB2312" w:hAnsi="Times New Roman" w:eastAsia="仿宋_GB2312" w:cs="Times New Roman"/>
                <w:color w:val="000000"/>
                <w:sz w:val="24"/>
                <w:highlight w:val="none"/>
              </w:rPr>
              <w:br w:type="textWrapping"/>
            </w:r>
            <w:r>
              <w:rPr>
                <w:rFonts w:hint="eastAsia" w:ascii="仿宋_GB2312" w:hAnsi="Times New Roman" w:eastAsia="仿宋_GB2312" w:cs="Times New Roman"/>
                <w:color w:val="000000"/>
                <w:sz w:val="24"/>
                <w:highlight w:val="none"/>
              </w:rPr>
              <w:t>1.《土地复垦条例》（2011年）第四十一条</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【部门规章】</w:t>
            </w:r>
          </w:p>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rPr>
              <w:t xml:space="preserve">1.《土地复垦条例实施办法》（2019年修正）第十五条、第五十条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改正，按照规定将土地复垦方案、土地复垦规划设计进行备案，没有造成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破坏或者擅自改变基本农田保护区的保护标志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440212022000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1.《基本农田保护条例》（2011年修订）第十一条第二款、第</w:t>
            </w:r>
            <w:r>
              <w:rPr>
                <w:rFonts w:hint="eastAsia" w:ascii="仿宋_GB2312" w:hAnsi="Times New Roman" w:eastAsia="仿宋_GB2312" w:cs="Times New Roman"/>
                <w:color w:val="000000"/>
                <w:sz w:val="24"/>
                <w:lang w:eastAsia="zh-Hans"/>
              </w:rPr>
              <w:t>三十二</w:t>
            </w:r>
            <w:r>
              <w:rPr>
                <w:rFonts w:hint="eastAsia" w:ascii="仿宋_GB2312" w:hAnsi="Times New Roman" w:eastAsia="仿宋_GB2312" w:cs="Times New Roman"/>
                <w:color w:val="000000"/>
                <w:sz w:val="24"/>
              </w:rPr>
              <w:t>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1.《广东省基本农田保护区管理条例》（2014年修正）</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第二十</w:t>
            </w:r>
            <w:r>
              <w:rPr>
                <w:rFonts w:hint="eastAsia" w:ascii="仿宋_GB2312" w:hAnsi="Times New Roman" w:eastAsia="仿宋_GB2312" w:cs="Times New Roman"/>
                <w:color w:val="000000"/>
                <w:sz w:val="24"/>
                <w:lang w:eastAsia="zh-Hans"/>
              </w:rPr>
              <w:t>三</w:t>
            </w:r>
            <w:r>
              <w:rPr>
                <w:rFonts w:hint="eastAsia" w:ascii="仿宋_GB2312" w:hAnsi="Times New Roman" w:eastAsia="仿宋_GB2312" w:cs="Times New Roman"/>
                <w:color w:val="000000"/>
                <w:sz w:val="24"/>
              </w:rPr>
              <w:t>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及时将</w:t>
            </w:r>
            <w:r>
              <w:rPr>
                <w:rFonts w:hint="eastAsia" w:ascii="仿宋_GB2312" w:hAnsi="Times New Roman" w:eastAsia="仿宋_GB2312" w:cs="Times New Roman"/>
                <w:color w:val="000000"/>
                <w:sz w:val="24"/>
              </w:rPr>
              <w:t>基本农田保护区的保护标志恢复原状，没有造成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探矿权人未完成最低勘查投入</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rPr>
              <w:t>第二十九条第二项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改正，按照规定完成最低勘查投入，没有造成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已经领取勘查许可证的勘查项目，满6个月未开始施工，或者施工后无故停止勘查工作满6个月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第十八条、</w:t>
            </w:r>
            <w:r>
              <w:rPr>
                <w:rFonts w:hint="eastAsia" w:ascii="仿宋_GB2312" w:hAnsi="Times New Roman" w:eastAsia="仿宋_GB2312" w:cs="Times New Roman"/>
                <w:color w:val="000000"/>
                <w:sz w:val="24"/>
              </w:rPr>
              <w:t xml:space="preserve">第二十九条第三项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1.《广东省矿产资源管理条例》（2012年修正）</w:t>
            </w:r>
            <w:r>
              <w:rPr>
                <w:rFonts w:hint="eastAsia" w:ascii="仿宋_GB2312" w:hAnsi="Times New Roman" w:eastAsia="仿宋_GB2312" w:cs="Times New Roman"/>
                <w:color w:val="000000"/>
                <w:sz w:val="24"/>
                <w:lang w:val="en-US" w:eastAsia="zh-CN"/>
              </w:rPr>
              <w:t>第十四条、</w:t>
            </w:r>
            <w:r>
              <w:rPr>
                <w:rFonts w:hint="eastAsia" w:ascii="仿宋_GB2312" w:hAnsi="Times New Roman" w:eastAsia="仿宋_GB2312" w:cs="Times New Roman"/>
                <w:color w:val="000000"/>
                <w:sz w:val="24"/>
              </w:rPr>
              <w:t xml:space="preserve">第六十一条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改正，按照规定进行施工或者开展勘查工作，没有造成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破坏或者擅自移动矿区范围界桩或者地面标志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1.《矿产资源开采登记管理办法》（2014年修订）</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第十九条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及时恢复</w:t>
            </w:r>
            <w:r>
              <w:rPr>
                <w:rFonts w:hint="eastAsia" w:ascii="仿宋_GB2312" w:hAnsi="Times New Roman" w:eastAsia="仿宋_GB2312" w:cs="Times New Roman"/>
                <w:color w:val="000000"/>
                <w:sz w:val="24"/>
              </w:rPr>
              <w:t>矿区范围界桩或者地面标志，没有造成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未按规定的期限汇交地质资料</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1.《地质资料管理条例》（2017年修订）</w:t>
            </w:r>
            <w:r>
              <w:rPr>
                <w:rFonts w:hint="eastAsia" w:ascii="仿宋_GB2312" w:hAnsi="Times New Roman" w:eastAsia="仿宋_GB2312" w:cs="Times New Roman"/>
                <w:color w:val="000000"/>
                <w:sz w:val="24"/>
                <w:lang w:val="en-US" w:eastAsia="zh-CN"/>
              </w:rPr>
              <w:t>第十条、</w:t>
            </w:r>
            <w:r>
              <w:rPr>
                <w:rFonts w:hint="eastAsia" w:ascii="仿宋_GB2312" w:hAnsi="Times New Roman" w:eastAsia="仿宋_GB2312" w:cs="Times New Roman"/>
                <w:color w:val="000000"/>
                <w:sz w:val="24"/>
              </w:rPr>
              <w:t>第二十条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汇交</w:t>
            </w:r>
            <w:r>
              <w:rPr>
                <w:rFonts w:hint="eastAsia" w:ascii="仿宋_GB2312" w:hAnsi="Times New Roman" w:eastAsia="仿宋_GB2312" w:cs="Times New Roman"/>
                <w:color w:val="000000"/>
                <w:sz w:val="24"/>
                <w:lang w:eastAsia="zh-CN"/>
              </w:rPr>
              <w:t>地质资料</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不对矿区范围内的危岩、危坡、开裂带、沉降区和塌陷区设置警示标志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【地方性法规】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1.《广东省矿产资源管理条例》（2012年修正）</w:t>
            </w:r>
            <w:r>
              <w:rPr>
                <w:rFonts w:hint="eastAsia" w:ascii="仿宋_GB2312" w:hAnsi="Times New Roman" w:eastAsia="仿宋_GB2312" w:cs="Times New Roman"/>
                <w:color w:val="000000"/>
                <w:sz w:val="24"/>
                <w:lang w:val="en-US" w:eastAsia="zh-CN"/>
              </w:rPr>
              <w:t>第五十条、</w:t>
            </w:r>
            <w:r>
              <w:rPr>
                <w:rFonts w:hint="eastAsia" w:ascii="仿宋_GB2312" w:hAnsi="Times New Roman" w:eastAsia="仿宋_GB2312" w:cs="Times New Roman"/>
                <w:color w:val="000000"/>
                <w:sz w:val="24"/>
                <w:lang w:val="en"/>
              </w:rPr>
              <w:t>第六十二条第三项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改正，按照规定设置警示标志，没有造成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地质灾害危险性评估资质单位不及时办理地质灾害危险性评估资质证书变更、注销手续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 xml:space="preserve">1.《地质灾害危险性评估单位资质管理办法》（2019年修正）第二十二条、第二十九条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改正，按照规定办理资质证书变更、注销手续，没有造成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地质灾害危险性评估资质单位不按时进行资质和项目备案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1.《地质灾害危险性评估单位资质管理办法》（2019年修正）第二十七条、第三十条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地质灾害治理工程勘查设计施工资质单位不按照规定及时办理资质证书变更、注销手续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w:t>
            </w:r>
            <w:r>
              <w:rPr>
                <w:rFonts w:hint="eastAsia" w:ascii="仿宋_GB2312" w:hAnsi="Times New Roman" w:eastAsia="仿宋_GB2312" w:cs="Times New Roman"/>
                <w:color w:val="000000"/>
                <w:sz w:val="24"/>
                <w:lang w:val="en"/>
              </w:rPr>
              <w:t>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20</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地质灾害治理工程勘查设计施工资质单位不按照规定进行备案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1.《地质灾害治理工程勘查设计施工单位资质管理办法》（2019年修正）第二十七条、第二十九条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21</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地质灾害治理工程监理资质单位不按照规定及时办理资质证书变更、注销手续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1.《地质灾害治理工程监理单位资质管理办法》（2019年修正）第十八条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第十九条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w:t>
            </w:r>
            <w:r>
              <w:rPr>
                <w:rFonts w:hint="eastAsia" w:ascii="仿宋_GB2312" w:hAnsi="Times New Roman" w:eastAsia="仿宋_GB2312" w:cs="Times New Roman"/>
                <w:color w:val="000000"/>
                <w:sz w:val="24"/>
                <w:lang w:val="en" w:eastAsia="zh-Hans"/>
              </w:rPr>
              <w:t>二十</w:t>
            </w:r>
            <w:r>
              <w:rPr>
                <w:rFonts w:hint="eastAsia" w:ascii="仿宋_GB2312" w:hAnsi="Times New Roman" w:eastAsia="仿宋_GB2312" w:cs="Times New Roman"/>
                <w:color w:val="000000"/>
                <w:sz w:val="24"/>
                <w:lang w:val="en"/>
              </w:rPr>
              <w:t>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第二十六条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办理资质证书变更、注销手续，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地质灾害治理工程监理资质单位不按照规定进行备案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1.《地质灾害治理工程监理单位资质管理办法》（2019年修正）第二十五条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第二十七条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lang w:val="en"/>
              </w:rPr>
              <w:t>未按规定计提矿山地质环境治理恢复基金</w:t>
            </w:r>
          </w:p>
        </w:tc>
        <w:tc>
          <w:tcPr>
            <w:tcW w:w="939" w:type="dxa"/>
            <w:vAlign w:val="center"/>
          </w:tcPr>
          <w:p>
            <w:pPr>
              <w:jc w:val="center"/>
              <w:rPr>
                <w:rFonts w:hint="eastAsia" w:ascii="仿宋_GB2312" w:hAnsi="Times New Roman" w:eastAsia="仿宋_GB2312" w:cs="Times New Roman"/>
                <w:color w:val="000000"/>
                <w:sz w:val="24"/>
                <w:highlight w:val="none"/>
                <w:lang w:val="en" w:eastAsia="zh-CN"/>
              </w:rPr>
            </w:pPr>
            <w:r>
              <w:rPr>
                <w:rFonts w:hint="eastAsia" w:ascii="仿宋_GB2312" w:hAnsi="Times New Roman" w:eastAsia="仿宋_GB2312" w:cs="Times New Roman"/>
                <w:color w:val="000000"/>
                <w:sz w:val="24"/>
                <w:highlight w:val="none"/>
                <w:lang w:val="en" w:eastAsia="zh-CN"/>
              </w:rPr>
              <w:t>44021201A000</w:t>
            </w:r>
          </w:p>
          <w:p>
            <w:pPr>
              <w:jc w:val="center"/>
              <w:rPr>
                <w:rFonts w:hint="eastAsia" w:ascii="仿宋_GB2312" w:hAnsi="Times New Roman" w:eastAsia="仿宋_GB2312" w:cs="Times New Roman"/>
                <w:color w:val="000000"/>
                <w:sz w:val="24"/>
                <w:highlight w:val="none"/>
                <w:lang w:val="en" w:eastAsia="zh-CN"/>
              </w:rPr>
            </w:pPr>
          </w:p>
        </w:tc>
        <w:tc>
          <w:tcPr>
            <w:tcW w:w="5055" w:type="dxa"/>
            <w:vAlign w:val="center"/>
          </w:tcPr>
          <w:p>
            <w:pPr>
              <w:rPr>
                <w:rFonts w:ascii="仿宋_GB2312" w:hAnsi="Times New Roman" w:eastAsia="仿宋_GB2312" w:cs="Times New Roman"/>
                <w:color w:val="000000"/>
                <w:sz w:val="24"/>
                <w:highlight w:val="none"/>
              </w:rPr>
            </w:pPr>
            <w:r>
              <w:rPr>
                <w:rFonts w:hint="eastAsia" w:ascii="仿宋_GB2312" w:hAnsi="Times New Roman" w:eastAsia="仿宋_GB2312" w:cs="Times New Roman"/>
                <w:color w:val="000000"/>
                <w:sz w:val="24"/>
                <w:highlight w:val="none"/>
                <w:lang w:val="en"/>
              </w:rPr>
              <w:t>【部门规章】</w:t>
            </w:r>
            <w:r>
              <w:rPr>
                <w:rFonts w:hint="eastAsia" w:ascii="仿宋_GB2312" w:hAnsi="Times New Roman" w:eastAsia="仿宋_GB2312" w:cs="Times New Roman"/>
                <w:color w:val="000000"/>
                <w:sz w:val="24"/>
                <w:highlight w:val="none"/>
                <w:lang w:val="en"/>
              </w:rPr>
              <w:br w:type="textWrapping"/>
            </w:r>
            <w:r>
              <w:rPr>
                <w:rFonts w:hint="eastAsia" w:ascii="仿宋_GB2312" w:hAnsi="Times New Roman" w:eastAsia="仿宋_GB2312" w:cs="Times New Roman"/>
                <w:color w:val="000000"/>
                <w:sz w:val="24"/>
                <w:highlight w:val="none"/>
                <w:lang w:val="en"/>
              </w:rPr>
              <w:t>1.《矿山地质环境保护规定》（2019年修正）</w:t>
            </w:r>
            <w:r>
              <w:rPr>
                <w:rFonts w:hint="eastAsia" w:ascii="仿宋_GB2312" w:hAnsi="Times New Roman" w:eastAsia="仿宋_GB2312" w:cs="Times New Roman"/>
                <w:color w:val="000000"/>
                <w:sz w:val="24"/>
                <w:highlight w:val="none"/>
                <w:lang w:val="en-US" w:eastAsia="zh-CN"/>
              </w:rPr>
              <w:t>第十七条、</w:t>
            </w:r>
            <w:r>
              <w:rPr>
                <w:rFonts w:hint="eastAsia" w:ascii="仿宋_GB2312" w:hAnsi="Times New Roman" w:eastAsia="仿宋_GB2312" w:cs="Times New Roman"/>
                <w:color w:val="000000"/>
                <w:sz w:val="24"/>
                <w:highlight w:val="none"/>
                <w:lang w:val="en"/>
              </w:rPr>
              <w:t>第二十八条</w:t>
            </w:r>
            <w:r>
              <w:rPr>
                <w:rFonts w:hint="eastAsia" w:ascii="仿宋_GB2312" w:hAnsi="Times New Roman" w:eastAsia="仿宋_GB2312" w:cs="Times New Roman"/>
                <w:color w:val="000000"/>
                <w:sz w:val="24"/>
                <w:highlight w:val="none"/>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计提</w:t>
            </w:r>
            <w:r>
              <w:rPr>
                <w:rFonts w:hint="eastAsia" w:ascii="仿宋_GB2312" w:hAnsi="Times New Roman" w:eastAsia="仿宋_GB2312" w:cs="Times New Roman"/>
                <w:color w:val="000000"/>
                <w:sz w:val="24"/>
                <w:lang w:val="en"/>
              </w:rPr>
              <w:t>矿山地质环境治理恢复基金</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highlight w:val="none"/>
                <w:lang w:val="en"/>
              </w:rPr>
            </w:pPr>
            <w:r>
              <w:rPr>
                <w:rFonts w:hint="eastAsia" w:ascii="仿宋_GB2312" w:hAnsi="Times New Roman" w:eastAsia="仿宋_GB2312" w:cs="Times New Roman"/>
                <w:color w:val="000000"/>
                <w:sz w:val="24"/>
                <w:highlight w:val="none"/>
                <w:lang w:val="en"/>
              </w:rPr>
              <w:t>探矿权人未采取治理恢复措施</w:t>
            </w:r>
          </w:p>
        </w:tc>
        <w:tc>
          <w:tcPr>
            <w:tcW w:w="939" w:type="dxa"/>
            <w:vAlign w:val="center"/>
          </w:tcPr>
          <w:p>
            <w:pPr>
              <w:jc w:val="center"/>
              <w:rPr>
                <w:rFonts w:hint="eastAsia" w:ascii="仿宋_GB2312" w:hAnsi="Times New Roman" w:eastAsia="仿宋_GB2312" w:cs="Times New Roman"/>
                <w:color w:val="000000"/>
                <w:sz w:val="24"/>
                <w:highlight w:val="none"/>
                <w:lang w:val="en" w:eastAsia="zh-CN"/>
              </w:rPr>
            </w:pPr>
            <w:r>
              <w:rPr>
                <w:rFonts w:hint="eastAsia" w:ascii="仿宋_GB2312" w:hAnsi="Times New Roman" w:eastAsia="仿宋_GB2312" w:cs="Times New Roman"/>
                <w:color w:val="000000"/>
                <w:sz w:val="24"/>
                <w:highlight w:val="none"/>
                <w:lang w:val="en" w:eastAsia="zh-CN"/>
              </w:rPr>
              <w:t>44021200K000</w:t>
            </w:r>
          </w:p>
        </w:tc>
        <w:tc>
          <w:tcPr>
            <w:tcW w:w="5055" w:type="dxa"/>
            <w:vAlign w:val="center"/>
          </w:tcPr>
          <w:p>
            <w:pPr>
              <w:rPr>
                <w:rFonts w:ascii="仿宋_GB2312" w:hAnsi="Times New Roman" w:eastAsia="仿宋_GB2312" w:cs="Times New Roman"/>
                <w:color w:val="000000"/>
                <w:sz w:val="24"/>
                <w:highlight w:val="none"/>
                <w:lang w:val="en"/>
              </w:rPr>
            </w:pPr>
            <w:r>
              <w:rPr>
                <w:rFonts w:hint="eastAsia" w:ascii="仿宋_GB2312" w:hAnsi="Times New Roman" w:eastAsia="仿宋_GB2312" w:cs="Times New Roman"/>
                <w:color w:val="000000"/>
                <w:sz w:val="24"/>
                <w:highlight w:val="none"/>
                <w:lang w:val="en"/>
              </w:rPr>
              <w:t>【部门规章】</w:t>
            </w:r>
            <w:r>
              <w:rPr>
                <w:rFonts w:hint="eastAsia" w:ascii="仿宋_GB2312" w:hAnsi="Times New Roman" w:eastAsia="仿宋_GB2312" w:cs="Times New Roman"/>
                <w:color w:val="000000"/>
                <w:sz w:val="24"/>
                <w:highlight w:val="none"/>
                <w:lang w:val="en"/>
              </w:rPr>
              <w:br w:type="textWrapping"/>
            </w:r>
            <w:r>
              <w:rPr>
                <w:rFonts w:hint="eastAsia" w:ascii="仿宋_GB2312" w:hAnsi="Times New Roman" w:eastAsia="仿宋_GB2312" w:cs="Times New Roman"/>
                <w:color w:val="000000"/>
                <w:sz w:val="24"/>
                <w:highlight w:val="none"/>
                <w:lang w:val="en"/>
              </w:rPr>
              <w:t>1.《矿山地质环境保护规定》（2019年修正）第二十一条</w:t>
            </w:r>
            <w:r>
              <w:rPr>
                <w:rFonts w:hint="eastAsia" w:ascii="仿宋_GB2312" w:hAnsi="Times New Roman" w:eastAsia="仿宋_GB2312" w:cs="Times New Roman"/>
                <w:color w:val="000000"/>
                <w:sz w:val="24"/>
                <w:highlight w:val="none"/>
              </w:rPr>
              <w:t>、</w:t>
            </w:r>
            <w:r>
              <w:rPr>
                <w:rFonts w:hint="eastAsia" w:ascii="仿宋_GB2312" w:hAnsi="Times New Roman" w:eastAsia="仿宋_GB2312" w:cs="Times New Roman"/>
                <w:color w:val="000000"/>
                <w:sz w:val="24"/>
                <w:highlight w:val="none"/>
                <w:lang w:val="en"/>
              </w:rPr>
              <w:t>第二十九条</w:t>
            </w:r>
            <w:r>
              <w:rPr>
                <w:rFonts w:hint="eastAsia" w:ascii="仿宋_GB2312" w:hAnsi="Times New Roman" w:eastAsia="仿宋_GB2312" w:cs="Times New Roman"/>
                <w:color w:val="000000"/>
                <w:sz w:val="24"/>
                <w:highlight w:val="none"/>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采取治理恢复措施，</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25</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生物化石发掘单位未按照规定移交发掘的古生物化石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第十五条、</w:t>
            </w:r>
            <w:r>
              <w:rPr>
                <w:rFonts w:hint="eastAsia" w:ascii="仿宋_GB2312" w:hAnsi="Times New Roman" w:eastAsia="仿宋_GB2312" w:cs="Times New Roman"/>
                <w:color w:val="000000"/>
                <w:sz w:val="24"/>
                <w:lang w:val="en"/>
              </w:rPr>
              <w:t>第三十七条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1.《古生物化石保护条例实施办法》（2019年修正）第五十二条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没有造成古生物化石损毁</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生物化石收藏单位不符合收藏条件收藏古生物化石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440212061000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第二十条、</w:t>
            </w:r>
            <w:r>
              <w:rPr>
                <w:rFonts w:hint="eastAsia" w:ascii="仿宋_GB2312" w:hAnsi="Times New Roman" w:eastAsia="仿宋_GB2312" w:cs="Times New Roman"/>
                <w:color w:val="000000"/>
                <w:sz w:val="24"/>
                <w:lang w:val="en"/>
              </w:rPr>
              <w:t>第三十八条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w:t>
            </w:r>
            <w:r>
              <w:rPr>
                <w:rFonts w:hint="eastAsia" w:ascii="仿宋_GB2312" w:hAnsi="Times New Roman" w:eastAsia="仿宋_GB2312" w:cs="Times New Roman"/>
                <w:color w:val="000000"/>
                <w:sz w:val="24"/>
                <w:lang w:val="en-US" w:eastAsia="zh-CN"/>
              </w:rPr>
              <w:t>第二十四条、</w:t>
            </w:r>
            <w:r>
              <w:rPr>
                <w:rFonts w:hint="eastAsia" w:ascii="仿宋_GB2312" w:hAnsi="Times New Roman" w:eastAsia="仿宋_GB2312" w:cs="Times New Roman"/>
                <w:color w:val="000000"/>
                <w:sz w:val="24"/>
                <w:lang w:val="en"/>
              </w:rPr>
              <w:t>第五十三条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古生物化石收藏单位未按照规定建立本单位收藏的古生物化石档案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440212062000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第二十一条第二款、</w:t>
            </w:r>
            <w:r>
              <w:rPr>
                <w:rFonts w:hint="eastAsia" w:ascii="仿宋_GB2312" w:hAnsi="Times New Roman" w:eastAsia="仿宋_GB2312" w:cs="Times New Roman"/>
                <w:color w:val="000000"/>
                <w:sz w:val="24"/>
                <w:lang w:val="en"/>
              </w:rPr>
              <w:t>第三十九条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w:t>
            </w:r>
            <w:r>
              <w:rPr>
                <w:rFonts w:hint="eastAsia" w:ascii="仿宋_GB2312" w:hAnsi="Times New Roman" w:eastAsia="仿宋_GB2312" w:cs="Times New Roman"/>
                <w:color w:val="000000"/>
                <w:sz w:val="24"/>
                <w:lang w:val="en"/>
              </w:rPr>
              <w:t>规定建立古生物化石档案</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国有收藏单位将其收藏的重点保护古生物化石违法转让、交换、赠与给非国有收藏单位或者个人</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440212066000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第二十三条第一款、</w:t>
            </w:r>
            <w:r>
              <w:rPr>
                <w:rFonts w:hint="eastAsia" w:ascii="仿宋_GB2312" w:hAnsi="Times New Roman" w:eastAsia="仿宋_GB2312" w:cs="Times New Roman"/>
                <w:color w:val="000000"/>
                <w:sz w:val="24"/>
                <w:lang w:val="en"/>
              </w:rPr>
              <w:t>第四十一条</w:t>
            </w:r>
            <w:r>
              <w:rPr>
                <w:rFonts w:hint="eastAsia" w:ascii="仿宋_GB2312" w:hAnsi="Times New Roman" w:eastAsia="仿宋_GB2312" w:cs="Times New Roman"/>
                <w:color w:val="000000"/>
                <w:sz w:val="24"/>
              </w:rPr>
              <w:t xml:space="preserve"> </w:t>
            </w:r>
          </w:p>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1.《古生物化石保护条例实施办法》（2019年修正）第五十五条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eastAsia="zh-CN"/>
              </w:rPr>
              <w:t>退还已经转让、赠与给非国有收藏单位或者个人的重点保护古生物化石，没有</w:t>
            </w:r>
            <w:r>
              <w:rPr>
                <w:rFonts w:hint="eastAsia" w:ascii="仿宋_GB2312" w:hAnsi="Times New Roman" w:eastAsia="仿宋_GB2312" w:cs="Times New Roman"/>
                <w:color w:val="000000"/>
                <w:sz w:val="24"/>
              </w:rPr>
              <w:t>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不汇交测绘成果资料的，测绘项目出资人逾期不汇交的，承担国家投资的测绘项目的单位逾期不汇交的，自暂扣测绘资质证书之日起六个月内仍不汇交</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440212080000</w:t>
            </w: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第三十三条第二款、</w:t>
            </w:r>
            <w:r>
              <w:rPr>
                <w:rFonts w:hint="eastAsia" w:ascii="仿宋_GB2312" w:hAnsi="Times New Roman" w:eastAsia="仿宋_GB2312" w:cs="Times New Roman"/>
                <w:color w:val="000000"/>
                <w:sz w:val="24"/>
                <w:lang w:val="en"/>
              </w:rPr>
              <w:t>第六十条</w:t>
            </w:r>
            <w:r>
              <w:rPr>
                <w:rFonts w:hint="eastAsia" w:ascii="仿宋_GB2312" w:hAnsi="Times New Roman" w:eastAsia="仿宋_GB2312" w:cs="Times New Roman"/>
                <w:color w:val="000000"/>
                <w:sz w:val="24"/>
                <w:lang w:val="en-US" w:eastAsia="zh-C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val="en" w:eastAsia="zh-CN"/>
              </w:rPr>
              <w:t>及时改正，</w:t>
            </w:r>
            <w:r>
              <w:rPr>
                <w:rFonts w:hint="eastAsia" w:ascii="仿宋_GB2312" w:hAnsi="Times New Roman" w:eastAsia="仿宋_GB2312" w:cs="Times New Roman"/>
                <w:color w:val="000000"/>
                <w:sz w:val="24"/>
                <w:lang w:val="en" w:eastAsia="zh-Hans"/>
              </w:rPr>
              <w:t>汇交</w:t>
            </w:r>
            <w:r>
              <w:rPr>
                <w:rFonts w:hint="eastAsia" w:ascii="仿宋_GB2312" w:hAnsi="Times New Roman" w:eastAsia="仿宋_GB2312" w:cs="Times New Roman"/>
                <w:color w:val="000000"/>
                <w:sz w:val="24"/>
                <w:lang w:val="en" w:eastAsia="zh-CN"/>
              </w:rPr>
              <w:t>测绘成果资料</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r>
              <w:rPr>
                <w:rFonts w:ascii="仿宋_GB2312" w:hAnsi="Times New Roman" w:eastAsia="仿宋_GB2312" w:cs="Times New Roman"/>
                <w:color w:val="000000"/>
                <w:sz w:val="24"/>
              </w:rPr>
              <w:t>0</w:t>
            </w:r>
          </w:p>
        </w:tc>
        <w:tc>
          <w:tcPr>
            <w:tcW w:w="1729" w:type="dxa"/>
            <w:vAlign w:val="center"/>
          </w:tcPr>
          <w:p>
            <w:pPr>
              <w:rPr>
                <w:rFonts w:ascii="仿宋_GB2312" w:hAnsi="Times New Roman" w:eastAsia="仿宋_GB2312" w:cs="Times New Roman"/>
                <w:color w:val="000000"/>
                <w:sz w:val="24"/>
                <w:highlight w:val="none"/>
                <w:lang w:val="en" w:eastAsia="zh-Hans"/>
              </w:rPr>
            </w:pPr>
            <w:r>
              <w:rPr>
                <w:rFonts w:hint="eastAsia" w:ascii="仿宋_GB2312" w:hAnsi="Times New Roman" w:eastAsia="仿宋_GB2312" w:cs="Times New Roman"/>
                <w:color w:val="000000"/>
                <w:sz w:val="24"/>
                <w:highlight w:val="none"/>
                <w:lang w:val="en" w:eastAsia="zh-Hans"/>
              </w:rPr>
              <w:t>实施基础测绘项目，不使用全国统一的测绘基准和测绘系统或者不执行国家规定的测绘技术规范和标准</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44021200Y000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第五条</w:t>
            </w:r>
          </w:p>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1.《基础测绘条例》（</w:t>
            </w:r>
            <w:r>
              <w:rPr>
                <w:rFonts w:hint="eastAsia" w:ascii="仿宋_GB2312" w:hAnsi="Times New Roman" w:eastAsia="仿宋_GB2312" w:cs="Times New Roman"/>
                <w:color w:val="000000"/>
                <w:sz w:val="24"/>
              </w:rPr>
              <w:t>2009年</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lang w:val="en-US" w:eastAsia="zh-CN"/>
              </w:rPr>
              <w:t>第十七条、第二十五条、</w:t>
            </w:r>
            <w:r>
              <w:rPr>
                <w:rFonts w:hint="eastAsia" w:ascii="仿宋_GB2312" w:hAnsi="Times New Roman" w:eastAsia="仿宋_GB2312" w:cs="Times New Roman"/>
                <w:color w:val="000000"/>
                <w:sz w:val="24"/>
                <w:lang w:val="en"/>
              </w:rPr>
              <w:t>第三十一条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，按照规定</w:t>
            </w:r>
            <w:r>
              <w:rPr>
                <w:rFonts w:hint="eastAsia" w:ascii="仿宋_GB2312" w:hAnsi="Times New Roman" w:eastAsia="仿宋_GB2312" w:cs="Times New Roman"/>
                <w:color w:val="000000"/>
                <w:sz w:val="24"/>
                <w:lang w:val="en" w:eastAsia="zh-Hans"/>
              </w:rPr>
              <w:t>使用全国统一的测绘基准和测绘系统或者执行国家规定的测绘技术规范和标准</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635" w:type="dxa"/>
            <w:vAlign w:val="center"/>
          </w:tcPr>
          <w:p>
            <w:pPr>
              <w:spacing w:line="300" w:lineRule="exact"/>
              <w:jc w:val="center"/>
              <w:rPr>
                <w:rFonts w:hint="eastAsia" w:ascii="仿宋_GB2312" w:hAnsi="Times New Roman" w:eastAsia="仿宋_GB2312" w:cs="Times New Roman"/>
                <w:color w:val="auto"/>
                <w:sz w:val="24"/>
                <w:highlight w:val="red"/>
                <w:lang w:eastAsia="zh-CN"/>
              </w:rPr>
            </w:pPr>
            <w:r>
              <w:rPr>
                <w:rFonts w:ascii="仿宋_GB2312" w:hAnsi="Times New Roman" w:eastAsia="仿宋_GB2312" w:cs="Times New Roman"/>
                <w:color w:val="auto"/>
                <w:sz w:val="24"/>
                <w:highlight w:val="none"/>
              </w:rPr>
              <w:t>3</w:t>
            </w:r>
            <w:r>
              <w:rPr>
                <w:rFonts w:hint="eastAsia" w:ascii="仿宋_GB2312" w:hAnsi="Times New Roman" w:eastAsia="仿宋_GB2312" w:cs="Times New Roman"/>
                <w:color w:val="auto"/>
                <w:sz w:val="24"/>
                <w:highlight w:val="none"/>
                <w:lang w:val="en-US" w:eastAsia="zh-CN"/>
              </w:rPr>
              <w:t>1</w:t>
            </w:r>
          </w:p>
        </w:tc>
        <w:tc>
          <w:tcPr>
            <w:tcW w:w="1729" w:type="dxa"/>
            <w:vAlign w:val="center"/>
          </w:tcPr>
          <w:p>
            <w:pPr>
              <w:rPr>
                <w:rFonts w:ascii="仿宋_GB2312" w:hAnsi="Times New Roman" w:eastAsia="仿宋_GB2312" w:cs="Times New Roman"/>
                <w:color w:val="auto"/>
                <w:sz w:val="24"/>
                <w:highlight w:val="red"/>
                <w:lang w:val="en"/>
              </w:rPr>
            </w:pPr>
            <w:r>
              <w:rPr>
                <w:rFonts w:hint="eastAsia" w:ascii="仿宋_GB2312" w:hAnsi="Times New Roman" w:eastAsia="仿宋_GB2312" w:cs="Times New Roman"/>
                <w:color w:val="auto"/>
                <w:sz w:val="24"/>
                <w:lang w:val="en-US" w:eastAsia="zh-CN"/>
              </w:rPr>
              <w:t>收藏单位不符合收藏条件收藏恐龙化石的</w:t>
            </w:r>
          </w:p>
        </w:tc>
        <w:tc>
          <w:tcPr>
            <w:tcW w:w="939" w:type="dxa"/>
            <w:vAlign w:val="center"/>
          </w:tcPr>
          <w:p>
            <w:pPr>
              <w:jc w:val="center"/>
              <w:rPr>
                <w:rFonts w:hint="default" w:ascii="仿宋_GB2312" w:hAnsi="Times New Roman" w:eastAsia="仿宋_GB2312" w:cs="Times New Roman"/>
                <w:color w:val="auto"/>
                <w:sz w:val="24"/>
                <w:highlight w:val="red"/>
                <w:lang w:val="en-US" w:eastAsia="zh-CN"/>
              </w:rPr>
            </w:pPr>
          </w:p>
        </w:tc>
        <w:tc>
          <w:tcPr>
            <w:tcW w:w="5055" w:type="dxa"/>
            <w:vAlign w:val="center"/>
          </w:tcPr>
          <w:p>
            <w:pPr>
              <w:rPr>
                <w:rFonts w:ascii="仿宋_GB2312" w:hAnsi="Times New Roman" w:eastAsia="仿宋_GB2312" w:cs="Times New Roman"/>
                <w:color w:val="auto"/>
                <w:sz w:val="24"/>
                <w:lang w:val="en" w:eastAsia="zh-Hans"/>
              </w:rPr>
            </w:pPr>
            <w:r>
              <w:rPr>
                <w:rFonts w:hint="eastAsia" w:ascii="仿宋_GB2312" w:hAnsi="Times New Roman" w:eastAsia="仿宋_GB2312" w:cs="Times New Roman"/>
                <w:color w:val="auto"/>
                <w:sz w:val="24"/>
                <w:lang w:val="en" w:eastAsia="zh-Hans"/>
              </w:rPr>
              <w:t>【</w:t>
            </w:r>
            <w:r>
              <w:rPr>
                <w:rFonts w:hint="eastAsia" w:ascii="仿宋_GB2312" w:hAnsi="Times New Roman" w:eastAsia="仿宋_GB2312" w:cs="Times New Roman"/>
                <w:color w:val="auto"/>
                <w:sz w:val="24"/>
                <w:lang w:val="en-US" w:eastAsia="zh-CN"/>
              </w:rPr>
              <w:t>地方性法规</w:t>
            </w:r>
            <w:r>
              <w:rPr>
                <w:rFonts w:hint="eastAsia" w:ascii="仿宋_GB2312" w:hAnsi="Times New Roman" w:eastAsia="仿宋_GB2312" w:cs="Times New Roman"/>
                <w:color w:val="auto"/>
                <w:sz w:val="24"/>
                <w:lang w:val="en" w:eastAsia="zh-Hans"/>
              </w:rPr>
              <w:t>】</w:t>
            </w:r>
          </w:p>
          <w:p>
            <w:pPr>
              <w:rPr>
                <w:rFonts w:ascii="仿宋_GB2312" w:hAnsi="Times New Roman" w:eastAsia="仿宋_GB2312" w:cs="Times New Roman"/>
                <w:color w:val="auto"/>
                <w:sz w:val="24"/>
                <w:highlight w:val="red"/>
                <w:lang w:val="en"/>
              </w:rPr>
            </w:pPr>
            <w:r>
              <w:rPr>
                <w:rFonts w:hint="eastAsia" w:ascii="仿宋_GB2312" w:hAnsi="Times New Roman" w:eastAsia="仿宋_GB2312" w:cs="Times New Roman"/>
                <w:color w:val="auto"/>
                <w:sz w:val="24"/>
                <w:lang w:val="en-US" w:eastAsia="zh-CN"/>
              </w:rPr>
              <w:t>1.《河源市恐龙地质遗迹保护条例》第十八条第一款、第三十一条</w:t>
            </w:r>
          </w:p>
        </w:tc>
        <w:tc>
          <w:tcPr>
            <w:tcW w:w="3576" w:type="dxa"/>
            <w:vAlign w:val="center"/>
          </w:tcPr>
          <w:p>
            <w:pPr>
              <w:rPr>
                <w:rFonts w:ascii="仿宋_GB2312" w:hAnsi="Times New Roman" w:eastAsia="仿宋_GB2312" w:cs="Times New Roman"/>
                <w:color w:val="auto"/>
                <w:sz w:val="24"/>
                <w:highlight w:val="red"/>
                <w:lang w:eastAsia="zh-Hans"/>
              </w:rPr>
            </w:pPr>
            <w:r>
              <w:rPr>
                <w:rFonts w:hint="eastAsia" w:ascii="仿宋_GB2312" w:hAnsi="Times New Roman" w:eastAsia="仿宋_GB2312" w:cs="Times New Roman"/>
                <w:color w:val="auto"/>
                <w:sz w:val="24"/>
                <w:lang w:val="en-US" w:eastAsia="zh-CN"/>
              </w:rPr>
              <w:t>违法行为轻微，积极配合查处工作，及时改正，没有造成危害后果</w:t>
            </w:r>
          </w:p>
        </w:tc>
        <w:tc>
          <w:tcPr>
            <w:tcW w:w="1224" w:type="dxa"/>
            <w:vAlign w:val="center"/>
          </w:tcPr>
          <w:p>
            <w:pPr>
              <w:spacing w:line="300" w:lineRule="exact"/>
              <w:jc w:val="both"/>
              <w:rPr>
                <w:rFonts w:ascii="仿宋_GB2312" w:hAnsi="Times New Roman" w:eastAsia="仿宋_GB2312" w:cs="Times New Roman"/>
                <w:color w:val="auto"/>
                <w:sz w:val="24"/>
                <w:highlight w:val="red"/>
              </w:rPr>
            </w:pPr>
            <w:r>
              <w:rPr>
                <w:rFonts w:hint="eastAsia" w:ascii="仿宋_GB2312" w:hAnsi="Times New Roman" w:eastAsia="仿宋_GB2312" w:cs="Times New Roman"/>
                <w:color w:val="auto"/>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auto"/>
                <w:sz w:val="24"/>
                <w:highlight w:val="red"/>
              </w:rPr>
            </w:pPr>
            <w:r>
              <w:rPr>
                <w:rFonts w:hint="eastAsia" w:ascii="仿宋_GB2312" w:hAnsi="Times New Roman" w:eastAsia="仿宋_GB2312" w:cs="Times New Roman"/>
                <w:color w:val="auto"/>
                <w:sz w:val="24"/>
              </w:rPr>
              <w:t>加强教育，及时复查整改情况、加强行政检查</w:t>
            </w:r>
          </w:p>
        </w:tc>
      </w:tr>
    </w:tbl>
    <w:p>
      <w:pPr>
        <w:widowControl/>
        <w:jc w:val="left"/>
        <w:rPr>
          <w:rFonts w:hint="eastAsia" w:ascii="方正小标宋简体" w:hAnsi="方正小标宋简体" w:eastAsia="方正小标宋简体" w:cs="方正小标宋简体"/>
          <w:bCs/>
          <w:color w:val="000000"/>
          <w:sz w:val="32"/>
          <w:szCs w:val="32"/>
        </w:rPr>
      </w:pPr>
      <w:r>
        <w:rPr>
          <w:rFonts w:ascii="方正小标宋简体" w:hAnsi="方正小标宋简体" w:eastAsia="方正小标宋简体" w:cs="方正小标宋简体"/>
          <w:bCs/>
          <w:color w:val="000000"/>
          <w:sz w:val="32"/>
          <w:szCs w:val="32"/>
        </w:rPr>
        <w:br w:type="page"/>
      </w: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从轻处罚清单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668"/>
        <w:gridCol w:w="1021"/>
        <w:gridCol w:w="4943"/>
        <w:gridCol w:w="2117"/>
        <w:gridCol w:w="1093"/>
        <w:gridCol w:w="208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blHeader/>
        </w:trPr>
        <w:tc>
          <w:tcPr>
            <w:tcW w:w="62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668"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21"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943"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设定依据</w:t>
            </w:r>
          </w:p>
        </w:tc>
        <w:tc>
          <w:tcPr>
            <w:tcW w:w="211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从轻处罚适用情形</w:t>
            </w:r>
          </w:p>
        </w:tc>
        <w:tc>
          <w:tcPr>
            <w:tcW w:w="10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从轻处罚适用依据</w:t>
            </w:r>
          </w:p>
        </w:tc>
        <w:tc>
          <w:tcPr>
            <w:tcW w:w="2080"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52"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从轻处罚后监管措施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668"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未经批准或者采取欺骗手段骗取批准，非法占用土地</w:t>
            </w:r>
          </w:p>
        </w:tc>
        <w:tc>
          <w:tcPr>
            <w:tcW w:w="1021" w:type="dxa"/>
            <w:vMerge w:val="restart"/>
            <w:vAlign w:val="center"/>
          </w:tcPr>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004000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hint="eastAsia" w:ascii="仿宋_GB2312" w:hAnsi="Times New Roman" w:eastAsia="仿宋_GB2312" w:cs="Times New Roman"/>
                <w:color w:val="000000"/>
                <w:sz w:val="24"/>
              </w:rPr>
              <w:t>第七十七条第一款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2.《基本农田保护条例》（2011年修订）第三十条第一项</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1.《广东省土地管理条例》（2022年）</w:t>
            </w:r>
            <w:r>
              <w:rPr>
                <w:rFonts w:hint="eastAsia" w:ascii="仿宋_GB2312" w:hAnsi="Times New Roman" w:eastAsia="仿宋_GB2312" w:cs="Times New Roman"/>
                <w:color w:val="000000"/>
                <w:sz w:val="24"/>
                <w:lang w:eastAsia="zh-CN"/>
              </w:rPr>
              <w:t>第二十四条、第二十五条、</w:t>
            </w:r>
            <w:r>
              <w:rPr>
                <w:rFonts w:hint="eastAsia" w:ascii="仿宋_GB2312" w:hAnsi="Times New Roman" w:eastAsia="仿宋_GB2312" w:cs="Times New Roman"/>
                <w:color w:val="000000"/>
                <w:sz w:val="24"/>
              </w:rPr>
              <w:t>第五十二条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US" w:eastAsia="zh-CN"/>
              </w:rPr>
              <w:t>2.</w:t>
            </w:r>
            <w:r>
              <w:rPr>
                <w:rFonts w:hint="eastAsia" w:ascii="仿宋_GB2312" w:hAnsi="Times New Roman" w:eastAsia="仿宋_GB2312" w:cs="Times New Roman"/>
                <w:color w:val="000000"/>
                <w:sz w:val="24"/>
              </w:rPr>
              <w:t>《广东省基本农田保护区管理条例》（2014年修正）第二十二条第一款第一项</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668"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highlight w:val="none"/>
              </w:rPr>
              <w:t>超过批准的数量占用土地</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p>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01J000</w:t>
            </w:r>
          </w:p>
          <w:p>
            <w:pPr>
              <w:jc w:val="center"/>
              <w:rPr>
                <w:rFonts w:hint="eastAsia" w:ascii="仿宋_GB2312" w:hAnsi="Times New Roman" w:eastAsia="仿宋_GB2312" w:cs="Times New Roman"/>
                <w:color w:val="000000"/>
                <w:sz w:val="24"/>
                <w:lang w:eastAsia="zh-CN"/>
              </w:rPr>
            </w:pPr>
          </w:p>
        </w:tc>
        <w:tc>
          <w:tcPr>
            <w:tcW w:w="4943"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ascii="仿宋_GB2312" w:hAnsi="Times New Roman" w:eastAsia="仿宋_GB2312" w:cs="Times New Roman"/>
                <w:color w:val="000000"/>
                <w:sz w:val="24"/>
              </w:rPr>
              <w:t>第七十七条</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1.《土地管理法实施条例》（2021年修订）第五十七条第一款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2.《基本农田保护条例》（2011年修订）第三十条第一项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1.《广东省土地管理条例》（2022年）第五十二条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2.《广东省基本农田保护区管理条例》（2014年修正）第二十二条第一款第一项 </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restart"/>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668"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在国土空间规划确定的禁止开垦的范围内从事土地开发活动</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009000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rPr>
              <w:t>1.《土地管理法》（2019年修正）第七十七条</w:t>
            </w:r>
            <w:r>
              <w:rPr>
                <w:rFonts w:hint="eastAsia" w:ascii="仿宋_GB2312" w:hAnsi="Times New Roman" w:eastAsia="仿宋_GB2312" w:cs="Times New Roman"/>
                <w:color w:val="000000"/>
                <w:sz w:val="24"/>
                <w:lang w:eastAsia="zh-CN"/>
              </w:rPr>
              <w:t>第一款</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 xml:space="preserve">1.《土地管理法实施条例》（2021年修订）第九条第一款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2.《土地管理法实施条例》（2021年修订）第五十七条</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接受调查的单位和个人拒绝或者阻挠土地调查人员依法进行调查</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第三十二条第一项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积极配合土地调查</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接受调查的单位和个人拒绝提供调查资料</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第三十二条第三项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积极配合提供调查资料</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在地质灾害危险区内爆破、削坡、进行工程建设以及从事其他可能引发地质灾害活动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045000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1.《地质灾害防治条例》（2003年）</w:t>
            </w:r>
            <w:r>
              <w:rPr>
                <w:rFonts w:hint="eastAsia" w:ascii="仿宋_GB2312" w:hAnsi="Times New Roman" w:eastAsia="仿宋_GB2312" w:cs="Times New Roman"/>
                <w:color w:val="000000"/>
                <w:sz w:val="24"/>
                <w:lang w:val="en-US" w:eastAsia="zh-CN"/>
              </w:rPr>
              <w:t>第十九条第二款、</w:t>
            </w:r>
            <w:r>
              <w:rPr>
                <w:rFonts w:ascii="仿宋_GB2312" w:hAnsi="Times New Roman" w:eastAsia="仿宋_GB2312" w:cs="Times New Roman"/>
                <w:color w:val="000000"/>
                <w:sz w:val="24"/>
              </w:rPr>
              <w:t xml:space="preserve">第四十三条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1.《广东省矿产资源管理条例》（2012年修正）第六十二条第一项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依法对他人进行赔偿，</w:t>
            </w:r>
            <w:r>
              <w:rPr>
                <w:rFonts w:hint="eastAsia" w:ascii="仿宋_GB2312" w:hAnsi="Times New Roman" w:eastAsia="仿宋_GB2312" w:cs="Times New Roman"/>
                <w:color w:val="000000"/>
                <w:sz w:val="24"/>
                <w:lang w:eastAsia="zh-CN"/>
              </w:rPr>
              <w:t>没有实际引发灾情险情</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对单位处5万元（含）以上8万元以下罚款；对个人处1万元（含）以上2万元以下罚款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损毁、擅自移动永久性测量标志或者正在使用中的临时性测量标志</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第六十四条第一项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1.《测量标志保护条例》（2011年修订）第二十二条第一项</w:t>
            </w:r>
          </w:p>
        </w:tc>
        <w:tc>
          <w:tcPr>
            <w:tcW w:w="211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及时采取措施维修、归位测量标志，测量标志</w:t>
            </w:r>
            <w:r>
              <w:rPr>
                <w:rFonts w:hint="eastAsia" w:ascii="仿宋_GB2312" w:hAnsi="Times New Roman" w:eastAsia="仿宋_GB2312" w:cs="Times New Roman"/>
                <w:color w:val="000000"/>
                <w:sz w:val="24"/>
                <w:lang w:eastAsia="zh-CN"/>
              </w:rPr>
              <w:t>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8</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侵占永久性测量标志用地</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第六十四条第二项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1.《测量标志保护条例》（2011年修订）第二十二条第二项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及时采取措施恢复测量标志用地，测量标志未失去使用效能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在永久性测量标志安全控制范围内从事危害测量标志安全和使用效能的活动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第六十四条第三项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1.《测量标志保护条例》（2011年修订）第二十二条第三项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及时采取措施恢复测量标志安全和使用效能，测量标志未失去使用效能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擅自拆迁永久性测量标志或者使永久性量标志失去使用效能，或者拒绝支付迁建费用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第四十三条、</w:t>
            </w:r>
            <w:r>
              <w:rPr>
                <w:rFonts w:ascii="仿宋_GB2312" w:hAnsi="Times New Roman" w:eastAsia="仿宋_GB2312" w:cs="Times New Roman"/>
                <w:color w:val="000000"/>
                <w:sz w:val="24"/>
              </w:rPr>
              <w:t>第六十四条第四项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及时采取措施迁建测量标志，恢复测量标志使用效能，测量标志未失去使用效能</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rPr>
              <w:t>或者按照规定支付迁建费</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违反操作规程使用永久性测量标志，造成永久性测量标志毁损</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eastAsia="zh-CN"/>
              </w:rPr>
              <w:t>第四十四条、</w:t>
            </w:r>
            <w:r>
              <w:rPr>
                <w:rFonts w:ascii="仿宋_GB2312" w:hAnsi="Times New Roman" w:eastAsia="仿宋_GB2312" w:cs="Times New Roman"/>
                <w:color w:val="000000"/>
                <w:sz w:val="24"/>
              </w:rPr>
              <w:t>第六十四条第五项</w:t>
            </w:r>
          </w:p>
        </w:tc>
        <w:tc>
          <w:tcPr>
            <w:tcW w:w="2117" w:type="dxa"/>
            <w:vAlign w:val="center"/>
          </w:tcPr>
          <w:p>
            <w:pPr>
              <w:rPr>
                <w:rFonts w:ascii="仿宋_GB2312" w:hAnsi="Times New Roman" w:eastAsia="仿宋_GB2312" w:cs="Times New Roman"/>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621" w:type="dxa"/>
            <w:vAlign w:val="center"/>
          </w:tcPr>
          <w:p>
            <w:pPr>
              <w:jc w:val="center"/>
              <w:rPr>
                <w:rFonts w:hint="default" w:ascii="仿宋_GB2312" w:hAnsi="Times New Roman" w:eastAsia="仿宋_GB2312" w:cs="Times New Roman"/>
                <w:color w:val="0000FF"/>
                <w:sz w:val="24"/>
                <w:lang w:val="en-US" w:eastAsia="zh-CN"/>
              </w:rPr>
            </w:pPr>
            <w:r>
              <w:rPr>
                <w:rFonts w:hint="eastAsia" w:ascii="仿宋_GB2312" w:hAnsi="Times New Roman" w:eastAsia="仿宋_GB2312" w:cs="Times New Roman"/>
                <w:color w:val="auto"/>
                <w:sz w:val="24"/>
                <w:lang w:val="en-US" w:eastAsia="zh-CN"/>
              </w:rPr>
              <w:t>12</w:t>
            </w:r>
          </w:p>
        </w:tc>
        <w:tc>
          <w:tcPr>
            <w:tcW w:w="1668" w:type="dxa"/>
            <w:vAlign w:val="center"/>
          </w:tcPr>
          <w:p>
            <w:pPr>
              <w:rPr>
                <w:rFonts w:hint="default" w:ascii="仿宋_GB2312" w:hAnsi="Times New Roman" w:eastAsia="仿宋_GB2312" w:cs="Times New Roman"/>
                <w:color w:val="auto"/>
                <w:sz w:val="24"/>
                <w:lang w:val="en-US" w:eastAsia="zh-CN"/>
              </w:rPr>
            </w:pPr>
            <w:r>
              <w:rPr>
                <w:rFonts w:hint="eastAsia" w:ascii="仿宋_GB2312" w:hAnsi="Times New Roman" w:eastAsia="仿宋_GB2312" w:cs="Times New Roman"/>
                <w:color w:val="auto"/>
                <w:sz w:val="24"/>
                <w:lang w:val="en-US" w:eastAsia="zh-CN"/>
              </w:rPr>
              <w:t>单位或者个人在生产、建设等活动中发现恐龙化石不报告的</w:t>
            </w:r>
          </w:p>
        </w:tc>
        <w:tc>
          <w:tcPr>
            <w:tcW w:w="1021" w:type="dxa"/>
            <w:vAlign w:val="center"/>
          </w:tcPr>
          <w:p>
            <w:pPr>
              <w:jc w:val="center"/>
              <w:rPr>
                <w:rFonts w:hint="eastAsia" w:ascii="仿宋_GB2312" w:hAnsi="Times New Roman" w:eastAsia="仿宋_GB2312" w:cs="Times New Roman"/>
                <w:color w:val="auto"/>
                <w:sz w:val="24"/>
                <w:lang w:val="en-US" w:eastAsia="zh-CN"/>
              </w:rPr>
            </w:pPr>
          </w:p>
        </w:tc>
        <w:tc>
          <w:tcPr>
            <w:tcW w:w="4943" w:type="dxa"/>
            <w:vAlign w:val="center"/>
          </w:tcPr>
          <w:p>
            <w:pPr>
              <w:rPr>
                <w:rFonts w:ascii="仿宋_GB2312" w:hAnsi="Times New Roman" w:eastAsia="仿宋_GB2312" w:cs="Times New Roman"/>
                <w:color w:val="auto"/>
                <w:sz w:val="24"/>
                <w:lang w:val="en" w:eastAsia="zh-Hans"/>
              </w:rPr>
            </w:pPr>
            <w:r>
              <w:rPr>
                <w:rFonts w:hint="eastAsia" w:ascii="仿宋_GB2312" w:hAnsi="Times New Roman" w:eastAsia="仿宋_GB2312" w:cs="Times New Roman"/>
                <w:color w:val="auto"/>
                <w:sz w:val="24"/>
                <w:lang w:val="en" w:eastAsia="zh-Hans"/>
              </w:rPr>
              <w:t>【</w:t>
            </w:r>
            <w:r>
              <w:rPr>
                <w:rFonts w:hint="eastAsia" w:ascii="仿宋_GB2312" w:hAnsi="Times New Roman" w:eastAsia="仿宋_GB2312" w:cs="Times New Roman"/>
                <w:color w:val="auto"/>
                <w:sz w:val="24"/>
                <w:lang w:val="en-US" w:eastAsia="zh-CN"/>
              </w:rPr>
              <w:t>地方性法规</w:t>
            </w:r>
            <w:r>
              <w:rPr>
                <w:rFonts w:hint="eastAsia" w:ascii="仿宋_GB2312" w:hAnsi="Times New Roman" w:eastAsia="仿宋_GB2312" w:cs="Times New Roman"/>
                <w:color w:val="auto"/>
                <w:sz w:val="24"/>
                <w:lang w:val="en" w:eastAsia="zh-Hans"/>
              </w:rPr>
              <w:t>】</w:t>
            </w:r>
          </w:p>
          <w:p>
            <w:pPr>
              <w:rPr>
                <w:rFonts w:ascii="仿宋_GB2312" w:hAnsi="Times New Roman" w:eastAsia="仿宋_GB2312" w:cs="Times New Roman"/>
                <w:color w:val="auto"/>
                <w:sz w:val="24"/>
              </w:rPr>
            </w:pPr>
            <w:r>
              <w:rPr>
                <w:rFonts w:hint="eastAsia" w:ascii="仿宋_GB2312" w:hAnsi="Times New Roman" w:eastAsia="仿宋_GB2312" w:cs="Times New Roman"/>
                <w:color w:val="auto"/>
                <w:sz w:val="24"/>
                <w:lang w:val="en-US" w:eastAsia="zh-CN"/>
              </w:rPr>
              <w:t>1.《河源市恐龙地质遗迹保护条例》第十三条第一款、第二十九条</w:t>
            </w:r>
          </w:p>
        </w:tc>
        <w:tc>
          <w:tcPr>
            <w:tcW w:w="2117" w:type="dxa"/>
            <w:vAlign w:val="center"/>
          </w:tcPr>
          <w:p>
            <w:pPr>
              <w:rPr>
                <w:rFonts w:hint="default" w:ascii="仿宋_GB2312" w:hAnsi="Times New Roman" w:eastAsia="仿宋_GB2312" w:cs="Times New Roman"/>
                <w:color w:val="auto"/>
                <w:sz w:val="24"/>
                <w:lang w:val="en-US" w:eastAsia="zh-CN"/>
              </w:rPr>
            </w:pPr>
            <w:r>
              <w:rPr>
                <w:rFonts w:hint="eastAsia" w:ascii="仿宋_GB2312" w:hAnsi="Times New Roman" w:eastAsia="仿宋_GB2312" w:cs="Times New Roman"/>
                <w:color w:val="auto"/>
                <w:sz w:val="24"/>
                <w:lang w:eastAsia="zh-CN"/>
              </w:rPr>
              <w:t>积极配合查处工作，主动停止违法行为，主动采取措施消除或减轻危害后果，</w:t>
            </w:r>
            <w:r>
              <w:rPr>
                <w:rFonts w:hint="eastAsia" w:ascii="仿宋_GB2312" w:hAnsi="Times New Roman" w:eastAsia="仿宋_GB2312" w:cs="Times New Roman"/>
                <w:color w:val="auto"/>
                <w:sz w:val="24"/>
                <w:lang w:val="en-US" w:eastAsia="zh-CN"/>
              </w:rPr>
              <w:t>积极报告，恐龙化石现场未受到破坏</w:t>
            </w:r>
          </w:p>
        </w:tc>
        <w:tc>
          <w:tcPr>
            <w:tcW w:w="1093" w:type="dxa"/>
            <w:vAlign w:val="center"/>
          </w:tcPr>
          <w:p>
            <w:pPr>
              <w:jc w:val="left"/>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《行政处罚法》（2021年修订）第三十二条</w:t>
            </w:r>
          </w:p>
        </w:tc>
        <w:tc>
          <w:tcPr>
            <w:tcW w:w="2080" w:type="dxa"/>
            <w:vAlign w:val="center"/>
          </w:tcPr>
          <w:p>
            <w:pPr>
              <w:rPr>
                <w:rFonts w:hint="default" w:ascii="仿宋_GB2312" w:hAnsi="Times New Roman" w:eastAsia="仿宋_GB2312" w:cs="Times New Roman"/>
                <w:color w:val="auto"/>
                <w:sz w:val="24"/>
                <w:lang w:val="en-US" w:eastAsia="zh-CN"/>
              </w:rPr>
            </w:pPr>
            <w:r>
              <w:rPr>
                <w:rFonts w:hint="eastAsia" w:ascii="仿宋_GB2312" w:hAnsi="Times New Roman" w:eastAsia="仿宋_GB2312" w:cs="Times New Roman"/>
                <w:color w:val="auto"/>
                <w:sz w:val="24"/>
                <w:lang w:val="en-US" w:eastAsia="zh-CN"/>
              </w:rPr>
              <w:t>处1万元以下的罚款</w:t>
            </w:r>
          </w:p>
        </w:tc>
        <w:tc>
          <w:tcPr>
            <w:tcW w:w="1352" w:type="dxa"/>
            <w:vAlign w:val="center"/>
          </w:tcPr>
          <w:p>
            <w:pPr>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加强教育、及时复查、警示告诫、指导约谈</w:t>
            </w:r>
          </w:p>
        </w:tc>
      </w:tr>
    </w:tbl>
    <w:p>
      <w:pPr>
        <w:rPr>
          <w:rFonts w:ascii="方正小标宋简体" w:hAnsi="方正小标宋简体" w:eastAsia="方正小标宋简体" w:cs="方正小标宋简体"/>
          <w:bCs/>
          <w:color w:val="000000"/>
          <w:sz w:val="32"/>
          <w:szCs w:val="32"/>
        </w:rPr>
      </w:pPr>
    </w:p>
    <w:p>
      <w:pP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br w:type="page"/>
      </w:r>
    </w:p>
    <w:p>
      <w:pPr>
        <w:widowControl/>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减轻处罚清单</w:t>
      </w:r>
    </w:p>
    <w:tbl>
      <w:tblPr>
        <w:tblStyle w:val="6"/>
        <w:tblW w:w="14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595"/>
        <w:gridCol w:w="1059"/>
        <w:gridCol w:w="4865"/>
        <w:gridCol w:w="2393"/>
        <w:gridCol w:w="1594"/>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656"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59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59"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86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减轻处罚适用条件</w:t>
            </w:r>
          </w:p>
        </w:tc>
        <w:tc>
          <w:tcPr>
            <w:tcW w:w="159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36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67"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减轻处罚后监管措施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59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在临时使用的土地上修建永久性建筑物、构筑物</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010000</w:t>
            </w:r>
          </w:p>
        </w:tc>
        <w:tc>
          <w:tcPr>
            <w:tcW w:w="486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1.《土地管理法》（2019年修正）第五十七条第二款</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1.《土地管理法实施条例》（2021年修订）第五十二条</w:t>
            </w:r>
          </w:p>
        </w:tc>
        <w:tc>
          <w:tcPr>
            <w:tcW w:w="2393"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积极配合查处工作，主动停止违法行为，主动采取措施消除或减轻危害后果，及时</w:t>
            </w:r>
            <w:r>
              <w:rPr>
                <w:rFonts w:hint="eastAsia" w:ascii="仿宋_GB2312" w:hAnsi="Times New Roman" w:eastAsia="仿宋_GB2312" w:cs="Times New Roman"/>
                <w:color w:val="000000"/>
                <w:sz w:val="24"/>
              </w:rPr>
              <w:t>拆除修建的永久性建筑物、构筑物</w:t>
            </w:r>
          </w:p>
        </w:tc>
        <w:tc>
          <w:tcPr>
            <w:tcW w:w="1594"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按占用面积处土地复垦费5倍以下的罚款</w:t>
            </w:r>
          </w:p>
        </w:tc>
        <w:tc>
          <w:tcPr>
            <w:tcW w:w="136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595" w:type="dxa"/>
            <w:vAlign w:val="center"/>
          </w:tcPr>
          <w:p>
            <w:pPr>
              <w:rPr>
                <w:rFonts w:ascii="仿宋_GB2312" w:hAnsi="Times New Roman" w:eastAsia="仿宋_GB2312" w:cs="Times New Roman"/>
                <w:color w:val="000000"/>
                <w:sz w:val="24"/>
              </w:rPr>
            </w:pPr>
            <w:bookmarkStart w:id="0" w:name="_GoBack"/>
            <w:r>
              <w:rPr>
                <w:rFonts w:ascii="仿宋_GB2312" w:hAnsi="Times New Roman" w:eastAsia="仿宋_GB2312" w:cs="Times New Roman"/>
                <w:color w:val="000000"/>
                <w:sz w:val="24"/>
                <w:highlight w:val="none"/>
              </w:rPr>
              <w:t>矿山企业未达到经依法审查确定的开采回采率、选矿回收率、共伴生矿产综合利用率和土地复垦等指标</w:t>
            </w:r>
            <w:bookmarkEnd w:id="0"/>
          </w:p>
        </w:tc>
        <w:tc>
          <w:tcPr>
            <w:tcW w:w="105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00G000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r>
              <w:rPr>
                <w:rFonts w:ascii="仿宋_GB2312" w:hAnsi="Times New Roman" w:eastAsia="仿宋_GB2312" w:cs="Times New Roman"/>
                <w:color w:val="000000"/>
                <w:sz w:val="24"/>
              </w:rPr>
              <w:br w:type="textWrapping"/>
            </w:r>
            <w:r>
              <w:rPr>
                <w:rFonts w:ascii="仿宋_GB2312" w:hAnsi="Times New Roman" w:eastAsia="仿宋_GB2312" w:cs="Times New Roman"/>
                <w:color w:val="000000"/>
                <w:sz w:val="24"/>
              </w:rPr>
              <w:t>1.《循环经济促进法》（2018年修正）</w:t>
            </w:r>
            <w:r>
              <w:rPr>
                <w:rFonts w:hint="eastAsia" w:ascii="仿宋_GB2312" w:hAnsi="Times New Roman" w:eastAsia="仿宋_GB2312" w:cs="Times New Roman"/>
                <w:color w:val="000000"/>
                <w:sz w:val="24"/>
                <w:lang w:val="en-US" w:eastAsia="zh-CN"/>
              </w:rPr>
              <w:t>第二十二条、</w:t>
            </w:r>
            <w:r>
              <w:rPr>
                <w:rFonts w:ascii="仿宋_GB2312" w:hAnsi="Times New Roman" w:eastAsia="仿宋_GB2312" w:cs="Times New Roman"/>
                <w:color w:val="000000"/>
                <w:sz w:val="24"/>
              </w:rPr>
              <w:t>第五十三条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主动采取措施提升有关指标使其符合规定</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处5万元以下罚款</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59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卫星导航定位基准站的建设和运行维护不符合国家标准、要求</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073000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第十四条、</w:t>
            </w:r>
            <w:r>
              <w:rPr>
                <w:rFonts w:ascii="仿宋_GB2312" w:hAnsi="Times New Roman" w:eastAsia="仿宋_GB2312" w:cs="Times New Roman"/>
                <w:color w:val="000000"/>
                <w:sz w:val="24"/>
              </w:rPr>
              <w:t>第五十四条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及时改正，积极采取改进基准站、拆除基准站、或者销毁测绘成果等措施</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处30万元以下罚款</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bl>
    <w:p>
      <w:pPr>
        <w:widowControl/>
        <w:jc w:val="left"/>
        <w:rPr>
          <w:rFonts w:ascii="方正小标宋简体" w:hAnsi="方正小标宋简体" w:eastAsia="方正小标宋简体" w:cs="方正小标宋简体"/>
          <w:bCs/>
          <w:color w:val="000000"/>
          <w:sz w:val="32"/>
          <w:szCs w:val="32"/>
        </w:rPr>
      </w:pPr>
    </w:p>
    <w:p>
      <w:pPr>
        <w:jc w:val="center"/>
        <w:rPr>
          <w:rFonts w:ascii="方正小标宋简体" w:hAnsi="方正小标宋简体" w:eastAsia="方正小标宋简体" w:cs="方正小标宋简体"/>
          <w:bCs/>
          <w:color w:val="000000"/>
          <w:sz w:val="32"/>
          <w:szCs w:val="32"/>
        </w:rPr>
      </w:pP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免强制清单</w:t>
      </w:r>
    </w:p>
    <w:tbl>
      <w:tblPr>
        <w:tblStyle w:val="6"/>
        <w:tblW w:w="14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2381"/>
        <w:gridCol w:w="2381"/>
        <w:gridCol w:w="2381"/>
        <w:gridCol w:w="2381"/>
        <w:gridCol w:w="238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2"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2381"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rPr>
              <w:t>事项名称</w:t>
            </w:r>
          </w:p>
        </w:tc>
        <w:tc>
          <w:tcPr>
            <w:tcW w:w="238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lang w:eastAsia="zh-CN"/>
              </w:rPr>
              <w:t>基本编码</w:t>
            </w:r>
          </w:p>
        </w:tc>
        <w:tc>
          <w:tcPr>
            <w:tcW w:w="2381"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81"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免强制适用条件</w:t>
            </w:r>
          </w:p>
        </w:tc>
        <w:tc>
          <w:tcPr>
            <w:tcW w:w="2381"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免强制适用依据</w:t>
            </w:r>
          </w:p>
        </w:tc>
        <w:tc>
          <w:tcPr>
            <w:tcW w:w="2381"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免强制后监管措施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22" w:type="dxa"/>
            <w:vAlign w:val="center"/>
          </w:tcPr>
          <w:p>
            <w:pPr>
              <w:spacing w:line="300" w:lineRule="exact"/>
              <w:jc w:val="center"/>
              <w:rPr>
                <w:rFonts w:hint="eastAsia" w:ascii="黑体" w:hAnsi="黑体" w:eastAsia="黑体" w:cs="黑体"/>
                <w:color w:val="000000"/>
                <w:sz w:val="24"/>
                <w:szCs w:val="16"/>
              </w:rPr>
            </w:pPr>
            <w:r>
              <w:rPr>
                <w:rFonts w:hint="eastAsia" w:ascii="仿宋_GB2312" w:hAnsi="Times New Roman" w:eastAsia="仿宋_GB2312" w:cs="Times New Roman"/>
                <w:color w:val="000000"/>
                <w:sz w:val="24"/>
              </w:rPr>
              <w:t>无</w:t>
            </w:r>
          </w:p>
        </w:tc>
        <w:tc>
          <w:tcPr>
            <w:tcW w:w="2381" w:type="dxa"/>
            <w:vAlign w:val="center"/>
          </w:tcPr>
          <w:p>
            <w:pPr>
              <w:spacing w:line="300" w:lineRule="exact"/>
              <w:jc w:val="center"/>
              <w:rPr>
                <w:rFonts w:hint="eastAsia" w:ascii="仿宋_GB2312" w:hAnsi="Times New Roman" w:eastAsia="仿宋_GB2312" w:cs="Times New Roman"/>
                <w:color w:val="000000"/>
                <w:sz w:val="24"/>
              </w:rPr>
            </w:pPr>
          </w:p>
        </w:tc>
        <w:tc>
          <w:tcPr>
            <w:tcW w:w="2381" w:type="dxa"/>
            <w:vAlign w:val="center"/>
          </w:tcPr>
          <w:p>
            <w:pPr>
              <w:spacing w:line="300" w:lineRule="exact"/>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tcPr>
          <w:p>
            <w:pPr>
              <w:jc w:val="center"/>
              <w:rPr>
                <w:rFonts w:hint="eastAsia" w:ascii="黑体" w:hAnsi="黑体" w:eastAsia="黑体" w:cs="黑体"/>
                <w:color w:val="000000"/>
                <w:sz w:val="24"/>
                <w:szCs w:val="16"/>
              </w:rPr>
            </w:pPr>
          </w:p>
        </w:tc>
      </w:tr>
    </w:tbl>
    <w:p>
      <w:pPr>
        <w:spacing w:line="300" w:lineRule="exact"/>
        <w:rPr>
          <w:rFonts w:ascii="仿宋_GB2312"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注：除本清单列举的事项之外，符合《广东省自然资源行政处罚自由裁量权实施办法》第九条、第十条规定的不予处罚、从轻或者减轻处罚情形的，依法不予处罚、从轻或者减轻处罚。</w:t>
      </w:r>
    </w:p>
    <w:sectPr>
      <w:footerReference r:id="rId3" w:type="default"/>
      <w:pgSz w:w="16838" w:h="11906" w:orient="landscape"/>
      <w:pgMar w:top="1021" w:right="1077" w:bottom="1021" w:left="107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NWI0MmU4YzkyNzhlOTU5ZjFkNGM0MmRiZTA5ZTIifQ=="/>
  </w:docVars>
  <w:rsids>
    <w:rsidRoot w:val="489C6D45"/>
    <w:rsid w:val="00054456"/>
    <w:rsid w:val="000628F7"/>
    <w:rsid w:val="00220E94"/>
    <w:rsid w:val="002806AD"/>
    <w:rsid w:val="002A6B1E"/>
    <w:rsid w:val="003427E1"/>
    <w:rsid w:val="003B07E8"/>
    <w:rsid w:val="003C6B75"/>
    <w:rsid w:val="00435004"/>
    <w:rsid w:val="004622B8"/>
    <w:rsid w:val="004A0560"/>
    <w:rsid w:val="0056144A"/>
    <w:rsid w:val="005B67C4"/>
    <w:rsid w:val="006429A9"/>
    <w:rsid w:val="00C43189"/>
    <w:rsid w:val="00CB45A9"/>
    <w:rsid w:val="00D2572F"/>
    <w:rsid w:val="00DF5F54"/>
    <w:rsid w:val="00E52C5D"/>
    <w:rsid w:val="00E86E09"/>
    <w:rsid w:val="00ED4146"/>
    <w:rsid w:val="00F526CA"/>
    <w:rsid w:val="0C3C77C2"/>
    <w:rsid w:val="0F7200CA"/>
    <w:rsid w:val="0FE10CF7"/>
    <w:rsid w:val="0FEF7C96"/>
    <w:rsid w:val="110F7B9B"/>
    <w:rsid w:val="125C71A2"/>
    <w:rsid w:val="132868F4"/>
    <w:rsid w:val="1833261C"/>
    <w:rsid w:val="19C33717"/>
    <w:rsid w:val="1A794CEA"/>
    <w:rsid w:val="1B9211AC"/>
    <w:rsid w:val="1CDD20D3"/>
    <w:rsid w:val="1E6765EE"/>
    <w:rsid w:val="1F27AFC7"/>
    <w:rsid w:val="2BD703BE"/>
    <w:rsid w:val="2E9D8AA7"/>
    <w:rsid w:val="30156716"/>
    <w:rsid w:val="30A9101A"/>
    <w:rsid w:val="35237360"/>
    <w:rsid w:val="38FC3089"/>
    <w:rsid w:val="391151EF"/>
    <w:rsid w:val="3B631B62"/>
    <w:rsid w:val="3CA408E8"/>
    <w:rsid w:val="3D7547B0"/>
    <w:rsid w:val="3ED23E32"/>
    <w:rsid w:val="3FD01CFE"/>
    <w:rsid w:val="40846392"/>
    <w:rsid w:val="45732F87"/>
    <w:rsid w:val="47CA7D9C"/>
    <w:rsid w:val="489C6D45"/>
    <w:rsid w:val="48C83A1D"/>
    <w:rsid w:val="498B70B7"/>
    <w:rsid w:val="4B136938"/>
    <w:rsid w:val="4DBB246B"/>
    <w:rsid w:val="4DBDE279"/>
    <w:rsid w:val="4DF76D31"/>
    <w:rsid w:val="4EA10F5B"/>
    <w:rsid w:val="4F8FBBB7"/>
    <w:rsid w:val="53AE130E"/>
    <w:rsid w:val="54126B22"/>
    <w:rsid w:val="560C332E"/>
    <w:rsid w:val="5634013B"/>
    <w:rsid w:val="59F60752"/>
    <w:rsid w:val="5AE024B3"/>
    <w:rsid w:val="5B06161A"/>
    <w:rsid w:val="5B242EC8"/>
    <w:rsid w:val="5BF3F5DB"/>
    <w:rsid w:val="5D73EB0F"/>
    <w:rsid w:val="5DB441EB"/>
    <w:rsid w:val="5FAF8891"/>
    <w:rsid w:val="5FEB447C"/>
    <w:rsid w:val="5FFF3B57"/>
    <w:rsid w:val="6199169E"/>
    <w:rsid w:val="62E80C7F"/>
    <w:rsid w:val="637E923A"/>
    <w:rsid w:val="667475E3"/>
    <w:rsid w:val="681720A1"/>
    <w:rsid w:val="69644429"/>
    <w:rsid w:val="6967948E"/>
    <w:rsid w:val="69F50189"/>
    <w:rsid w:val="6AF61F85"/>
    <w:rsid w:val="6BEFC759"/>
    <w:rsid w:val="6CDF7B6E"/>
    <w:rsid w:val="6D10785B"/>
    <w:rsid w:val="6D5C3619"/>
    <w:rsid w:val="6D9B526C"/>
    <w:rsid w:val="6DB225B5"/>
    <w:rsid w:val="6F7FAA52"/>
    <w:rsid w:val="6FCCC432"/>
    <w:rsid w:val="74780E9B"/>
    <w:rsid w:val="753DB783"/>
    <w:rsid w:val="75AE2995"/>
    <w:rsid w:val="76DE0256"/>
    <w:rsid w:val="76F01803"/>
    <w:rsid w:val="76FD4025"/>
    <w:rsid w:val="775F5CFD"/>
    <w:rsid w:val="77DC1E4A"/>
    <w:rsid w:val="77FF41BC"/>
    <w:rsid w:val="7A9E57BE"/>
    <w:rsid w:val="7AFE24C2"/>
    <w:rsid w:val="7F792F33"/>
    <w:rsid w:val="7F794F39"/>
    <w:rsid w:val="7F99257B"/>
    <w:rsid w:val="7FCBAC84"/>
    <w:rsid w:val="7FD41584"/>
    <w:rsid w:val="7FF7721E"/>
    <w:rsid w:val="7FFB9DDE"/>
    <w:rsid w:val="7FFFBBF5"/>
    <w:rsid w:val="8B7B0B20"/>
    <w:rsid w:val="8EF89037"/>
    <w:rsid w:val="9FDBD216"/>
    <w:rsid w:val="9FDF22AF"/>
    <w:rsid w:val="A767C6FA"/>
    <w:rsid w:val="AFEF12A9"/>
    <w:rsid w:val="BB9F0A90"/>
    <w:rsid w:val="BD7E508A"/>
    <w:rsid w:val="BDF73897"/>
    <w:rsid w:val="BFF918AC"/>
    <w:rsid w:val="BFFF775E"/>
    <w:rsid w:val="C5FF56F6"/>
    <w:rsid w:val="D5EFFE31"/>
    <w:rsid w:val="D7BF3952"/>
    <w:rsid w:val="DF1F1764"/>
    <w:rsid w:val="DFF38E79"/>
    <w:rsid w:val="DFFF4CDD"/>
    <w:rsid w:val="DFFFAD3C"/>
    <w:rsid w:val="E5FFE619"/>
    <w:rsid w:val="E7BBBE98"/>
    <w:rsid w:val="EB3F7952"/>
    <w:rsid w:val="EF5DBBE3"/>
    <w:rsid w:val="EF97CFE1"/>
    <w:rsid w:val="EFF7762A"/>
    <w:rsid w:val="F3FFCDF7"/>
    <w:rsid w:val="F6E2BF14"/>
    <w:rsid w:val="F7DF5369"/>
    <w:rsid w:val="F7F6AA91"/>
    <w:rsid w:val="F9FF6319"/>
    <w:rsid w:val="FA676BEA"/>
    <w:rsid w:val="FBAF3AC4"/>
    <w:rsid w:val="FDFACAC1"/>
    <w:rsid w:val="FEA20A9E"/>
    <w:rsid w:val="FEFFF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8651</Words>
  <Characters>9623</Characters>
  <Lines>65</Lines>
  <Paragraphs>18</Paragraphs>
  <TotalTime>2</TotalTime>
  <ScaleCrop>false</ScaleCrop>
  <LinksUpToDate>false</LinksUpToDate>
  <CharactersWithSpaces>9657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2022-04-12T19:31:00Z</dcterms:created>
  <dc:creator>雷雪怡</dc:creator>
  <cp:lastModifiedBy>焕城</cp:lastModifiedBy>
  <cp:lastPrinted>2022-06-07T18:11:00Z</cp:lastPrinted>
  <dcterms:modified xsi:type="dcterms:W3CDTF">2022-11-08T08:54:18Z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3A58D9A5564A4E48A1736CF0AFCD4FCF</vt:lpwstr>
  </property>
</Properties>
</file>