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spacing w:line="600" w:lineRule="exact"/>
        <w:jc w:val="center"/>
        <w:rPr>
          <w:rFonts w:hint="eastAsia" w:ascii="Times New Roman" w:hAnsi="Times New Roman" w:eastAsia="仿宋_GB2312" w:cs="仿宋_GB2312"/>
          <w:sz w:val="32"/>
          <w:szCs w:val="32"/>
          <w:lang w:val="en-US" w:eastAsia="zh-CN"/>
        </w:rPr>
      </w:pPr>
      <w:r>
        <w:rPr>
          <w:rFonts w:hint="eastAsia" w:ascii="方正小标宋简体" w:hAnsi="方正小标宋简体" w:eastAsia="方正小标宋简体" w:cs="方正小标宋简体"/>
          <w:sz w:val="44"/>
          <w:szCs w:val="44"/>
          <w:lang w:val="en-US" w:eastAsia="zh-CN"/>
        </w:rPr>
        <w:t>2023年度连平县市场监管领域部门联合双随机抽查工作计划</w:t>
      </w:r>
    </w:p>
    <w:p/>
    <w:tbl>
      <w:tblPr>
        <w:tblStyle w:val="4"/>
        <w:tblW w:w="15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802"/>
        <w:gridCol w:w="1150"/>
        <w:gridCol w:w="3543"/>
        <w:gridCol w:w="1350"/>
        <w:gridCol w:w="1725"/>
        <w:gridCol w:w="1320"/>
        <w:gridCol w:w="1680"/>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63" w:type="dxa"/>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企业年度报告抽查</w:t>
            </w:r>
          </w:p>
        </w:tc>
        <w:tc>
          <w:tcPr>
            <w:tcW w:w="1150" w:type="dxa"/>
            <w:noWrap w:val="0"/>
            <w:vAlign w:val="center"/>
          </w:tcPr>
          <w:p>
            <w:pPr>
              <w:widowControl/>
              <w:spacing w:line="320" w:lineRule="exact"/>
              <w:jc w:val="center"/>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年度报告公示信息的检查</w:t>
            </w:r>
          </w:p>
        </w:tc>
        <w:tc>
          <w:tcPr>
            <w:tcW w:w="1350" w:type="dxa"/>
            <w:noWrap w:val="0"/>
            <w:vAlign w:val="center"/>
          </w:tcPr>
          <w:p>
            <w:pPr>
              <w:adjustRightInd w:val="0"/>
              <w:snapToGrid w:val="0"/>
              <w:jc w:val="center"/>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eastAsia="zh-CN" w:bidi="ar"/>
              </w:rPr>
              <w:t>一般检</w:t>
            </w:r>
            <w:r>
              <w:rPr>
                <w:rFonts w:hint="eastAsia" w:eastAsia="宋体" w:cs="Times New Roman"/>
                <w:color w:val="000000"/>
                <w:kern w:val="0"/>
                <w:sz w:val="21"/>
                <w:szCs w:val="21"/>
                <w:lang w:eastAsia="zh-CN" w:bidi="ar"/>
              </w:rPr>
              <w:t>查</w:t>
            </w:r>
          </w:p>
        </w:tc>
        <w:tc>
          <w:tcPr>
            <w:tcW w:w="1725" w:type="dxa"/>
            <w:noWrap w:val="0"/>
            <w:vAlign w:val="center"/>
          </w:tcPr>
          <w:p>
            <w:pPr>
              <w:adjustRightInd w:val="0"/>
              <w:snapToGrid w:val="0"/>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各类企业年报信息</w:t>
            </w:r>
          </w:p>
        </w:tc>
        <w:tc>
          <w:tcPr>
            <w:tcW w:w="1320" w:type="dxa"/>
            <w:noWrap w:val="0"/>
            <w:vAlign w:val="center"/>
          </w:tcPr>
          <w:p>
            <w:pPr>
              <w:widowControl/>
              <w:spacing w:line="320" w:lineRule="exact"/>
              <w:jc w:val="center"/>
              <w:rPr>
                <w:rFonts w:hint="default" w:ascii="Times New Roman" w:hAnsi="Times New Roman" w:eastAsia="仿宋_GB2312" w:cs="仿宋_GB2312"/>
                <w:sz w:val="32"/>
                <w:szCs w:val="32"/>
                <w:lang w:val="en-US"/>
              </w:rPr>
            </w:pPr>
            <w:r>
              <w:rPr>
                <w:rFonts w:hint="eastAsia" w:eastAsia="宋体" w:cs="Times New Roman"/>
                <w:color w:val="000000"/>
                <w:kern w:val="0"/>
                <w:sz w:val="21"/>
                <w:szCs w:val="21"/>
                <w:lang w:val="en-US" w:eastAsia="zh-CN" w:bidi="ar"/>
              </w:rPr>
              <w:t>9</w:t>
            </w:r>
            <w:r>
              <w:rPr>
                <w:rFonts w:hint="eastAsia" w:ascii="Times New Roman" w:hAnsi="Times New Roman" w:eastAsia="宋体" w:cs="Times New Roman"/>
                <w:color w:val="000000"/>
                <w:kern w:val="0"/>
                <w:sz w:val="21"/>
                <w:szCs w:val="21"/>
                <w:lang w:val="en-US" w:eastAsia="zh-CN" w:bidi="ar"/>
              </w:rPr>
              <w:t>月前</w:t>
            </w:r>
          </w:p>
        </w:tc>
        <w:tc>
          <w:tcPr>
            <w:tcW w:w="1680" w:type="dxa"/>
            <w:noWrap w:val="0"/>
            <w:vAlign w:val="center"/>
          </w:tcPr>
          <w:p>
            <w:pPr>
              <w:widowControl/>
              <w:spacing w:line="320" w:lineRule="exact"/>
              <w:jc w:val="center"/>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市场监管</w:t>
            </w:r>
            <w:r>
              <w:rPr>
                <w:rFonts w:hint="eastAsia" w:ascii="Times New Roman" w:hAnsi="Times New Roman" w:eastAsia="宋体" w:cs="Times New Roman"/>
                <w:color w:val="000000"/>
                <w:kern w:val="0"/>
                <w:sz w:val="21"/>
                <w:szCs w:val="21"/>
                <w:lang w:val="en-US" w:eastAsia="zh-CN" w:bidi="ar"/>
              </w:rPr>
              <w:t>局</w:t>
            </w:r>
          </w:p>
        </w:tc>
        <w:tc>
          <w:tcPr>
            <w:tcW w:w="1787" w:type="dxa"/>
            <w:noWrap w:val="0"/>
            <w:vAlign w:val="center"/>
          </w:tcPr>
          <w:p>
            <w:pPr>
              <w:widowControl/>
              <w:spacing w:line="320" w:lineRule="exact"/>
              <w:jc w:val="center"/>
              <w:rPr>
                <w:rFonts w:hint="eastAsia" w:ascii="Times New Roman" w:hAnsi="Times New Roman" w:eastAsia="仿宋_GB2312" w:cs="仿宋_GB2312"/>
                <w:sz w:val="32"/>
                <w:szCs w:val="32"/>
                <w:lang w:eastAsia="zh-CN"/>
              </w:rPr>
            </w:pPr>
            <w:r>
              <w:rPr>
                <w:rFonts w:hint="eastAsia" w:ascii="Times New Roman" w:hAnsi="Times New Roman" w:eastAsia="宋体" w:cs="Times New Roman"/>
                <w:color w:val="000000"/>
                <w:kern w:val="0"/>
                <w:sz w:val="21"/>
                <w:szCs w:val="21"/>
                <w:lang w:val="en-US" w:eastAsia="zh-CN" w:bidi="ar"/>
              </w:rPr>
              <w:t>县人社局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检测机构检测抽查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w:t>
            </w:r>
            <w:r>
              <w:rPr>
                <w:rFonts w:hint="eastAsia" w:eastAsia="宋体" w:cs="Times New Roman"/>
                <w:color w:val="000000"/>
                <w:kern w:val="0"/>
                <w:sz w:val="21"/>
                <w:szCs w:val="21"/>
                <w:lang w:val="en-US" w:eastAsia="zh-CN" w:bidi="ar"/>
              </w:rPr>
              <w:t>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检验检测机构检查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全县检验检测机构</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11月前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市生态环境局</w:t>
            </w:r>
          </w:p>
          <w:p>
            <w:pPr>
              <w:widowControl/>
              <w:spacing w:line="320" w:lineRule="exact"/>
              <w:jc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连平分局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机动车销售企业监管监督检查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机动车获得强制性产品认证情况检查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机动车销售企业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w:t>
            </w:r>
            <w:r>
              <w:rPr>
                <w:rFonts w:hint="eastAsia" w:ascii="宋体" w:hAnsi="宋体" w:eastAsia="宋体" w:cs="宋体"/>
                <w:color w:val="auto"/>
                <w:kern w:val="0"/>
                <w:sz w:val="21"/>
                <w:szCs w:val="21"/>
                <w:lang w:val="en-US" w:eastAsia="zh-CN"/>
              </w:rPr>
              <w:t>月</w:t>
            </w:r>
            <w:r>
              <w:rPr>
                <w:rFonts w:hint="eastAsia" w:ascii="Times New Roman" w:hAnsi="Times New Roman" w:eastAsia="宋体" w:cs="Times New Roman"/>
                <w:color w:val="000000"/>
                <w:kern w:val="0"/>
                <w:sz w:val="21"/>
                <w:szCs w:val="21"/>
                <w:lang w:val="en-US" w:eastAsia="zh-CN" w:bidi="ar"/>
              </w:rPr>
              <w:t>至10月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零售市场秩序日常检查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专卖法律法规执行情况、规范经营情况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经营卷烟业务的企业和个人</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全年</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县烟草局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烟花爆竹批发企业安全检查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top"/>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烟花爆竹仓库安全生产、配送、防雷等情况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烟花爆竹批发企业（带仓库）</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12月前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县应急局</w:t>
            </w:r>
          </w:p>
        </w:tc>
        <w:tc>
          <w:tcPr>
            <w:tcW w:w="1787" w:type="dxa"/>
            <w:noWrap w:val="0"/>
            <w:vAlign w:val="top"/>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县气象局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7</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消防安全检查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消防产品质量监督抽查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对人员密集场所使用的消防产品进行抽查检查</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w:t>
            </w:r>
            <w:r>
              <w:rPr>
                <w:rFonts w:hint="eastAsia" w:ascii="宋体" w:hAnsi="宋体" w:eastAsia="宋体" w:cs="宋体"/>
                <w:color w:val="auto"/>
                <w:kern w:val="0"/>
                <w:sz w:val="21"/>
                <w:szCs w:val="21"/>
                <w:lang w:val="en-US" w:eastAsia="zh-CN"/>
              </w:rPr>
              <w:t>月</w:t>
            </w:r>
            <w:r>
              <w:rPr>
                <w:rFonts w:hint="eastAsia" w:ascii="Times New Roman" w:hAnsi="Times New Roman" w:eastAsia="宋体" w:cs="Times New Roman"/>
                <w:color w:val="000000"/>
                <w:kern w:val="0"/>
                <w:sz w:val="21"/>
                <w:szCs w:val="21"/>
                <w:lang w:val="en-US" w:eastAsia="zh-CN" w:bidi="ar"/>
              </w:rPr>
              <w:t>至5月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县消防救援大队</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市场监管</w:t>
            </w:r>
            <w:r>
              <w:rPr>
                <w:rFonts w:hint="eastAsia" w:ascii="Times New Roman" w:hAnsi="Times New Roman" w:eastAsia="宋体" w:cs="Times New Roman"/>
                <w:color w:val="000000"/>
                <w:kern w:val="0"/>
                <w:sz w:val="21"/>
                <w:szCs w:val="21"/>
                <w:lang w:val="en-US" w:eastAsia="zh-CN" w:bidi="ar"/>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8</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劳务派遣用工监管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劳务派遣单位遵守劳动保障法律法规情况、相关用工企业遵守劳动保障法律法规情况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劳务派遣单位和相关用工企业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县人社局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市场监管</w:t>
            </w:r>
            <w:r>
              <w:rPr>
                <w:rFonts w:hint="eastAsia" w:ascii="Times New Roman" w:hAnsi="Times New Roman" w:eastAsia="宋体" w:cs="Times New Roman"/>
                <w:color w:val="000000"/>
                <w:kern w:val="0"/>
                <w:sz w:val="21"/>
                <w:szCs w:val="21"/>
                <w:lang w:val="en-US" w:eastAsia="zh-CN" w:bidi="ar"/>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9</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劳动用工监管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建设领域各企业遵守按月足额支付工资规定、劳动合同签订、落实工人工资支付保证金、分账管理和劳动用工实名制等制度及其他劳动用工情况等</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全县建设领域各在建工程项目建设单位、施工总承包单位、分包单位</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县人社局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县交通局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县水务局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10</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新车销售市场监管检查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新车销售市场经营主体企业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县发改局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11</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房地产市场监督执法抽查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房地产行业定价情况的检查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房地产从业单位</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12</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建筑市场监督执法抽查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房屋市政工程工人工资支付的检查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建筑市场从业单位</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13</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二手车交易市场和二手车经营主体</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14</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统计执法检查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统计调查对象依法提供统计资料情况；设置原始记录、统计台账情况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统计调查对象</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w:t>
            </w:r>
            <w:r>
              <w:rPr>
                <w:rFonts w:hint="eastAsia" w:ascii="宋体" w:hAnsi="宋体" w:eastAsia="宋体" w:cs="宋体"/>
                <w:color w:val="auto"/>
                <w:kern w:val="0"/>
                <w:sz w:val="21"/>
                <w:szCs w:val="21"/>
                <w:lang w:val="en-US" w:eastAsia="zh-CN"/>
              </w:rPr>
              <w:t>月</w:t>
            </w:r>
            <w:r>
              <w:rPr>
                <w:rFonts w:hint="eastAsia" w:ascii="Times New Roman" w:hAnsi="Times New Roman" w:eastAsia="宋体" w:cs="Times New Roman"/>
                <w:color w:val="000000"/>
                <w:kern w:val="0"/>
                <w:sz w:val="21"/>
                <w:szCs w:val="21"/>
                <w:lang w:val="en-US" w:eastAsia="zh-CN" w:bidi="ar"/>
              </w:rPr>
              <w:t>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县统计局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15</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燃气经营执法监督检查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燃气经营许可证取得情况监督检查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全县燃气经营企业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6月份</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县城管局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16</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燃气经营执法监督检查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燃气钢瓶监督执法检查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全县燃气经营企业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6月份</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县城管局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17</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道路运输新业态行业监督行政检查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1.网约车平台公司互联网信息服务备案情况监督</w:t>
            </w:r>
            <w:r>
              <w:rPr>
                <w:rFonts w:hint="eastAsia" w:ascii="Times New Roman" w:hAnsi="Times New Roman" w:eastAsia="宋体" w:cs="Times New Roman"/>
                <w:color w:val="000000"/>
                <w:kern w:val="0"/>
                <w:sz w:val="21"/>
                <w:szCs w:val="21"/>
                <w:lang w:val="en" w:eastAsia="zh-CN" w:bidi="ar"/>
              </w:rPr>
              <w:t>；</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2.网约车平台公司暂停或者终止运营情况监督</w:t>
            </w:r>
            <w:r>
              <w:rPr>
                <w:rFonts w:hint="eastAsia" w:ascii="Times New Roman" w:hAnsi="Times New Roman" w:eastAsia="宋体" w:cs="Times New Roman"/>
                <w:color w:val="000000"/>
                <w:kern w:val="0"/>
                <w:sz w:val="21"/>
                <w:szCs w:val="21"/>
                <w:lang w:val="en"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3.网约车平台公司提供服务车辆具备合法营运资质及报备情况监督</w:t>
            </w:r>
            <w:r>
              <w:rPr>
                <w:rFonts w:hint="eastAsia" w:ascii="Times New Roman" w:hAnsi="Times New Roman" w:eastAsia="宋体" w:cs="Times New Roman"/>
                <w:color w:val="000000"/>
                <w:kern w:val="0"/>
                <w:sz w:val="21"/>
                <w:szCs w:val="21"/>
                <w:lang w:val="en" w:eastAsia="zh-CN" w:bidi="ar"/>
              </w:rPr>
              <w:t xml:space="preserve">； </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4.网约车平台公司提供服务驾驶员具有合法从业资格及日常管理和报备情况监督</w:t>
            </w:r>
            <w:r>
              <w:rPr>
                <w:rFonts w:hint="eastAsia" w:ascii="Times New Roman" w:hAnsi="Times New Roman" w:eastAsia="宋体" w:cs="Times New Roman"/>
                <w:color w:val="000000"/>
                <w:kern w:val="0"/>
                <w:sz w:val="21"/>
                <w:szCs w:val="21"/>
                <w:lang w:val="en" w:eastAsia="zh-CN" w:bidi="ar"/>
              </w:rPr>
              <w:t>；</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5.网约车平台公司合规定价及公平竞争情况监督</w:t>
            </w:r>
            <w:r>
              <w:rPr>
                <w:rFonts w:hint="eastAsia" w:ascii="Times New Roman" w:hAnsi="Times New Roman" w:eastAsia="宋体" w:cs="Times New Roman"/>
                <w:color w:val="000000"/>
                <w:kern w:val="0"/>
                <w:sz w:val="21"/>
                <w:szCs w:val="21"/>
                <w:lang w:val="en" w:eastAsia="zh-CN" w:bidi="ar"/>
              </w:rPr>
              <w:t xml:space="preserve">； </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6.网约车平台公司服务评价体系和乘客投诉处理制度的建立和运行情况监督</w:t>
            </w:r>
            <w:r>
              <w:rPr>
                <w:rFonts w:hint="eastAsia" w:ascii="Times New Roman" w:hAnsi="Times New Roman" w:eastAsia="宋体" w:cs="Times New Roman"/>
                <w:color w:val="000000"/>
                <w:kern w:val="0"/>
                <w:sz w:val="21"/>
                <w:szCs w:val="21"/>
                <w:lang w:val="en" w:eastAsia="zh-CN" w:bidi="ar"/>
              </w:rPr>
              <w:t>；</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7.网约车平台公司为乘客购买承运人责任险情况监督</w:t>
            </w:r>
            <w:r>
              <w:rPr>
                <w:rFonts w:hint="eastAsia" w:ascii="Times New Roman" w:hAnsi="Times New Roman" w:eastAsia="宋体" w:cs="Times New Roman"/>
                <w:color w:val="000000"/>
                <w:kern w:val="0"/>
                <w:sz w:val="21"/>
                <w:szCs w:val="21"/>
                <w:lang w:val="en" w:eastAsia="zh-CN" w:bidi="ar"/>
              </w:rPr>
              <w:t>。</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网约出租汽车平台公司</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3次/年</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县交通局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both"/>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18</w:t>
            </w:r>
          </w:p>
        </w:tc>
        <w:tc>
          <w:tcPr>
            <w:tcW w:w="1802" w:type="dxa"/>
            <w:noWrap w:val="0"/>
            <w:vAlign w:val="center"/>
          </w:tcPr>
          <w:p>
            <w:pPr>
              <w:adjustRightInd w:val="0"/>
              <w:snapToGrid w:val="0"/>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宋体" w:cs="Times New Roman"/>
                <w:color w:val="000000"/>
                <w:kern w:val="0"/>
                <w:sz w:val="21"/>
                <w:szCs w:val="21"/>
                <w:lang w:val="en-US" w:eastAsia="zh-CN" w:bidi="ar"/>
              </w:rPr>
              <w:t>道路危险货物运输行业监督行政检查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1.道路危险货物运输企业资质监督；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2.道路危险货物运输企业安全生产基础保障监督；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3.道路危险货物运输企业安全责任体系建设监督；</w:t>
            </w:r>
          </w:p>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4.道路危险货物运输企业安全管理制度建设监督；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5.道路危险货物运输企业安全操作规程和各类台账档案监督；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6.道路危险货物运输企业安全投入监督；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7.道路危险货物运输企业驾驶人管理监督；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8.道路危险货物运输企业营运车辆技术与现场作业管理监督；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9.道路危险货物运输企业营运车辆动态监控监督；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10.道路危险货物运输企业安全教育与培训监督；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 xml:space="preserve">11.道路危险货物运输企业安全隐患排查与治理监督； </w:t>
            </w:r>
          </w:p>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12.道路危险货物运输企业应急救援与事故处理监督。</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道路危险货物运输企业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3次/年</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县交通局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县应急管理局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19</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农资打假专项部门联合执法检查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检查种子、化肥、农药、兽药、饲料等农资门店持证、台账记录，有无存在销售假冒劣质、过期失效农资等经营情况</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辖区内农资经营门店</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4月至10底</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县农业农村局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20</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保安行业相关单位抽查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保安从业单位、保安培训单位保安服务和培训活动情况的检查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全县保安行业相关单位</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7月份</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21</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爆破作业单位抽查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民用爆破物仓储情况、爆破作业单位有关制度、作业情况的检查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爆破作业单位</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7月份</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林业局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气象局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自然资源局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22</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宾馆、旅店监督抽查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宾馆、旅业取得许可证情况、治安安全情况的检查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宾馆、旅店</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7月份</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应急局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23</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易制毒化学品从业单位年度报告抽查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对易制毒化学品生产、经营、购买、运输、仓储等情况进行监督检查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易制毒化学品从业单位</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全年</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交通局</w:t>
            </w:r>
          </w:p>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卫生健康局</w:t>
            </w:r>
          </w:p>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应急局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24</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公共卫生-文化娱乐场所卫生情况抽查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开展卫生监督抽检，抽查卫生设施的配备运行情况、卫生检测落实情况、人员机构持证情况等，对违反其他卫生健康、市场监管相关法律法规的行为进行检查。</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各类影剧院、录像厅（室）、游艺厅（室）、舞厅、音乐厅。</w:t>
            </w:r>
          </w:p>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（抽查对象范围和数量由国家卫健委统一在卫生监督信息系统抽取确定）</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25</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公共卫生-住宿许可情况抽查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开展卫生监督抽检，抽查宾馆、旅店许可证情况，对违反其他卫生健康、市场监管相关法律法规的行为进行检查。</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各类旅馆、旅店。</w:t>
            </w:r>
          </w:p>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（抽查对象范围和数量由国家卫健委统一在卫生监督信息系统抽取确定）</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县应急局</w:t>
            </w:r>
          </w:p>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26</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公共卫生-住宿场所卫生情况抽查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开展卫生监督抽检，抽查卫生设施的配备运行情况、卫生检测落实情况、人员机构持证情况等</w:t>
            </w:r>
            <w:bookmarkStart w:id="0" w:name="_GoBack"/>
            <w:bookmarkEnd w:id="0"/>
            <w:r>
              <w:rPr>
                <w:rFonts w:hint="eastAsia" w:ascii="Times New Roman" w:hAnsi="Times New Roman" w:eastAsia="宋体" w:cs="Times New Roman"/>
                <w:color w:val="000000"/>
                <w:kern w:val="0"/>
                <w:sz w:val="21"/>
                <w:szCs w:val="21"/>
                <w:lang w:val="en-US" w:eastAsia="zh-CN" w:bidi="ar"/>
              </w:rPr>
              <w:t>，对违反其他卫生健康、市场监管相关法律法规的行为进行检查。</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各类旅馆、旅店。</w:t>
            </w:r>
          </w:p>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（抽查对象范围和数量由国家卫健委统一在卫生监督信息系统抽取确定）</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27</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对娱乐场所的检查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keepNext w:val="0"/>
              <w:keepLines w:val="0"/>
              <w:pageBreakBefore w:val="0"/>
              <w:widowControl/>
              <w:numPr>
                <w:ilvl w:val="0"/>
                <w:numId w:val="1"/>
              </w:numPr>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证照是否齐全；</w:t>
            </w:r>
          </w:p>
          <w:p>
            <w:pPr>
              <w:keepNext w:val="0"/>
              <w:keepLines w:val="0"/>
              <w:pageBreakBefore w:val="0"/>
              <w:widowControl/>
              <w:numPr>
                <w:ilvl w:val="0"/>
                <w:numId w:val="1"/>
              </w:numPr>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消防设施是否符合规定；</w:t>
            </w:r>
          </w:p>
          <w:p>
            <w:pPr>
              <w:keepNext w:val="0"/>
              <w:keepLines w:val="0"/>
              <w:pageBreakBefore w:val="0"/>
              <w:widowControl/>
              <w:numPr>
                <w:ilvl w:val="0"/>
                <w:numId w:val="0"/>
              </w:numPr>
              <w:kinsoku/>
              <w:wordWrap/>
              <w:overflowPunct/>
              <w:topLinePunct w:val="0"/>
              <w:autoSpaceDE/>
              <w:autoSpaceDN/>
              <w:bidi w:val="0"/>
              <w:adjustRightInd/>
              <w:snapToGrid/>
              <w:spacing w:line="192" w:lineRule="auto"/>
              <w:ind w:left="0" w:leftChars="0" w:firstLine="0" w:firstLineChars="0"/>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3.是否接纳未成年人。</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全县歌舞娱乐场所</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1月至12月</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县文广旅体局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28</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机动车销售企业监管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机动车环保信息公开检查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全县机动车销售企业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市生态环境局连平分局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29</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市政工程监督检查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城镇污水处理设施污染防治情况的检查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全县城镇污水处理厂</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市生态环境局连平分局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30</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消防监督</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养老机构消防安全管理工作的检查</w:t>
            </w:r>
          </w:p>
        </w:tc>
        <w:tc>
          <w:tcPr>
            <w:tcW w:w="1350" w:type="dxa"/>
            <w:noWrap w:val="0"/>
            <w:vAlign w:val="center"/>
          </w:tcPr>
          <w:p>
            <w:pPr>
              <w:adjustRightInd w:val="0"/>
              <w:snapToGrid w:val="0"/>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养老机构、老年人日间照料场所</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县民政局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县消防救援大队</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31</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食品安全情况</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养老机构食堂食品安全</w:t>
            </w:r>
          </w:p>
        </w:tc>
        <w:tc>
          <w:tcPr>
            <w:tcW w:w="1350" w:type="dxa"/>
            <w:noWrap w:val="0"/>
            <w:vAlign w:val="center"/>
          </w:tcPr>
          <w:p>
            <w:pPr>
              <w:adjustRightInd w:val="0"/>
              <w:snapToGrid w:val="0"/>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县民政局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r>
    </w:tbl>
    <w:p>
      <w:pPr>
        <w:pStyle w:val="2"/>
      </w:pPr>
    </w:p>
    <w:sectPr>
      <w:pgSz w:w="16838" w:h="11906" w:orient="landscape"/>
      <w:pgMar w:top="1803" w:right="1440"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6D43F"/>
    <w:multiLevelType w:val="singleLevel"/>
    <w:tmpl w:val="63F6D43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22033"/>
    <w:rsid w:val="33AD01C7"/>
    <w:rsid w:val="3A0A2CB6"/>
    <w:rsid w:val="6ACF3831"/>
    <w:rsid w:val="71E22033"/>
    <w:rsid w:val="72715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iPriority w:val="0"/>
    <w:pPr>
      <w:ind w:firstLine="420" w:firstLineChars="200"/>
    </w:pPr>
  </w:style>
  <w:style w:type="paragraph" w:styleId="3">
    <w:name w:val="Body Text 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连平县市场监督管理局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2023-03-30T08:25:00Z</dcterms:created>
  <dc:creator>素青</dc:creator>
  <cp:lastModifiedBy>素青</cp:lastModifiedBy>
  <dcterms:modified xsi:type="dcterms:W3CDTF">2023-03-31T06:56:08Z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C7ECA7134BE24C22A1981234634C94A0</vt:lpwstr>
  </property>
</Properties>
</file>