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cs="仿宋"/>
          <w:b/>
          <w:bCs/>
          <w:color w:val="FF0000"/>
        </w:rPr>
      </w:pPr>
    </w:p>
    <w:p>
      <w:pPr>
        <w:spacing w:line="360" w:lineRule="auto"/>
        <w:jc w:val="center"/>
        <w:rPr>
          <w:rFonts w:hint="eastAsia" w:ascii="方正小标宋简体" w:hAnsi="方正小标宋简体" w:eastAsia="方正小标宋简体" w:cs="方正小标宋简体"/>
          <w:b w:val="0"/>
          <w:bCs w:val="0"/>
          <w:sz w:val="52"/>
          <w:szCs w:val="52"/>
        </w:rPr>
      </w:pPr>
    </w:p>
    <w:p>
      <w:pPr>
        <w:spacing w:line="360" w:lineRule="auto"/>
        <w:jc w:val="center"/>
        <w:rPr>
          <w:rFonts w:hint="eastAsia" w:ascii="方正小标宋简体" w:hAnsi="方正小标宋简体" w:eastAsia="方正小标宋简体" w:cs="方正小标宋简体"/>
          <w:b w:val="0"/>
          <w:bCs w:val="0"/>
          <w:sz w:val="52"/>
          <w:szCs w:val="52"/>
        </w:rPr>
      </w:pPr>
      <w:bookmarkStart w:id="98" w:name="_GoBack"/>
      <w:r>
        <w:rPr>
          <w:rFonts w:hint="eastAsia" w:ascii="方正小标宋简体" w:hAnsi="方正小标宋简体" w:eastAsia="方正小标宋简体" w:cs="方正小标宋简体"/>
          <w:b w:val="0"/>
          <w:bCs w:val="0"/>
          <w:sz w:val="52"/>
          <w:szCs w:val="52"/>
        </w:rPr>
        <w:t>连平县矿产资源总体规划</w:t>
      </w:r>
    </w:p>
    <w:p>
      <w:pPr>
        <w:spacing w:line="360" w:lineRule="auto"/>
        <w:jc w:val="center"/>
        <w:rPr>
          <w:rFonts w:hint="eastAsia" w:ascii="仿宋" w:hAnsi="仿宋" w:eastAsia="仿宋" w:cs="仿宋"/>
          <w:b/>
          <w:bCs/>
          <w:strike/>
          <w:dstrike w:val="0"/>
          <w:sz w:val="36"/>
          <w:szCs w:val="36"/>
        </w:rPr>
      </w:pPr>
      <w:r>
        <w:rPr>
          <w:rFonts w:hint="eastAsia" w:ascii="仿宋" w:hAnsi="仿宋" w:eastAsia="仿宋" w:cs="仿宋"/>
          <w:b/>
          <w:bCs/>
          <w:sz w:val="36"/>
          <w:szCs w:val="36"/>
        </w:rPr>
        <w:t>（2021</w:t>
      </w:r>
      <w:r>
        <w:rPr>
          <w:rFonts w:hint="eastAsia" w:ascii="仿宋" w:hAnsi="仿宋" w:eastAsia="仿宋" w:cs="仿宋"/>
          <w:b/>
          <w:bCs/>
          <w:sz w:val="30"/>
          <w:szCs w:val="30"/>
        </w:rPr>
        <w:t>～</w:t>
      </w:r>
      <w:r>
        <w:rPr>
          <w:rFonts w:hint="eastAsia" w:ascii="仿宋" w:hAnsi="仿宋" w:eastAsia="仿宋" w:cs="仿宋"/>
          <w:b/>
          <w:bCs/>
          <w:sz w:val="36"/>
          <w:szCs w:val="36"/>
        </w:rPr>
        <w:t>2025年）</w:t>
      </w:r>
    </w:p>
    <w:bookmarkEnd w:id="98"/>
    <w:p>
      <w:pPr>
        <w:spacing w:line="360" w:lineRule="auto"/>
        <w:jc w:val="center"/>
        <w:rPr>
          <w:rFonts w:hint="eastAsia" w:ascii="仿宋" w:hAnsi="仿宋" w:eastAsia="仿宋" w:cs="仿宋"/>
          <w:b/>
          <w:bCs/>
          <w:sz w:val="36"/>
          <w:szCs w:val="36"/>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lang w:eastAsia="zh-CN"/>
        </w:rPr>
      </w:pPr>
    </w:p>
    <w:p>
      <w:pPr>
        <w:pStyle w:val="20"/>
        <w:rPr>
          <w:rFonts w:hint="eastAsia"/>
        </w:rPr>
      </w:pPr>
    </w:p>
    <w:p>
      <w:pPr>
        <w:spacing w:line="360" w:lineRule="auto"/>
        <w:rPr>
          <w:rFonts w:hint="eastAsia" w:ascii="仿宋" w:hAnsi="仿宋" w:eastAsia="仿宋" w:cs="仿宋"/>
          <w:sz w:val="28"/>
          <w:szCs w:val="28"/>
        </w:rPr>
      </w:pPr>
    </w:p>
    <w:p>
      <w:pPr>
        <w:spacing w:line="360" w:lineRule="auto"/>
        <w:ind w:firstLine="1084" w:firstLineChars="300"/>
        <w:jc w:val="both"/>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both"/>
        <w:rPr>
          <w:rFonts w:hint="eastAsia" w:ascii="仿宋" w:hAnsi="仿宋" w:eastAsia="仿宋" w:cs="仿宋"/>
          <w:b/>
          <w:bCs/>
          <w:sz w:val="36"/>
          <w:szCs w:val="36"/>
        </w:rPr>
      </w:pPr>
    </w:p>
    <w:p>
      <w:pPr>
        <w:jc w:val="center"/>
        <w:rPr>
          <w:rFonts w:hint="eastAsia" w:ascii="方正小标宋简体" w:hAnsi="方正小标宋简体" w:eastAsia="方正小标宋简体" w:cs="方正小标宋简体"/>
          <w:b/>
          <w:bCs/>
          <w:sz w:val="44"/>
          <w:szCs w:val="44"/>
        </w:rPr>
      </w:pPr>
      <w:bookmarkStart w:id="0" w:name="_Toc266187699"/>
      <w:bookmarkStart w:id="1" w:name="_Toc155693651"/>
      <w:bookmarkStart w:id="2" w:name="_Toc517360563"/>
      <w:r>
        <w:rPr>
          <w:rFonts w:hint="eastAsia" w:ascii="方正小标宋简体" w:hAnsi="方正小标宋简体" w:eastAsia="方正小标宋简体" w:cs="方正小标宋简体"/>
          <w:b/>
          <w:bCs/>
          <w:sz w:val="44"/>
          <w:szCs w:val="44"/>
        </w:rPr>
        <w:t>目    录</w:t>
      </w:r>
    </w:p>
    <w:p>
      <w:pPr>
        <w:pStyle w:val="10"/>
        <w:tabs>
          <w:tab w:val="right" w:leader="dot" w:pos="8312"/>
        </w:tabs>
        <w:rPr>
          <w:sz w:val="32"/>
          <w:szCs w:val="32"/>
        </w:rPr>
      </w:pPr>
      <w:r>
        <w:rPr>
          <w:rStyle w:val="18"/>
          <w:rFonts w:hint="eastAsia" w:ascii="仿宋_GB2312" w:hAnsi="仿宋_GB2312" w:eastAsia="仿宋_GB2312" w:cs="仿宋_GB2312"/>
          <w:color w:val="auto"/>
          <w:sz w:val="32"/>
          <w:szCs w:val="32"/>
        </w:rPr>
        <w:fldChar w:fldCharType="begin"/>
      </w:r>
      <w:r>
        <w:rPr>
          <w:rStyle w:val="18"/>
          <w:rFonts w:hint="eastAsia" w:ascii="仿宋_GB2312" w:hAnsi="仿宋_GB2312" w:eastAsia="仿宋_GB2312" w:cs="仿宋_GB2312"/>
          <w:color w:val="auto"/>
          <w:sz w:val="32"/>
          <w:szCs w:val="32"/>
        </w:rPr>
        <w:instrText xml:space="preserve"> TOC \o "1-3" \h \z \u </w:instrText>
      </w:r>
      <w:r>
        <w:rPr>
          <w:rStyle w:val="18"/>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_Toc1425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总  则</w:t>
      </w:r>
      <w:r>
        <w:rPr>
          <w:sz w:val="32"/>
          <w:szCs w:val="32"/>
        </w:rPr>
        <w:tab/>
      </w:r>
      <w:r>
        <w:rPr>
          <w:sz w:val="32"/>
          <w:szCs w:val="32"/>
        </w:rPr>
        <w:fldChar w:fldCharType="begin"/>
      </w:r>
      <w:r>
        <w:rPr>
          <w:sz w:val="32"/>
          <w:szCs w:val="32"/>
        </w:rPr>
        <w:instrText xml:space="preserve"> PAGEREF _Toc1425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_Toc31833 </w:instrText>
      </w:r>
      <w:r>
        <w:rPr>
          <w:rFonts w:hint="eastAsia" w:ascii="仿宋_GB2312" w:hAnsi="仿宋_GB2312" w:eastAsia="仿宋_GB2312" w:cs="仿宋_GB2312"/>
          <w:sz w:val="32"/>
          <w:szCs w:val="32"/>
        </w:rPr>
        <w:fldChar w:fldCharType="separate"/>
      </w:r>
      <w:r>
        <w:rPr>
          <w:rFonts w:hint="eastAsia" w:ascii="黑体" w:hAnsi="黑体" w:eastAsia="黑体" w:cs="黑体"/>
          <w:bCs w:val="0"/>
          <w:sz w:val="32"/>
          <w:szCs w:val="32"/>
        </w:rPr>
        <w:t>一、现状与形势</w:t>
      </w:r>
      <w:r>
        <w:rPr>
          <w:sz w:val="32"/>
          <w:szCs w:val="32"/>
        </w:rPr>
        <w:tab/>
      </w:r>
      <w:r>
        <w:rPr>
          <w:sz w:val="32"/>
          <w:szCs w:val="32"/>
        </w:rPr>
        <w:fldChar w:fldCharType="begin"/>
      </w:r>
      <w:r>
        <w:rPr>
          <w:sz w:val="32"/>
          <w:szCs w:val="32"/>
        </w:rPr>
        <w:instrText xml:space="preserve"> PAGEREF _Toc31833 \h </w:instrText>
      </w:r>
      <w:r>
        <w:rPr>
          <w:sz w:val="32"/>
          <w:szCs w:val="32"/>
        </w:rPr>
        <w:fldChar w:fldCharType="separate"/>
      </w:r>
      <w:r>
        <w:rPr>
          <w:sz w:val="32"/>
          <w:szCs w:val="32"/>
        </w:rPr>
        <w:t>5</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_Toc30983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rPr>
        <w:t>（一）矿产资源概况及开发利用现状</w:t>
      </w:r>
      <w:r>
        <w:rPr>
          <w:sz w:val="32"/>
          <w:szCs w:val="32"/>
        </w:rPr>
        <w:tab/>
      </w:r>
      <w:r>
        <w:rPr>
          <w:sz w:val="32"/>
          <w:szCs w:val="32"/>
        </w:rPr>
        <w:fldChar w:fldCharType="begin"/>
      </w:r>
      <w:r>
        <w:rPr>
          <w:sz w:val="32"/>
          <w:szCs w:val="32"/>
        </w:rPr>
        <w:instrText xml:space="preserve"> PAGEREF _Toc30983 \h </w:instrText>
      </w:r>
      <w:r>
        <w:rPr>
          <w:sz w:val="32"/>
          <w:szCs w:val="32"/>
        </w:rPr>
        <w:fldChar w:fldCharType="separate"/>
      </w:r>
      <w:r>
        <w:rPr>
          <w:sz w:val="32"/>
          <w:szCs w:val="32"/>
        </w:rPr>
        <w:t>5</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_Toc12637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rPr>
        <w:t>（二）上轮规划实施成效</w:t>
      </w:r>
      <w:r>
        <w:rPr>
          <w:sz w:val="32"/>
          <w:szCs w:val="32"/>
        </w:rPr>
        <w:tab/>
      </w:r>
      <w:r>
        <w:rPr>
          <w:sz w:val="32"/>
          <w:szCs w:val="32"/>
        </w:rPr>
        <w:fldChar w:fldCharType="begin"/>
      </w:r>
      <w:r>
        <w:rPr>
          <w:sz w:val="32"/>
          <w:szCs w:val="32"/>
        </w:rPr>
        <w:instrText xml:space="preserve"> PAGEREF _Toc12637 \h </w:instrText>
      </w:r>
      <w:r>
        <w:rPr>
          <w:sz w:val="32"/>
          <w:szCs w:val="32"/>
        </w:rPr>
        <w:fldChar w:fldCharType="separate"/>
      </w:r>
      <w:r>
        <w:rPr>
          <w:sz w:val="32"/>
          <w:szCs w:val="32"/>
        </w:rPr>
        <w:t>7</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_Toc18670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（三）新形势与新要求</w:t>
      </w:r>
      <w:r>
        <w:rPr>
          <w:sz w:val="32"/>
          <w:szCs w:val="32"/>
        </w:rPr>
        <w:tab/>
      </w:r>
      <w:r>
        <w:rPr>
          <w:sz w:val="32"/>
          <w:szCs w:val="32"/>
        </w:rPr>
        <w:fldChar w:fldCharType="begin"/>
      </w:r>
      <w:r>
        <w:rPr>
          <w:sz w:val="32"/>
          <w:szCs w:val="32"/>
        </w:rPr>
        <w:instrText xml:space="preserve"> PAGEREF _Toc18670 \h </w:instrText>
      </w:r>
      <w:r>
        <w:rPr>
          <w:sz w:val="32"/>
          <w:szCs w:val="32"/>
        </w:rPr>
        <w:fldChar w:fldCharType="separate"/>
      </w:r>
      <w:r>
        <w:rPr>
          <w:sz w:val="32"/>
          <w:szCs w:val="32"/>
        </w:rPr>
        <w:t>8</w:t>
      </w:r>
      <w:r>
        <w:rPr>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_Toc7538 </w:instrText>
      </w:r>
      <w:r>
        <w:rPr>
          <w:rFonts w:hint="eastAsia" w:ascii="仿宋_GB2312" w:hAnsi="仿宋_GB2312" w:eastAsia="仿宋_GB2312" w:cs="仿宋_GB2312"/>
          <w:sz w:val="32"/>
          <w:szCs w:val="32"/>
        </w:rPr>
        <w:fldChar w:fldCharType="separate"/>
      </w:r>
      <w:r>
        <w:rPr>
          <w:rFonts w:hint="eastAsia" w:ascii="黑体" w:hAnsi="黑体" w:eastAsia="黑体" w:cs="黑体"/>
          <w:bCs w:val="0"/>
          <w:sz w:val="32"/>
          <w:szCs w:val="32"/>
        </w:rPr>
        <w:t>二、规划指导思想、原则与目标</w:t>
      </w:r>
      <w:r>
        <w:rPr>
          <w:sz w:val="32"/>
          <w:szCs w:val="32"/>
        </w:rPr>
        <w:tab/>
      </w:r>
      <w:r>
        <w:rPr>
          <w:sz w:val="32"/>
          <w:szCs w:val="32"/>
        </w:rPr>
        <w:fldChar w:fldCharType="begin"/>
      </w:r>
      <w:r>
        <w:rPr>
          <w:sz w:val="32"/>
          <w:szCs w:val="32"/>
        </w:rPr>
        <w:instrText xml:space="preserve"> PAGEREF _Toc7538 \h </w:instrText>
      </w:r>
      <w:r>
        <w:rPr>
          <w:sz w:val="32"/>
          <w:szCs w:val="32"/>
        </w:rPr>
        <w:fldChar w:fldCharType="separate"/>
      </w:r>
      <w:r>
        <w:rPr>
          <w:sz w:val="32"/>
          <w:szCs w:val="32"/>
        </w:rPr>
        <w:t>10</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_Toc30572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（一）指导思想</w:t>
      </w:r>
      <w:r>
        <w:rPr>
          <w:sz w:val="32"/>
          <w:szCs w:val="32"/>
        </w:rPr>
        <w:tab/>
      </w:r>
      <w:r>
        <w:rPr>
          <w:sz w:val="32"/>
          <w:szCs w:val="32"/>
        </w:rPr>
        <w:fldChar w:fldCharType="begin"/>
      </w:r>
      <w:r>
        <w:rPr>
          <w:sz w:val="32"/>
          <w:szCs w:val="32"/>
        </w:rPr>
        <w:instrText xml:space="preserve"> PAGEREF _Toc30572 \h </w:instrText>
      </w:r>
      <w:r>
        <w:rPr>
          <w:sz w:val="32"/>
          <w:szCs w:val="32"/>
        </w:rPr>
        <w:fldChar w:fldCharType="separate"/>
      </w:r>
      <w:r>
        <w:rPr>
          <w:sz w:val="32"/>
          <w:szCs w:val="32"/>
        </w:rPr>
        <w:t>11</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_Toc10075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（二）基本原则</w:t>
      </w:r>
      <w:r>
        <w:rPr>
          <w:sz w:val="32"/>
          <w:szCs w:val="32"/>
        </w:rPr>
        <w:tab/>
      </w:r>
      <w:r>
        <w:rPr>
          <w:sz w:val="32"/>
          <w:szCs w:val="32"/>
        </w:rPr>
        <w:fldChar w:fldCharType="begin"/>
      </w:r>
      <w:r>
        <w:rPr>
          <w:sz w:val="32"/>
          <w:szCs w:val="32"/>
        </w:rPr>
        <w:instrText xml:space="preserve"> PAGEREF _Toc10075 \h </w:instrText>
      </w:r>
      <w:r>
        <w:rPr>
          <w:sz w:val="32"/>
          <w:szCs w:val="32"/>
        </w:rPr>
        <w:fldChar w:fldCharType="separate"/>
      </w:r>
      <w:r>
        <w:rPr>
          <w:sz w:val="32"/>
          <w:szCs w:val="32"/>
        </w:rPr>
        <w:t>11</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_Toc20648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（三）规划目标</w:t>
      </w:r>
      <w:r>
        <w:rPr>
          <w:sz w:val="32"/>
          <w:szCs w:val="32"/>
        </w:rPr>
        <w:tab/>
      </w:r>
      <w:r>
        <w:rPr>
          <w:sz w:val="32"/>
          <w:szCs w:val="32"/>
        </w:rPr>
        <w:fldChar w:fldCharType="begin"/>
      </w:r>
      <w:r>
        <w:rPr>
          <w:sz w:val="32"/>
          <w:szCs w:val="32"/>
        </w:rPr>
        <w:instrText xml:space="preserve"> PAGEREF _Toc20648 \h </w:instrText>
      </w:r>
      <w:r>
        <w:rPr>
          <w:sz w:val="32"/>
          <w:szCs w:val="32"/>
        </w:rPr>
        <w:fldChar w:fldCharType="separate"/>
      </w:r>
      <w:r>
        <w:rPr>
          <w:sz w:val="32"/>
          <w:szCs w:val="32"/>
        </w:rPr>
        <w:t>12</w:t>
      </w:r>
      <w:r>
        <w:rPr>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_Toc4452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三、矿产开发与资源产业布局</w:t>
      </w:r>
      <w:r>
        <w:rPr>
          <w:sz w:val="32"/>
          <w:szCs w:val="32"/>
        </w:rPr>
        <w:tab/>
      </w:r>
      <w:r>
        <w:rPr>
          <w:sz w:val="32"/>
          <w:szCs w:val="32"/>
        </w:rPr>
        <w:fldChar w:fldCharType="begin"/>
      </w:r>
      <w:r>
        <w:rPr>
          <w:sz w:val="32"/>
          <w:szCs w:val="32"/>
        </w:rPr>
        <w:instrText xml:space="preserve"> PAGEREF _Toc4452 \h </w:instrText>
      </w:r>
      <w:r>
        <w:rPr>
          <w:sz w:val="32"/>
          <w:szCs w:val="32"/>
        </w:rPr>
        <w:fldChar w:fldCharType="separate"/>
      </w:r>
      <w:r>
        <w:rPr>
          <w:sz w:val="32"/>
          <w:szCs w:val="32"/>
        </w:rPr>
        <w:t>14</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_Toc8563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（一）矿产资源勘查开发调控方向</w:t>
      </w:r>
      <w:r>
        <w:rPr>
          <w:sz w:val="32"/>
          <w:szCs w:val="32"/>
        </w:rPr>
        <w:tab/>
      </w:r>
      <w:r>
        <w:rPr>
          <w:sz w:val="32"/>
          <w:szCs w:val="32"/>
        </w:rPr>
        <w:fldChar w:fldCharType="begin"/>
      </w:r>
      <w:r>
        <w:rPr>
          <w:sz w:val="32"/>
          <w:szCs w:val="32"/>
        </w:rPr>
        <w:instrText xml:space="preserve"> PAGEREF _Toc8563 \h </w:instrText>
      </w:r>
      <w:r>
        <w:rPr>
          <w:sz w:val="32"/>
          <w:szCs w:val="32"/>
        </w:rPr>
        <w:fldChar w:fldCharType="separate"/>
      </w:r>
      <w:r>
        <w:rPr>
          <w:sz w:val="32"/>
          <w:szCs w:val="32"/>
        </w:rPr>
        <w:t>14</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_Toc8686 </w:instrText>
      </w:r>
      <w:r>
        <w:rPr>
          <w:rFonts w:hint="eastAsia" w:ascii="仿宋_GB2312" w:hAnsi="仿宋_GB2312" w:eastAsia="仿宋_GB2312" w:cs="仿宋_GB2312"/>
          <w:sz w:val="32"/>
          <w:szCs w:val="32"/>
        </w:rPr>
        <w:fldChar w:fldCharType="separate"/>
      </w:r>
      <w:r>
        <w:rPr>
          <w:rFonts w:hint="default" w:ascii="楷体_GB2312" w:hAnsi="楷体_GB2312" w:eastAsia="楷体_GB2312" w:cs="楷体_GB2312"/>
          <w:bCs w:val="0"/>
          <w:sz w:val="32"/>
          <w:szCs w:val="32"/>
          <w:lang w:val="en-US" w:eastAsia="zh-CN"/>
        </w:rPr>
        <w:t>（二）矿产资源产业重点发展区域</w:t>
      </w:r>
      <w:r>
        <w:rPr>
          <w:sz w:val="32"/>
          <w:szCs w:val="32"/>
        </w:rPr>
        <w:tab/>
      </w:r>
      <w:r>
        <w:rPr>
          <w:sz w:val="32"/>
          <w:szCs w:val="32"/>
        </w:rPr>
        <w:fldChar w:fldCharType="begin"/>
      </w:r>
      <w:r>
        <w:rPr>
          <w:sz w:val="32"/>
          <w:szCs w:val="32"/>
        </w:rPr>
        <w:instrText xml:space="preserve"> PAGEREF _Toc8686 \h </w:instrText>
      </w:r>
      <w:r>
        <w:rPr>
          <w:sz w:val="32"/>
          <w:szCs w:val="32"/>
        </w:rPr>
        <w:fldChar w:fldCharType="separate"/>
      </w:r>
      <w:r>
        <w:rPr>
          <w:sz w:val="32"/>
          <w:szCs w:val="32"/>
        </w:rPr>
        <w:t>14</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_Toc22586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（三）勘查开采与保护布局</w:t>
      </w:r>
      <w:r>
        <w:rPr>
          <w:sz w:val="32"/>
          <w:szCs w:val="32"/>
        </w:rPr>
        <w:tab/>
      </w:r>
      <w:r>
        <w:rPr>
          <w:sz w:val="32"/>
          <w:szCs w:val="32"/>
        </w:rPr>
        <w:fldChar w:fldCharType="begin"/>
      </w:r>
      <w:r>
        <w:rPr>
          <w:sz w:val="32"/>
          <w:szCs w:val="32"/>
        </w:rPr>
        <w:instrText xml:space="preserve"> PAGEREF _Toc22586 \h </w:instrText>
      </w:r>
      <w:r>
        <w:rPr>
          <w:sz w:val="32"/>
          <w:szCs w:val="32"/>
        </w:rPr>
        <w:fldChar w:fldCharType="separate"/>
      </w:r>
      <w:r>
        <w:rPr>
          <w:sz w:val="32"/>
          <w:szCs w:val="32"/>
        </w:rPr>
        <w:t>17</w:t>
      </w:r>
      <w:r>
        <w:rPr>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_Toc28944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四、加强矿产资源勘查开发利用与保护</w:t>
      </w:r>
      <w:r>
        <w:rPr>
          <w:sz w:val="32"/>
          <w:szCs w:val="32"/>
        </w:rPr>
        <w:tab/>
      </w:r>
      <w:r>
        <w:rPr>
          <w:sz w:val="32"/>
          <w:szCs w:val="32"/>
        </w:rPr>
        <w:fldChar w:fldCharType="begin"/>
      </w:r>
      <w:r>
        <w:rPr>
          <w:sz w:val="32"/>
          <w:szCs w:val="32"/>
        </w:rPr>
        <w:instrText xml:space="preserve"> PAGEREF _Toc28944 \h </w:instrText>
      </w:r>
      <w:r>
        <w:rPr>
          <w:sz w:val="32"/>
          <w:szCs w:val="32"/>
        </w:rPr>
        <w:fldChar w:fldCharType="separate"/>
      </w:r>
      <w:r>
        <w:rPr>
          <w:sz w:val="32"/>
          <w:szCs w:val="32"/>
        </w:rPr>
        <w:t>20</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_Toc2699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（一） 合理确定开发强度</w:t>
      </w:r>
      <w:r>
        <w:rPr>
          <w:sz w:val="32"/>
          <w:szCs w:val="32"/>
        </w:rPr>
        <w:tab/>
      </w:r>
      <w:r>
        <w:rPr>
          <w:sz w:val="32"/>
          <w:szCs w:val="32"/>
        </w:rPr>
        <w:fldChar w:fldCharType="begin"/>
      </w:r>
      <w:r>
        <w:rPr>
          <w:sz w:val="32"/>
          <w:szCs w:val="32"/>
        </w:rPr>
        <w:instrText xml:space="preserve"> PAGEREF _Toc2699 \h </w:instrText>
      </w:r>
      <w:r>
        <w:rPr>
          <w:sz w:val="32"/>
          <w:szCs w:val="32"/>
        </w:rPr>
        <w:fldChar w:fldCharType="separate"/>
      </w:r>
      <w:r>
        <w:rPr>
          <w:sz w:val="32"/>
          <w:szCs w:val="32"/>
        </w:rPr>
        <w:t>20</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_Toc3223 </w:instrText>
      </w:r>
      <w:r>
        <w:rPr>
          <w:rFonts w:hint="eastAsia" w:ascii="仿宋_GB2312" w:hAnsi="仿宋_GB2312" w:eastAsia="仿宋_GB2312" w:cs="仿宋_GB2312"/>
          <w:sz w:val="32"/>
          <w:szCs w:val="32"/>
        </w:rPr>
        <w:fldChar w:fldCharType="separate"/>
      </w:r>
      <w:r>
        <w:rPr>
          <w:rFonts w:hint="default" w:ascii="楷体_GB2312" w:hAnsi="楷体_GB2312" w:eastAsia="楷体_GB2312" w:cs="楷体_GB2312"/>
          <w:bCs w:val="0"/>
          <w:sz w:val="32"/>
          <w:szCs w:val="32"/>
          <w:lang w:val="en-US" w:eastAsia="zh-CN"/>
        </w:rPr>
        <w:t>（二）优化开发利用结构</w:t>
      </w:r>
      <w:r>
        <w:rPr>
          <w:sz w:val="32"/>
          <w:szCs w:val="32"/>
        </w:rPr>
        <w:tab/>
      </w:r>
      <w:r>
        <w:rPr>
          <w:sz w:val="32"/>
          <w:szCs w:val="32"/>
        </w:rPr>
        <w:fldChar w:fldCharType="begin"/>
      </w:r>
      <w:r>
        <w:rPr>
          <w:sz w:val="32"/>
          <w:szCs w:val="32"/>
        </w:rPr>
        <w:instrText xml:space="preserve"> PAGEREF _Toc3223 \h </w:instrText>
      </w:r>
      <w:r>
        <w:rPr>
          <w:sz w:val="32"/>
          <w:szCs w:val="32"/>
        </w:rPr>
        <w:fldChar w:fldCharType="separate"/>
      </w:r>
      <w:r>
        <w:rPr>
          <w:sz w:val="32"/>
          <w:szCs w:val="32"/>
        </w:rPr>
        <w:t>21</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_Toc27565 </w:instrText>
      </w:r>
      <w:r>
        <w:rPr>
          <w:rFonts w:hint="eastAsia" w:ascii="仿宋_GB2312" w:hAnsi="仿宋_GB2312" w:eastAsia="仿宋_GB2312" w:cs="仿宋_GB2312"/>
          <w:sz w:val="32"/>
          <w:szCs w:val="32"/>
        </w:rPr>
        <w:fldChar w:fldCharType="separate"/>
      </w:r>
      <w:r>
        <w:rPr>
          <w:rFonts w:hint="default" w:ascii="楷体_GB2312" w:hAnsi="楷体_GB2312" w:eastAsia="楷体_GB2312" w:cs="楷体_GB2312"/>
          <w:bCs w:val="0"/>
          <w:sz w:val="32"/>
          <w:szCs w:val="32"/>
          <w:lang w:val="en-US" w:eastAsia="zh-CN"/>
        </w:rPr>
        <w:t>（三）严格规划准入管理</w:t>
      </w:r>
      <w:r>
        <w:rPr>
          <w:sz w:val="32"/>
          <w:szCs w:val="32"/>
        </w:rPr>
        <w:tab/>
      </w:r>
      <w:r>
        <w:rPr>
          <w:sz w:val="32"/>
          <w:szCs w:val="32"/>
        </w:rPr>
        <w:fldChar w:fldCharType="begin"/>
      </w:r>
      <w:r>
        <w:rPr>
          <w:sz w:val="32"/>
          <w:szCs w:val="32"/>
        </w:rPr>
        <w:instrText xml:space="preserve"> PAGEREF _Toc27565 \h </w:instrText>
      </w:r>
      <w:r>
        <w:rPr>
          <w:sz w:val="32"/>
          <w:szCs w:val="32"/>
        </w:rPr>
        <w:fldChar w:fldCharType="separate"/>
      </w:r>
      <w:r>
        <w:rPr>
          <w:sz w:val="32"/>
          <w:szCs w:val="32"/>
        </w:rPr>
        <w:t>23</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_Toc27819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w:t>
      </w:r>
      <w:r>
        <w:rPr>
          <w:rFonts w:hint="default" w:ascii="楷体_GB2312" w:hAnsi="楷体_GB2312" w:eastAsia="楷体_GB2312" w:cs="楷体_GB2312"/>
          <w:bCs w:val="0"/>
          <w:sz w:val="32"/>
          <w:szCs w:val="32"/>
          <w:lang w:val="en-US" w:eastAsia="zh-CN"/>
        </w:rPr>
        <w:t>四）严格勘查开发监督管理</w:t>
      </w:r>
      <w:r>
        <w:rPr>
          <w:sz w:val="32"/>
          <w:szCs w:val="32"/>
        </w:rPr>
        <w:tab/>
      </w:r>
      <w:r>
        <w:rPr>
          <w:sz w:val="32"/>
          <w:szCs w:val="32"/>
        </w:rPr>
        <w:fldChar w:fldCharType="begin"/>
      </w:r>
      <w:r>
        <w:rPr>
          <w:sz w:val="32"/>
          <w:szCs w:val="32"/>
        </w:rPr>
        <w:instrText xml:space="preserve"> PAGEREF _Toc27819 \h </w:instrText>
      </w:r>
      <w:r>
        <w:rPr>
          <w:sz w:val="32"/>
          <w:szCs w:val="32"/>
        </w:rPr>
        <w:fldChar w:fldCharType="separate"/>
      </w:r>
      <w:r>
        <w:rPr>
          <w:sz w:val="32"/>
          <w:szCs w:val="32"/>
        </w:rPr>
        <w:t>24</w:t>
      </w:r>
      <w:r>
        <w:rPr>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_Toc25891 </w:instrText>
      </w:r>
      <w:r>
        <w:rPr>
          <w:rFonts w:hint="eastAsia" w:ascii="仿宋_GB2312" w:hAnsi="仿宋_GB2312" w:eastAsia="仿宋_GB2312" w:cs="仿宋_GB2312"/>
          <w:sz w:val="32"/>
          <w:szCs w:val="32"/>
        </w:rPr>
        <w:fldChar w:fldCharType="separate"/>
      </w:r>
      <w:r>
        <w:rPr>
          <w:rFonts w:hint="eastAsia" w:ascii="黑体" w:hAnsi="黑体" w:eastAsia="黑体" w:cs="黑体"/>
          <w:bCs w:val="0"/>
          <w:sz w:val="32"/>
          <w:szCs w:val="32"/>
        </w:rPr>
        <w:t>五、绿色</w:t>
      </w:r>
      <w:r>
        <w:rPr>
          <w:rFonts w:hint="eastAsia" w:ascii="黑体" w:hAnsi="黑体" w:eastAsia="黑体" w:cs="黑体"/>
          <w:bCs w:val="0"/>
          <w:sz w:val="32"/>
          <w:szCs w:val="32"/>
          <w:lang w:eastAsia="zh-CN"/>
        </w:rPr>
        <w:t>矿山建设</w:t>
      </w:r>
      <w:r>
        <w:rPr>
          <w:rFonts w:hint="eastAsia" w:ascii="黑体" w:hAnsi="黑体" w:eastAsia="黑体" w:cs="黑体"/>
          <w:bCs w:val="0"/>
          <w:sz w:val="32"/>
          <w:szCs w:val="32"/>
        </w:rPr>
        <w:t>与矿区生态保护</w:t>
      </w:r>
      <w:r>
        <w:rPr>
          <w:sz w:val="32"/>
          <w:szCs w:val="32"/>
        </w:rPr>
        <w:tab/>
      </w:r>
      <w:r>
        <w:rPr>
          <w:sz w:val="32"/>
          <w:szCs w:val="32"/>
        </w:rPr>
        <w:fldChar w:fldCharType="begin"/>
      </w:r>
      <w:r>
        <w:rPr>
          <w:sz w:val="32"/>
          <w:szCs w:val="32"/>
        </w:rPr>
        <w:instrText xml:space="preserve"> PAGEREF _Toc25891 \h </w:instrText>
      </w:r>
      <w:r>
        <w:rPr>
          <w:sz w:val="32"/>
          <w:szCs w:val="32"/>
        </w:rPr>
        <w:fldChar w:fldCharType="separate"/>
      </w:r>
      <w:r>
        <w:rPr>
          <w:sz w:val="32"/>
          <w:szCs w:val="32"/>
        </w:rPr>
        <w:t>26</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_Toc18137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（一）绿色勘查</w:t>
      </w:r>
      <w:r>
        <w:rPr>
          <w:sz w:val="32"/>
          <w:szCs w:val="32"/>
        </w:rPr>
        <w:tab/>
      </w:r>
      <w:r>
        <w:rPr>
          <w:sz w:val="32"/>
          <w:szCs w:val="32"/>
        </w:rPr>
        <w:fldChar w:fldCharType="begin"/>
      </w:r>
      <w:r>
        <w:rPr>
          <w:sz w:val="32"/>
          <w:szCs w:val="32"/>
        </w:rPr>
        <w:instrText xml:space="preserve"> PAGEREF _Toc18137 \h </w:instrText>
      </w:r>
      <w:r>
        <w:rPr>
          <w:sz w:val="32"/>
          <w:szCs w:val="32"/>
        </w:rPr>
        <w:fldChar w:fldCharType="separate"/>
      </w:r>
      <w:r>
        <w:rPr>
          <w:sz w:val="32"/>
          <w:szCs w:val="32"/>
        </w:rPr>
        <w:t>26</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_Toc18444 </w:instrText>
      </w:r>
      <w:r>
        <w:rPr>
          <w:rFonts w:hint="eastAsia" w:ascii="仿宋_GB2312" w:hAnsi="仿宋_GB2312" w:eastAsia="仿宋_GB2312" w:cs="仿宋_GB2312"/>
          <w:sz w:val="32"/>
          <w:szCs w:val="32"/>
        </w:rPr>
        <w:fldChar w:fldCharType="separate"/>
      </w:r>
      <w:r>
        <w:rPr>
          <w:rFonts w:hint="default" w:ascii="楷体_GB2312" w:hAnsi="楷体_GB2312" w:eastAsia="楷体_GB2312" w:cs="楷体_GB2312"/>
          <w:bCs w:val="0"/>
          <w:sz w:val="32"/>
          <w:szCs w:val="32"/>
          <w:lang w:val="en-US" w:eastAsia="zh-CN"/>
        </w:rPr>
        <w:t>（二）绿色矿山建设</w:t>
      </w:r>
      <w:r>
        <w:rPr>
          <w:sz w:val="32"/>
          <w:szCs w:val="32"/>
        </w:rPr>
        <w:tab/>
      </w:r>
      <w:r>
        <w:rPr>
          <w:sz w:val="32"/>
          <w:szCs w:val="32"/>
        </w:rPr>
        <w:fldChar w:fldCharType="begin"/>
      </w:r>
      <w:r>
        <w:rPr>
          <w:sz w:val="32"/>
          <w:szCs w:val="32"/>
        </w:rPr>
        <w:instrText xml:space="preserve"> PAGEREF _Toc18444 \h </w:instrText>
      </w:r>
      <w:r>
        <w:rPr>
          <w:sz w:val="32"/>
          <w:szCs w:val="32"/>
        </w:rPr>
        <w:fldChar w:fldCharType="separate"/>
      </w:r>
      <w:r>
        <w:rPr>
          <w:sz w:val="32"/>
          <w:szCs w:val="32"/>
        </w:rPr>
        <w:t>26</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_Toc31331 </w:instrText>
      </w:r>
      <w:r>
        <w:rPr>
          <w:rFonts w:hint="eastAsia" w:ascii="仿宋_GB2312" w:hAnsi="仿宋_GB2312" w:eastAsia="仿宋_GB2312" w:cs="仿宋_GB2312"/>
          <w:sz w:val="32"/>
          <w:szCs w:val="32"/>
        </w:rPr>
        <w:fldChar w:fldCharType="separate"/>
      </w:r>
      <w:r>
        <w:rPr>
          <w:rFonts w:hint="default" w:ascii="楷体_GB2312" w:hAnsi="楷体_GB2312" w:eastAsia="楷体_GB2312" w:cs="楷体_GB2312"/>
          <w:bCs w:val="0"/>
          <w:sz w:val="32"/>
          <w:szCs w:val="32"/>
          <w:lang w:val="en-US" w:eastAsia="zh-CN"/>
        </w:rPr>
        <w:t>（</w:t>
      </w:r>
      <w:r>
        <w:rPr>
          <w:rFonts w:hint="eastAsia" w:ascii="楷体_GB2312" w:hAnsi="楷体_GB2312" w:eastAsia="楷体_GB2312" w:cs="楷体_GB2312"/>
          <w:bCs w:val="0"/>
          <w:sz w:val="32"/>
          <w:szCs w:val="32"/>
          <w:lang w:val="en-US" w:eastAsia="zh-CN"/>
        </w:rPr>
        <w:t>三</w:t>
      </w:r>
      <w:r>
        <w:rPr>
          <w:rFonts w:hint="default" w:ascii="楷体_GB2312" w:hAnsi="楷体_GB2312" w:eastAsia="楷体_GB2312" w:cs="楷体_GB2312"/>
          <w:bCs w:val="0"/>
          <w:sz w:val="32"/>
          <w:szCs w:val="32"/>
          <w:lang w:val="en-US" w:eastAsia="zh-CN"/>
        </w:rPr>
        <w:t>）矿区生态保护修复</w:t>
      </w:r>
      <w:r>
        <w:rPr>
          <w:sz w:val="32"/>
          <w:szCs w:val="32"/>
        </w:rPr>
        <w:tab/>
      </w:r>
      <w:r>
        <w:rPr>
          <w:sz w:val="32"/>
          <w:szCs w:val="32"/>
        </w:rPr>
        <w:fldChar w:fldCharType="begin"/>
      </w:r>
      <w:r>
        <w:rPr>
          <w:sz w:val="32"/>
          <w:szCs w:val="32"/>
        </w:rPr>
        <w:instrText xml:space="preserve"> PAGEREF _Toc31331 \h </w:instrText>
      </w:r>
      <w:r>
        <w:rPr>
          <w:sz w:val="32"/>
          <w:szCs w:val="32"/>
        </w:rPr>
        <w:fldChar w:fldCharType="separate"/>
      </w:r>
      <w:r>
        <w:rPr>
          <w:sz w:val="32"/>
          <w:szCs w:val="32"/>
        </w:rPr>
        <w:t>27</w:t>
      </w:r>
      <w:r>
        <w:rPr>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_Toc1726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六、重大项目设置</w:t>
      </w:r>
      <w:r>
        <w:rPr>
          <w:sz w:val="32"/>
          <w:szCs w:val="32"/>
        </w:rPr>
        <w:tab/>
      </w:r>
      <w:r>
        <w:rPr>
          <w:sz w:val="32"/>
          <w:szCs w:val="32"/>
        </w:rPr>
        <w:fldChar w:fldCharType="begin"/>
      </w:r>
      <w:r>
        <w:rPr>
          <w:sz w:val="32"/>
          <w:szCs w:val="32"/>
        </w:rPr>
        <w:instrText xml:space="preserve"> PAGEREF _Toc1726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_Toc26616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（一）基础地质矿产调查工程</w:t>
      </w:r>
      <w:r>
        <w:rPr>
          <w:sz w:val="32"/>
          <w:szCs w:val="32"/>
        </w:rPr>
        <w:tab/>
      </w:r>
      <w:r>
        <w:rPr>
          <w:sz w:val="32"/>
          <w:szCs w:val="32"/>
        </w:rPr>
        <w:fldChar w:fldCharType="begin"/>
      </w:r>
      <w:r>
        <w:rPr>
          <w:sz w:val="32"/>
          <w:szCs w:val="32"/>
        </w:rPr>
        <w:instrText xml:space="preserve"> PAGEREF _Toc26616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_Toc8215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（二）矿产资源节约与综合利用示范工程</w:t>
      </w:r>
      <w:r>
        <w:rPr>
          <w:sz w:val="32"/>
          <w:szCs w:val="32"/>
        </w:rPr>
        <w:tab/>
      </w:r>
      <w:r>
        <w:rPr>
          <w:sz w:val="32"/>
          <w:szCs w:val="32"/>
        </w:rPr>
        <w:fldChar w:fldCharType="begin"/>
      </w:r>
      <w:r>
        <w:rPr>
          <w:sz w:val="32"/>
          <w:szCs w:val="32"/>
        </w:rPr>
        <w:instrText xml:space="preserve"> PAGEREF _Toc8215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_Toc22597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（三）重大基础建设建筑石料资源保障工程</w:t>
      </w:r>
      <w:r>
        <w:rPr>
          <w:sz w:val="32"/>
          <w:szCs w:val="32"/>
        </w:rPr>
        <w:tab/>
      </w:r>
      <w:r>
        <w:rPr>
          <w:sz w:val="32"/>
          <w:szCs w:val="32"/>
        </w:rPr>
        <w:fldChar w:fldCharType="begin"/>
      </w:r>
      <w:r>
        <w:rPr>
          <w:sz w:val="32"/>
          <w:szCs w:val="32"/>
        </w:rPr>
        <w:instrText xml:space="preserve"> PAGEREF _Toc22597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_Toc29258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七、规划保障措施</w:t>
      </w:r>
      <w:r>
        <w:rPr>
          <w:sz w:val="32"/>
          <w:szCs w:val="32"/>
        </w:rPr>
        <w:tab/>
      </w:r>
      <w:r>
        <w:rPr>
          <w:sz w:val="32"/>
          <w:szCs w:val="32"/>
        </w:rPr>
        <w:fldChar w:fldCharType="begin"/>
      </w:r>
      <w:r>
        <w:rPr>
          <w:sz w:val="32"/>
          <w:szCs w:val="32"/>
        </w:rPr>
        <w:instrText xml:space="preserve"> PAGEREF _Toc29258 \h </w:instrText>
      </w:r>
      <w:r>
        <w:rPr>
          <w:sz w:val="32"/>
          <w:szCs w:val="32"/>
        </w:rPr>
        <w:fldChar w:fldCharType="separate"/>
      </w:r>
      <w:r>
        <w:rPr>
          <w:sz w:val="32"/>
          <w:szCs w:val="32"/>
        </w:rPr>
        <w:t>32</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_Toc28673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（一）加强规划实施目标责任考核</w:t>
      </w:r>
      <w:r>
        <w:rPr>
          <w:sz w:val="32"/>
          <w:szCs w:val="32"/>
        </w:rPr>
        <w:tab/>
      </w:r>
      <w:r>
        <w:rPr>
          <w:sz w:val="32"/>
          <w:szCs w:val="32"/>
        </w:rPr>
        <w:fldChar w:fldCharType="begin"/>
      </w:r>
      <w:r>
        <w:rPr>
          <w:sz w:val="32"/>
          <w:szCs w:val="32"/>
        </w:rPr>
        <w:instrText xml:space="preserve"> PAGEREF _Toc28673 \h </w:instrText>
      </w:r>
      <w:r>
        <w:rPr>
          <w:sz w:val="32"/>
          <w:szCs w:val="32"/>
        </w:rPr>
        <w:fldChar w:fldCharType="separate"/>
      </w:r>
      <w:r>
        <w:rPr>
          <w:sz w:val="32"/>
          <w:szCs w:val="32"/>
        </w:rPr>
        <w:t>32</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_Toc6459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（二）加强规划实施评估调整</w:t>
      </w:r>
      <w:r>
        <w:rPr>
          <w:sz w:val="32"/>
          <w:szCs w:val="32"/>
        </w:rPr>
        <w:tab/>
      </w:r>
      <w:r>
        <w:rPr>
          <w:sz w:val="32"/>
          <w:szCs w:val="32"/>
        </w:rPr>
        <w:fldChar w:fldCharType="begin"/>
      </w:r>
      <w:r>
        <w:rPr>
          <w:sz w:val="32"/>
          <w:szCs w:val="32"/>
        </w:rPr>
        <w:instrText xml:space="preserve"> PAGEREF _Toc6459 \h </w:instrText>
      </w:r>
      <w:r>
        <w:rPr>
          <w:sz w:val="32"/>
          <w:szCs w:val="32"/>
        </w:rPr>
        <w:fldChar w:fldCharType="separate"/>
      </w:r>
      <w:r>
        <w:rPr>
          <w:sz w:val="32"/>
          <w:szCs w:val="32"/>
        </w:rPr>
        <w:t>32</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rPr>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_Toc25950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（三）规范实施情况监督检查</w:t>
      </w:r>
      <w:r>
        <w:rPr>
          <w:sz w:val="32"/>
          <w:szCs w:val="32"/>
        </w:rPr>
        <w:tab/>
      </w:r>
      <w:r>
        <w:rPr>
          <w:sz w:val="32"/>
          <w:szCs w:val="32"/>
        </w:rPr>
        <w:fldChar w:fldCharType="begin"/>
      </w:r>
      <w:r>
        <w:rPr>
          <w:sz w:val="32"/>
          <w:szCs w:val="32"/>
        </w:rPr>
        <w:instrText xml:space="preserve"> PAGEREF _Toc25950 \h </w:instrText>
      </w:r>
      <w:r>
        <w:rPr>
          <w:sz w:val="32"/>
          <w:szCs w:val="32"/>
        </w:rPr>
        <w:fldChar w:fldCharType="separate"/>
      </w:r>
      <w:r>
        <w:rPr>
          <w:sz w:val="32"/>
          <w:szCs w:val="32"/>
        </w:rPr>
        <w:t>32</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312"/>
        </w:tabs>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_Toc23725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bCs w:val="0"/>
          <w:sz w:val="32"/>
          <w:szCs w:val="32"/>
          <w:lang w:val="en-US" w:eastAsia="zh-CN"/>
        </w:rPr>
        <w:t>（四）提高规划管理信息化水平</w:t>
      </w:r>
      <w:r>
        <w:rPr>
          <w:sz w:val="32"/>
          <w:szCs w:val="32"/>
        </w:rPr>
        <w:tab/>
      </w:r>
      <w:r>
        <w:rPr>
          <w:sz w:val="32"/>
          <w:szCs w:val="32"/>
        </w:rPr>
        <w:fldChar w:fldCharType="begin"/>
      </w:r>
      <w:r>
        <w:rPr>
          <w:sz w:val="32"/>
          <w:szCs w:val="32"/>
        </w:rPr>
        <w:instrText xml:space="preserve"> PAGEREF _Toc23725 \h </w:instrText>
      </w:r>
      <w:r>
        <w:rPr>
          <w:sz w:val="32"/>
          <w:szCs w:val="32"/>
        </w:rPr>
        <w:fldChar w:fldCharType="separate"/>
      </w:r>
      <w:r>
        <w:rPr>
          <w:sz w:val="32"/>
          <w:szCs w:val="32"/>
        </w:rPr>
        <w:t>33</w:t>
      </w:r>
      <w:r>
        <w:rPr>
          <w:sz w:val="32"/>
          <w:szCs w:val="32"/>
        </w:rPr>
        <w:fldChar w:fldCharType="end"/>
      </w:r>
      <w:r>
        <w:rPr>
          <w:rFonts w:hint="eastAsia" w:ascii="仿宋_GB2312" w:hAnsi="仿宋_GB2312" w:eastAsia="仿宋_GB2312" w:cs="仿宋_GB2312"/>
          <w:color w:val="auto"/>
          <w:sz w:val="32"/>
          <w:szCs w:val="32"/>
        </w:rPr>
        <w:fldChar w:fldCharType="end"/>
      </w:r>
    </w:p>
    <w:p>
      <w:pPr>
        <w:pStyle w:val="12"/>
        <w:tabs>
          <w:tab w:val="right" w:leader="dot" w:pos="8296"/>
        </w:tabs>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fldChar w:fldCharType="end"/>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1071"/>
        </w:tabs>
        <w:bidi w:val="0"/>
        <w:jc w:val="left"/>
        <w:rPr>
          <w:rFonts w:hint="eastAsia" w:eastAsia="宋体"/>
          <w:lang w:eastAsia="zh-CN"/>
        </w:rPr>
        <w:sectPr>
          <w:footerReference r:id="rId3" w:type="default"/>
          <w:pgSz w:w="11906" w:h="16838"/>
          <w:pgMar w:top="1440" w:right="1797" w:bottom="1440" w:left="1797" w:header="851" w:footer="992" w:gutter="0"/>
          <w:pgNumType w:fmt="decimal" w:start="1"/>
          <w:cols w:space="425" w:num="1"/>
          <w:docGrid w:type="lines" w:linePitch="312" w:charSpace="0"/>
        </w:sectPr>
      </w:pPr>
      <w:r>
        <w:rPr>
          <w:rFonts w:hint="eastAsia"/>
          <w:lang w:eastAsia="zh-CN"/>
        </w:rPr>
        <w:tab/>
      </w:r>
    </w:p>
    <w:p>
      <w:pPr>
        <w:rPr>
          <w:rFonts w:hint="eastAsia"/>
        </w:rPr>
      </w:pPr>
    </w:p>
    <w:p>
      <w:pPr>
        <w:pStyle w:val="2"/>
        <w:spacing w:before="120" w:afterLines="120" w:line="360" w:lineRule="auto"/>
        <w:jc w:val="center"/>
        <w:rPr>
          <w:rFonts w:hint="eastAsia" w:ascii="仿宋" w:hAnsi="仿宋" w:eastAsia="仿宋" w:cs="仿宋"/>
          <w:sz w:val="32"/>
          <w:szCs w:val="32"/>
        </w:rPr>
      </w:pPr>
      <w:bookmarkStart w:id="3" w:name="_Toc78554910"/>
      <w:bookmarkStart w:id="4" w:name="_Toc1425"/>
      <w:r>
        <w:rPr>
          <w:rFonts w:hint="eastAsia" w:ascii="黑体" w:hAnsi="黑体" w:eastAsia="黑体" w:cs="黑体"/>
          <w:sz w:val="32"/>
          <w:szCs w:val="32"/>
        </w:rPr>
        <w:t>总  则</w:t>
      </w:r>
      <w:bookmarkEnd w:id="3"/>
      <w:bookmarkEnd w:id="4"/>
    </w:p>
    <w:bookmarkEnd w:id="0"/>
    <w:bookmarkEnd w:id="1"/>
    <w:bookmarkEnd w:id="2"/>
    <w:p>
      <w:pPr>
        <w:tabs>
          <w:tab w:val="center" w:pos="4156"/>
        </w:tabs>
        <w:bidi w:val="0"/>
        <w:ind w:firstLine="640" w:firstLineChars="200"/>
        <w:jc w:val="both"/>
        <w:rPr>
          <w:rFonts w:hint="default" w:ascii="Times New Roman" w:hAnsi="Times New Roman" w:eastAsia="仿宋_GB2312" w:cs="Times New Roman"/>
          <w:sz w:val="32"/>
          <w:szCs w:val="32"/>
        </w:rPr>
      </w:pPr>
      <w:bookmarkStart w:id="5" w:name="_Toc99809522"/>
      <w:bookmarkStart w:id="6" w:name="_Toc99809523"/>
      <w:r>
        <w:rPr>
          <w:rFonts w:hint="default" w:ascii="Times New Roman" w:hAnsi="Times New Roman" w:eastAsia="仿宋_GB2312" w:cs="Times New Roman"/>
          <w:sz w:val="32"/>
          <w:szCs w:val="32"/>
        </w:rPr>
        <w:t>矿产资源是国民经济和社会发展的重要物质基础，矿产资源保护与合理开发利用事关经济社会发展全局。为加强对地质勘查、矿产资源开发利用与保护的监督管理，优化矿产资源产业布局，提高矿产资源供应保障能力，促进绿色矿业高质量发展。依据《中华人民共和国矿产资源法》、《自然资源部关于全面开展矿产资源规划（2021～2025年）编制工作的通知》（自然资发〔2020〕43号）等法律法规和文件，以及《广东省矿产资源总体规划（2021～2025年）》《河源市矿产资源总体规划（2021～2025年）》《河源市国土空间总体规划（2020～2035年）》和《连平县国民经济与社会发展第十四个五年规划和二〇三五年远景目标纲要》等制定的目标任务，制定《连平县矿产资源总体规划（2021～2025年）》（以下简称《规划》）。</w:t>
      </w:r>
    </w:p>
    <w:p>
      <w:pPr>
        <w:tabs>
          <w:tab w:val="center" w:pos="4156"/>
        </w:tabs>
        <w:bidi w:val="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是落实国家资源安全战略、加强和改善矿产资源精细化管理的重要手段，是河源市矿产资源总体规划体系的重要组成部分，是指导全县矿产资源勘查、开发和保护的指导性文件，是依法审批和监督管理地质勘查、矿产资源开发利用与保护活动的重要依据。</w:t>
      </w:r>
    </w:p>
    <w:p>
      <w:pPr>
        <w:tabs>
          <w:tab w:val="center" w:pos="4156"/>
        </w:tabs>
        <w:bidi w:val="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《规划》以2020年为基期，以2025年为目标年，展望至2035年。《规划》适用于连平县所辖行政区域。</w:t>
      </w:r>
    </w:p>
    <w:p>
      <w:pPr>
        <w:keepNext w:val="0"/>
        <w:keepLines w:val="0"/>
        <w:pageBreakBefore w:val="0"/>
        <w:widowControl w:val="0"/>
        <w:tabs>
          <w:tab w:val="center" w:pos="4156"/>
        </w:tabs>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b w:val="0"/>
          <w:bCs w:val="0"/>
          <w:sz w:val="32"/>
          <w:szCs w:val="32"/>
        </w:rPr>
      </w:pPr>
      <w:bookmarkStart w:id="7" w:name="_Toc31833"/>
      <w:r>
        <w:rPr>
          <w:rFonts w:hint="eastAsia" w:ascii="黑体" w:hAnsi="黑体" w:eastAsia="黑体" w:cs="黑体"/>
          <w:b w:val="0"/>
          <w:bCs w:val="0"/>
          <w:sz w:val="32"/>
          <w:szCs w:val="32"/>
        </w:rPr>
        <w:t>一、现状与形势</w:t>
      </w:r>
      <w:bookmarkEnd w:id="5"/>
      <w:bookmarkEnd w:id="7"/>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rPr>
      </w:pPr>
      <w:bookmarkStart w:id="8" w:name="_Toc30983"/>
      <w:r>
        <w:rPr>
          <w:rFonts w:hint="eastAsia" w:ascii="楷体_GB2312" w:hAnsi="楷体_GB2312" w:eastAsia="楷体_GB2312" w:cs="楷体_GB2312"/>
          <w:b w:val="0"/>
          <w:bCs w:val="0"/>
          <w:sz w:val="32"/>
          <w:szCs w:val="32"/>
        </w:rPr>
        <w:t>（一）矿产资源概况及开发利用现状</w:t>
      </w:r>
      <w:bookmarkEnd w:id="6"/>
      <w:bookmarkEnd w:id="8"/>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9" w:name="_Toc78554912"/>
      <w:r>
        <w:rPr>
          <w:rFonts w:hint="eastAsia" w:ascii="仿宋_GB2312" w:hAnsi="仿宋_GB2312" w:eastAsia="仿宋_GB2312" w:cs="仿宋_GB2312"/>
          <w:b/>
          <w:bCs/>
          <w:kern w:val="2"/>
          <w:sz w:val="32"/>
          <w:szCs w:val="32"/>
          <w:lang w:val="en-US" w:eastAsia="zh-CN" w:bidi="ar-SA"/>
        </w:rPr>
        <w:t>1.矿产资源概况</w:t>
      </w:r>
      <w:bookmarkEnd w:id="9"/>
    </w:p>
    <w:p>
      <w:pPr>
        <w:pageBreakBefore w:val="0"/>
        <w:widowControl w:val="0"/>
        <w:kinsoku/>
        <w:wordWrap/>
        <w:overflowPunct/>
        <w:topLinePunct w:val="0"/>
        <w:autoSpaceDE/>
        <w:autoSpaceDN/>
        <w:bidi w:val="0"/>
        <w:adjustRightInd/>
        <w:snapToGrid/>
        <w:spacing w:line="600" w:lineRule="exact"/>
        <w:ind w:firstLine="55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平县位于河源市西北部，属粤北九连山区，地形复杂。地势自北向东南和西南方向倾斜，平均标高693.5米，有粤东北第一高峰黄牛石。连平拥有“一流的环境、一流的森林、一流的水质”，是“广东生态县”和“全国生态建设示范区”，具有良好的生态环境和丰富的旅游资源。</w:t>
      </w:r>
    </w:p>
    <w:p>
      <w:pPr>
        <w:pageBreakBefore w:val="0"/>
        <w:widowControl w:val="0"/>
        <w:kinsoku/>
        <w:wordWrap/>
        <w:overflowPunct/>
        <w:topLinePunct w:val="0"/>
        <w:autoSpaceDE/>
        <w:autoSpaceDN/>
        <w:bidi w:val="0"/>
        <w:adjustRightInd/>
        <w:snapToGrid/>
        <w:spacing w:line="600" w:lineRule="exact"/>
        <w:ind w:firstLine="55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平县地处南岭成矿带东南缘，成矿地质条件较好，矿产资源丰富，截至2020年底，已发现矿种20多种。经地质工作评价并估算了资源量的矿产地45处，其中：金属矿产9种，矿产地25处；非金属矿产10种，矿产地19处。</w:t>
      </w:r>
    </w:p>
    <w:tbl>
      <w:tblPr>
        <w:tblStyle w:val="14"/>
        <w:tblW w:w="85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4933"/>
        <w:gridCol w:w="2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17" w:type="dxa"/>
            <w:gridSpan w:val="3"/>
            <w:tcBorders>
              <w:top w:val="single" w:color="auto" w:sz="12" w:space="0"/>
            </w:tcBorders>
          </w:tcPr>
          <w:p>
            <w:pPr>
              <w:widowControl/>
              <w:jc w:val="center"/>
              <w:rPr>
                <w:rFonts w:hint="eastAsia" w:ascii="仿宋" w:hAnsi="仿宋" w:eastAsia="仿宋" w:cs="仿宋"/>
                <w:b/>
                <w:bCs/>
                <w:kern w:val="0"/>
                <w:sz w:val="24"/>
                <w:szCs w:val="24"/>
              </w:rPr>
            </w:pPr>
            <w:r>
              <w:rPr>
                <w:rFonts w:hint="eastAsia" w:ascii="仿宋" w:hAnsi="仿宋" w:eastAsia="仿宋" w:cs="仿宋"/>
                <w:kern w:val="0"/>
                <w:sz w:val="24"/>
                <w:szCs w:val="24"/>
              </w:rPr>
              <w:t>　</w:t>
            </w:r>
            <w:r>
              <w:rPr>
                <w:rFonts w:hint="eastAsia" w:ascii="仿宋" w:hAnsi="仿宋" w:eastAsia="仿宋" w:cs="仿宋"/>
                <w:b/>
                <w:bCs/>
                <w:kern w:val="0"/>
                <w:sz w:val="24"/>
                <w:szCs w:val="24"/>
              </w:rPr>
              <w:t>专栏1  矿产资源概况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74" w:type="dxa"/>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分类</w:t>
            </w:r>
          </w:p>
        </w:tc>
        <w:tc>
          <w:tcPr>
            <w:tcW w:w="4933" w:type="dxa"/>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矿种</w:t>
            </w:r>
          </w:p>
        </w:tc>
        <w:tc>
          <w:tcPr>
            <w:tcW w:w="211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矿产地（矿点）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金属矿产</w:t>
            </w:r>
          </w:p>
        </w:tc>
        <w:tc>
          <w:tcPr>
            <w:tcW w:w="4933" w:type="dxa"/>
            <w:vAlign w:val="center"/>
          </w:tcPr>
          <w:p>
            <w:pPr>
              <w:widowControl/>
              <w:spacing w:line="400" w:lineRule="exact"/>
              <w:jc w:val="left"/>
              <w:rPr>
                <w:rFonts w:hint="eastAsia" w:ascii="仿宋" w:hAnsi="仿宋" w:eastAsia="仿宋" w:cs="仿宋"/>
                <w:kern w:val="0"/>
                <w:sz w:val="24"/>
                <w:szCs w:val="24"/>
                <w:lang w:eastAsia="zh-CN"/>
              </w:rPr>
            </w:pPr>
            <w:r>
              <w:rPr>
                <w:rFonts w:hint="eastAsia" w:ascii="仿宋" w:hAnsi="仿宋" w:eastAsia="仿宋" w:cs="仿宋"/>
                <w:sz w:val="24"/>
                <w:szCs w:val="24"/>
              </w:rPr>
              <w:t>铁、铜、铅、锌、钨、金、银、锡、钼</w:t>
            </w:r>
            <w:r>
              <w:rPr>
                <w:rFonts w:hint="eastAsia" w:ascii="仿宋" w:hAnsi="仿宋" w:eastAsia="仿宋" w:cs="仿宋"/>
                <w:sz w:val="24"/>
                <w:szCs w:val="24"/>
                <w:lang w:eastAsia="zh-CN"/>
              </w:rPr>
              <w:t>、稀土矿</w:t>
            </w:r>
          </w:p>
        </w:tc>
        <w:tc>
          <w:tcPr>
            <w:tcW w:w="2110"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非金属矿产</w:t>
            </w:r>
          </w:p>
        </w:tc>
        <w:tc>
          <w:tcPr>
            <w:tcW w:w="4933" w:type="dxa"/>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sz w:val="24"/>
                <w:szCs w:val="24"/>
              </w:rPr>
              <w:t>高岭土矿、建筑用辉绿岩、建筑用石料（凝灰岩）、建筑用砂岩、建筑用大理岩、建筑用石料灰岩、建筑用花岗石、饰面用灰岩、砖瓦用砂岩、砖瓦用页岩</w:t>
            </w:r>
          </w:p>
        </w:tc>
        <w:tc>
          <w:tcPr>
            <w:tcW w:w="211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74" w:type="dxa"/>
            <w:tcBorders>
              <w:bottom w:val="single" w:color="auto" w:sz="12" w:space="0"/>
            </w:tcBorders>
            <w:vAlign w:val="center"/>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水气矿产</w:t>
            </w:r>
          </w:p>
        </w:tc>
        <w:tc>
          <w:tcPr>
            <w:tcW w:w="4933" w:type="dxa"/>
            <w:tcBorders>
              <w:bottom w:val="single" w:color="auto" w:sz="12" w:space="0"/>
            </w:tcBorders>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地热（水）</w:t>
            </w:r>
          </w:p>
        </w:tc>
        <w:tc>
          <w:tcPr>
            <w:tcW w:w="2110" w:type="dxa"/>
            <w:tcBorders>
              <w:bottom w:val="single" w:color="auto" w:sz="12" w:space="0"/>
            </w:tcBorders>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r>
    </w:tbl>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（1）金属矿产种类多，资源量较为丰富，素有粤北“有色金属之乡”的称号，矿种主要有铁、钨、锡、钼、铅、锌等。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铁矿：本县优势矿产资源，有矿产地3处，主要分布在油溪镇，其中已累计探明资源量达1亿吨的大顶大型铁矿床目前尚保有资源量2848.537万吨。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钨锡矿：本县优势矿产资源，矿产地1处，为连平县锯板坑钨锡多金属矿，目前尚有钨（WO3）保有资源量约3.11万吨；伴生锡资源量0.99万吨，储量规模为中型，是省内重要的钨矿产地。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铅锌矿：矿产地1处，为分布在元善镇的大尖山铅锌矿，目前尚保有铅锌矿资源量8.83万吨，铅锌资源储量达到中型规模。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钨钼矿：矿产地2处，为连平县隆街镇牛栏长垠钼多金属矿和连平县上坪镇鸡啼石钼多金属矿，其中连平县隆街镇牛栏长垠钼多金属矿已初步查明钨（WO3）资源量近7万吨，储量规模达大型。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稀土矿主要分布于西北部</w:t>
      </w:r>
      <w:r>
        <w:rPr>
          <w:rFonts w:hint="eastAsia" w:eastAsia="仿宋_GB2312" w:cs="Times New Roman"/>
          <w:sz w:val="32"/>
          <w:szCs w:val="32"/>
          <w:lang w:eastAsia="zh-CN"/>
        </w:rPr>
        <w:t>贵东</w:t>
      </w:r>
      <w:r>
        <w:rPr>
          <w:rFonts w:hint="default" w:ascii="Times New Roman" w:hAnsi="Times New Roman" w:eastAsia="仿宋_GB2312" w:cs="Times New Roman"/>
          <w:sz w:val="32"/>
          <w:szCs w:val="32"/>
        </w:rPr>
        <w:t>岩体、南部石背岩体。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金属矿产分布较为分散，矿种主要有高岭土（矿产地1处）、建筑用辉绿岩（矿产地1处）、建筑用凝灰岩（矿产地1处）、建筑用砂岩（矿产地1处）、建筑用大理岩（矿产地3处）、建筑用灰岩（矿产地1处）、建筑用花岗岩（矿产地1处）、饰面用灰岩（矿产地1处）、砖瓦用砂岩（矿产地3处）、砖瓦用页岩（矿产地5处）。</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2.矿产资源勘查与开发利用现状</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——基础地质调查与矿产勘查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至2020年底，全县已完成1︰20万区域地质调查、1︰20万水文地质调查、1︰20万重要成矿区带矿产远景区划；完成1：10万地质灾害详查调查与区划；完成1:5万区域地质调查3个图幅。金属矿勘查成果突出，先后探明大顶大型铁矿、锯板坑大型钨锡多金属矿、牛栏-长垠中型钨矿以及大尖山中型铅锌矿等一批大中型金属矿床，使连平县成为省内重要的铁矿、钨矿、铅锌矿资源基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2020年底，全县登记探矿权总数21个。勘查矿种包括铁、铜、铅、锌、钨、钼、金、银等。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28"/>
          <w:szCs w:val="28"/>
        </w:rPr>
      </w:pPr>
      <w:r>
        <w:rPr>
          <w:rFonts w:hint="eastAsia" w:ascii="Times New Roman" w:hAnsi="Times New Roman" w:eastAsia="仿宋_GB2312" w:cs="Times New Roman"/>
          <w:b/>
          <w:bCs/>
          <w:sz w:val="32"/>
          <w:szCs w:val="32"/>
        </w:rPr>
        <w:t>——矿产资源开发利用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bookmarkStart w:id="10" w:name="_Toc517360566"/>
      <w:bookmarkStart w:id="11" w:name="_Toc155693654"/>
      <w:r>
        <w:rPr>
          <w:rFonts w:hint="eastAsia" w:ascii="Times New Roman" w:hAnsi="Times New Roman" w:eastAsia="仿宋_GB2312" w:cs="Times New Roman"/>
          <w:sz w:val="32"/>
          <w:szCs w:val="32"/>
          <w:lang w:val="en-US" w:eastAsia="zh-CN"/>
        </w:rPr>
        <w:t>2020年底，全县持证开采矿山24个，其中金属矿山4个、非金属矿山20个。大中型矿山4个，占矿山总数的16.67%。开采矿种15种。固体矿产年开采量较多的矿种主要有铁矿、钨矿，其次为建筑石料用灰岩、建筑用花岗岩、建筑用辉绿岩等。主要矿产年开采量:铁矿286.25万吨、建筑用灰岩50万立方米。</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rPr>
      </w:pPr>
      <w:bookmarkStart w:id="12" w:name="_Toc12637"/>
      <w:r>
        <w:rPr>
          <w:rFonts w:hint="eastAsia" w:ascii="楷体_GB2312" w:hAnsi="楷体_GB2312" w:eastAsia="楷体_GB2312" w:cs="楷体_GB2312"/>
          <w:b w:val="0"/>
          <w:bCs w:val="0"/>
          <w:sz w:val="32"/>
          <w:szCs w:val="32"/>
        </w:rPr>
        <w:t>（二）上轮规划实施成效</w:t>
      </w:r>
      <w:bookmarkEnd w:id="10"/>
      <w:bookmarkEnd w:id="11"/>
      <w:bookmarkEnd w:id="12"/>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1.地质调查与矿产勘查有序推进，基本实现资源可持续发展。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实施基础地质调查和矿产勘查项目，提高了基础地质工作程度，矿产勘查也取得了较好的成果，并带动多个商业地质勘查迅速发展，地质工作多元化投入格局基本形成，积极引导社会资金投入商业性勘查，多个矿产勘查项目取得重大进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2.矿山地质环境恢复治理得到加强，绿色矿业发展初见成效。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eastAsia="仿宋_GB2312" w:cs="Times New Roman"/>
          <w:sz w:val="32"/>
          <w:szCs w:val="32"/>
          <w:lang w:eastAsia="zh-CN"/>
        </w:rPr>
        <w:t>县级</w:t>
      </w:r>
      <w:r>
        <w:rPr>
          <w:rFonts w:hint="eastAsia" w:ascii="Times New Roman" w:hAnsi="Times New Roman" w:eastAsia="仿宋_GB2312" w:cs="Times New Roman"/>
          <w:sz w:val="32"/>
          <w:szCs w:val="32"/>
        </w:rPr>
        <w:t>政府部门对矿山地质环境恢复治理和矿山土地复垦工作日趋重视，落实矿山地质环境治理保证金制度，有力推进了矿山地质环境恢复治理和矿山土地复垦工作，矿山地质环境得到明显改善。“十三五”期间，全县投入资金1876万元，完成矿山治理复绿总面积36公顷。已建成绿色矿山7个，其中大顶铁矿已建成国家级绿色矿山示范基地，大顶矿区环境优美，地质灾害治理率达到100%，矿山绿化覆盖率达到91.5%。</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3.矿产资源开发利用与保护水平明显提高。</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大中型矿山占比大幅提升，资源开发利用效率明显提升、矿业权布局持续优化，采石场总数较好控制。大中型矿山比例由12.5％提高至20％，采石场投放总数未超过9个，95％以上矿山的“三率”水平达标。</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28"/>
          <w:szCs w:val="28"/>
        </w:rPr>
      </w:pPr>
      <w:r>
        <w:rPr>
          <w:rFonts w:hint="eastAsia" w:ascii="Times New Roman" w:hAnsi="Times New Roman" w:eastAsia="仿宋_GB2312" w:cs="Times New Roman"/>
          <w:b/>
          <w:bCs/>
          <w:sz w:val="32"/>
          <w:szCs w:val="32"/>
        </w:rPr>
        <w:t>4.矿产资源管理改革有序推进，服务水平不断提高</w:t>
      </w:r>
      <w:r>
        <w:rPr>
          <w:rFonts w:hint="eastAsia" w:ascii="仿宋" w:hAnsi="仿宋" w:eastAsia="仿宋" w:cs="仿宋"/>
          <w:b/>
          <w:bCs/>
          <w:sz w:val="28"/>
          <w:szCs w:val="28"/>
        </w:rPr>
        <w:t>。</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bookmarkStart w:id="13" w:name="_Toc155693655"/>
      <w:bookmarkStart w:id="14" w:name="_Toc517360567"/>
      <w:r>
        <w:rPr>
          <w:rFonts w:hint="eastAsia" w:ascii="Times New Roman" w:hAnsi="Times New Roman" w:eastAsia="仿宋_GB2312" w:cs="Times New Roman"/>
          <w:sz w:val="32"/>
          <w:szCs w:val="32"/>
          <w:lang w:val="en-US" w:eastAsia="zh-CN"/>
        </w:rPr>
        <w:t>不断健全完善矿产资源分级分类管理制度，深化“放管服”改革，优化矿业权审批登记流程，优化营商环境。不断完善矿产资源勘查与开发利用监管措施与手段，超层越界开采、无证开采等非法采矿行为得到有效遏制，矿产资源开发秩序不断向好。全面推进第三类矿产资源通过招拍挂模式出让采矿权和全资源出让模式。</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5" w:name="_Toc18670"/>
      <w:r>
        <w:rPr>
          <w:rFonts w:hint="eastAsia" w:ascii="楷体_GB2312" w:hAnsi="楷体_GB2312" w:eastAsia="楷体_GB2312" w:cs="楷体_GB2312"/>
          <w:b w:val="0"/>
          <w:bCs w:val="0"/>
          <w:sz w:val="32"/>
          <w:szCs w:val="32"/>
          <w:lang w:val="en-US" w:eastAsia="zh-CN"/>
        </w:rPr>
        <w:t>（三）新形势与新要求</w:t>
      </w:r>
      <w:bookmarkEnd w:id="13"/>
      <w:bookmarkEnd w:id="14"/>
      <w:bookmarkEnd w:id="15"/>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十四五</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时期，是河源建设全省绿色发展示范区、融入大湾区生态排头兵的关键时期，也是连平聚焦“两城三地”建设、开创“两个连平”建设新局面的关键时期。</w:t>
      </w:r>
      <w:r>
        <w:rPr>
          <w:rFonts w:hint="eastAsia" w:eastAsia="仿宋_GB2312" w:cs="Times New Roman"/>
          <w:sz w:val="32"/>
          <w:szCs w:val="32"/>
          <w:lang w:val="en-US" w:eastAsia="zh-CN"/>
        </w:rPr>
        <w:t>发挥</w:t>
      </w:r>
      <w:r>
        <w:rPr>
          <w:rFonts w:hint="eastAsia" w:ascii="Times New Roman" w:hAnsi="Times New Roman" w:eastAsia="仿宋_GB2312" w:cs="Times New Roman"/>
          <w:sz w:val="32"/>
          <w:szCs w:val="32"/>
          <w:lang w:val="en-US" w:eastAsia="zh-CN"/>
        </w:rPr>
        <w:t>能源和战略性矿产资源</w:t>
      </w:r>
      <w:r>
        <w:rPr>
          <w:rFonts w:hint="eastAsia" w:eastAsia="仿宋_GB2312" w:cs="Times New Roman"/>
          <w:sz w:val="32"/>
          <w:szCs w:val="32"/>
          <w:lang w:val="en-US" w:eastAsia="zh-CN"/>
        </w:rPr>
        <w:t>重要</w:t>
      </w:r>
      <w:r>
        <w:rPr>
          <w:rFonts w:hint="eastAsia" w:ascii="Times New Roman" w:hAnsi="Times New Roman" w:eastAsia="仿宋_GB2312" w:cs="Times New Roman"/>
          <w:sz w:val="32"/>
          <w:szCs w:val="32"/>
          <w:lang w:val="en-US" w:eastAsia="zh-CN"/>
        </w:rPr>
        <w:t>保障</w:t>
      </w:r>
      <w:r>
        <w:rPr>
          <w:rFonts w:hint="eastAsia" w:eastAsia="仿宋_GB2312" w:cs="Times New Roman"/>
          <w:sz w:val="32"/>
          <w:szCs w:val="32"/>
          <w:lang w:val="en-US" w:eastAsia="zh-CN"/>
        </w:rPr>
        <w:t>作用</w:t>
      </w:r>
      <w:r>
        <w:rPr>
          <w:rFonts w:hint="eastAsia" w:ascii="Times New Roman" w:hAnsi="Times New Roman" w:eastAsia="仿宋_GB2312" w:cs="Times New Roman"/>
          <w:sz w:val="32"/>
          <w:szCs w:val="32"/>
          <w:lang w:val="en-US" w:eastAsia="zh-CN"/>
        </w:rPr>
        <w:t>；要在优化国土空间布局、全面推进乡村振兴和新型城镇化、推动绿色矿业可持续发展、生态保护及高质量发展等方面，提供多元化的基础地质服务支撑。</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1.新发展阶段对基础地质工作提出了新任务</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着“融湾”“融深”步伐逐步加快，对地质工作需求也在逐步拓展。从长期来看，矿业作为基础性产业的地位没有动摇，矿业发展的基础动力依然强劲，从单一的服务地质找矿，向服务于城市规划、基础设施建设、现代化农业、减灾防灾等经济社会全方位发展。因此，结合本县经济社会发展要求，有必要提高谋划，适时启动城市地质调查、农业地质调查、矿山地质环境调查等基础地质工作，树立“大地质观、大资源观、大环境观”，拓展地质工作服务领域，深化地质工作供给侧结构性改革，服务支撑经济社会发展需求。</w:t>
      </w:r>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2.高质量发展对矿产资源保障提出了新要求。</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质量发展要求全面提升矿产资源开发利用水平和利用效率，转变开发利用方式，加快矿业结构调整和转型升级，提高矿山智能化水平，促进经济、社会、资源、环境协调稳定发展。按照“减量化、再利用、资源化”原则，加强节能减排，提升尾矿、废石等固体废弃物的有效处置与综合利用水平，延长产业链，加强产品高端化、精品化、差异化发展，将资源优势转变为经济优势，构建以“三率”为核心的矿产资源开发利用水平调查评价指标体系、工作流程、技术方法和运行机制。连平县是广东省金属资源较为丰富的一个县，应充分利用资源优势，做大做优铁、钨、锡、钼、铅、锌等有色金属矿产，推进铁矿石、钨矿石等生产加工企业技术创新，实行集约规模开发，打造产业集群，促进矿业经济发展。</w:t>
      </w:r>
      <w:r>
        <w:rPr>
          <w:rFonts w:hint="eastAsia" w:eastAsia="仿宋_GB2312"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bCs/>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b/>
          <w:bCs/>
          <w:sz w:val="32"/>
          <w:szCs w:val="32"/>
          <w:lang w:val="en-US" w:eastAsia="zh-CN"/>
        </w:rPr>
        <w:t>3.绿色矿业发展对矿产资源开发利用工作提出了新要求。</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前部分矿山生产规模小，采选工艺较为落后，资源利用水平低，矿业发展结构有待改善。亟需通过逐步淘汰落后采选工艺，提升集约节约开发水平，推进矿产品深加工，提高矿产品附加值，提升企业竞争力。迫切需要全面推进绿色矿业高质量发展，全面推进绿色矿山建设，促进资源开发利用效率提升，实现矿山“数量、质量、生态”三位一体协调发展推动构建绿色勘查开发新格局，实现资源与环境和谐共赢。</w:t>
      </w:r>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4.深化矿产资源改革对矿产资源管理提出了新课题。</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bookmarkStart w:id="16" w:name="_Toc517360568"/>
      <w:bookmarkStart w:id="17" w:name="_Toc155693656"/>
      <w:r>
        <w:rPr>
          <w:rFonts w:hint="eastAsia" w:ascii="Times New Roman" w:hAnsi="Times New Roman" w:eastAsia="仿宋_GB2312" w:cs="Times New Roman"/>
          <w:sz w:val="32"/>
          <w:szCs w:val="32"/>
          <w:lang w:val="en-US" w:eastAsia="zh-CN"/>
        </w:rPr>
        <w:t>落实国家、省、市的矿产资源管理改革新要求，瞄准矿产资源管理短板，不断健全完善矿产资源管理制度体系，加强矿产资源监管力度，提高管理能力和服务水平；大力推进“放管服”，简政放权，深化行政审批制度改革；完善矿业权“净矿”出让流程，健全矿业市场竞争机制，激发市场活力，努力构建矿产资源管理新机制。</w:t>
      </w:r>
    </w:p>
    <w:p>
      <w:pPr>
        <w:keepNext w:val="0"/>
        <w:keepLines w:val="0"/>
        <w:pageBreakBefore w:val="0"/>
        <w:widowControl w:val="0"/>
        <w:tabs>
          <w:tab w:val="center" w:pos="4156"/>
        </w:tabs>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b w:val="0"/>
          <w:bCs w:val="0"/>
          <w:sz w:val="32"/>
          <w:szCs w:val="32"/>
        </w:rPr>
      </w:pPr>
      <w:bookmarkStart w:id="18" w:name="_Toc7538"/>
      <w:r>
        <w:rPr>
          <w:rFonts w:hint="eastAsia" w:ascii="黑体" w:hAnsi="黑体" w:eastAsia="黑体" w:cs="黑体"/>
          <w:b w:val="0"/>
          <w:bCs w:val="0"/>
          <w:sz w:val="32"/>
          <w:szCs w:val="32"/>
        </w:rPr>
        <w:t>二、规划指导思想、原则与目标</w:t>
      </w:r>
      <w:bookmarkEnd w:id="16"/>
      <w:bookmarkEnd w:id="17"/>
      <w:bookmarkEnd w:id="18"/>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9" w:name="_Toc30572"/>
      <w:bookmarkStart w:id="20" w:name="_Toc64733915"/>
      <w:bookmarkStart w:id="21" w:name="_Toc266187705"/>
      <w:bookmarkStart w:id="22" w:name="_Toc155693657"/>
      <w:r>
        <w:rPr>
          <w:rFonts w:hint="eastAsia" w:ascii="楷体_GB2312" w:hAnsi="楷体_GB2312" w:eastAsia="楷体_GB2312" w:cs="楷体_GB2312"/>
          <w:b w:val="0"/>
          <w:bCs w:val="0"/>
          <w:sz w:val="32"/>
          <w:szCs w:val="32"/>
          <w:lang w:val="en-US" w:eastAsia="zh-CN"/>
        </w:rPr>
        <w:t>（一）指导思想</w:t>
      </w:r>
      <w:bookmarkEnd w:id="19"/>
      <w:bookmarkEnd w:id="20"/>
      <w:bookmarkEnd w:id="21"/>
      <w:bookmarkEnd w:id="22"/>
    </w:p>
    <w:p>
      <w:pPr>
        <w:pageBreakBefore w:val="0"/>
        <w:widowControl w:val="0"/>
        <w:kinsoku/>
        <w:wordWrap/>
        <w:overflowPunct/>
        <w:topLinePunct w:val="0"/>
        <w:autoSpaceDE/>
        <w:autoSpaceDN/>
        <w:bidi w:val="0"/>
        <w:adjustRightInd/>
        <w:snapToGrid/>
        <w:spacing w:line="600" w:lineRule="exact"/>
        <w:ind w:firstLine="600"/>
        <w:textAlignment w:val="auto"/>
        <w:rPr>
          <w:rFonts w:hint="eastAsia" w:ascii="Times New Roman" w:hAnsi="Times New Roman" w:eastAsia="仿宋_GB2312" w:cs="Times New Roman"/>
          <w:sz w:val="32"/>
          <w:szCs w:val="32"/>
          <w:highlight w:val="none"/>
          <w:lang w:val="en-US" w:eastAsia="zh-CN"/>
        </w:rPr>
      </w:pPr>
      <w:bookmarkStart w:id="23" w:name="_Toc517360570"/>
      <w:bookmarkStart w:id="24" w:name="_Toc266187706"/>
      <w:bookmarkStart w:id="25" w:name="_Toc155693658"/>
      <w:r>
        <w:rPr>
          <w:rFonts w:hint="eastAsia" w:ascii="Times New Roman" w:hAnsi="Times New Roman" w:eastAsia="仿宋_GB2312" w:cs="Times New Roman"/>
          <w:sz w:val="32"/>
          <w:szCs w:val="32"/>
          <w:highlight w:val="none"/>
          <w:lang w:val="en-US" w:eastAsia="zh-CN"/>
        </w:rPr>
        <w:t>高举中国特色社会主义伟大旗帜，以习近平新时代中国特色社会主义思想为指导，坚持习近平生态文明思想，全面贯彻落实二十大精神和习近平总书记对广东系列重要讲话与指示精神，坚持绿水青山就是金山银山的新发展理念。深入落实“1+1+9”工作部署，围绕连平县以“融湾”为纲、“融深”为牵引，立足新发展格局的工作部署，以提高矿产资源保障能力为目标，以推进资源合理利用与保护为主线，以提升矿产资源治理体系和治理现代化为重点，以加快发展为主题，优化矿业结构，促进生产力的发展；兼顾经济、社会、资源和环境效益，为连平县经济社会高质量发展提供矿产资源保障和支撑。</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26" w:name="_Toc10075"/>
      <w:r>
        <w:rPr>
          <w:rFonts w:hint="eastAsia" w:ascii="楷体_GB2312" w:hAnsi="楷体_GB2312" w:eastAsia="楷体_GB2312" w:cs="楷体_GB2312"/>
          <w:b w:val="0"/>
          <w:bCs w:val="0"/>
          <w:sz w:val="32"/>
          <w:szCs w:val="32"/>
          <w:lang w:val="en-US" w:eastAsia="zh-CN"/>
        </w:rPr>
        <w:t>（二）基本原则</w:t>
      </w:r>
      <w:bookmarkEnd w:id="23"/>
      <w:bookmarkEnd w:id="24"/>
      <w:bookmarkEnd w:id="25"/>
      <w:bookmarkEnd w:id="26"/>
    </w:p>
    <w:p>
      <w:pPr>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sz w:val="32"/>
          <w:szCs w:val="32"/>
          <w:highlight w:val="none"/>
        </w:rPr>
      </w:pPr>
      <w:bookmarkStart w:id="27" w:name="_Toc155693659"/>
      <w:bookmarkStart w:id="28" w:name="_Toc517360571"/>
      <w:bookmarkStart w:id="29" w:name="_Toc266187707"/>
      <w:r>
        <w:rPr>
          <w:rFonts w:hint="default" w:ascii="Times New Roman" w:hAnsi="Times New Roman" w:eastAsia="仿宋_GB2312" w:cs="Times New Roman"/>
          <w:b/>
          <w:sz w:val="32"/>
          <w:szCs w:val="32"/>
          <w:highlight w:val="none"/>
        </w:rPr>
        <w:t>1.坚持生态优先、绿色发展原则。</w:t>
      </w:r>
      <w:r>
        <w:rPr>
          <w:rFonts w:hint="default" w:ascii="Times New Roman" w:hAnsi="Times New Roman" w:eastAsia="仿宋_GB2312" w:cs="Times New Roman"/>
          <w:sz w:val="32"/>
          <w:szCs w:val="32"/>
          <w:highlight w:val="none"/>
        </w:rPr>
        <w:t>严格落实生态保护红线、环境质量底线、资源利用上线硬约束，协调矿产资源开发利用空间布局与各类环境保护区的关系，落实矿产资源勘查开发管理功能分区，指导勘查开发活动有序开展。树立绿色矿业发展理念，推动矿业经济发展质量变革、效率变革、动力变革，加快构建绿色生态产业体系。</w:t>
      </w:r>
    </w:p>
    <w:p>
      <w:pPr>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2.坚持节约集约、高效利用原则。</w:t>
      </w:r>
      <w:r>
        <w:rPr>
          <w:rFonts w:hint="default" w:ascii="Times New Roman" w:hAnsi="Times New Roman" w:eastAsia="仿宋_GB2312" w:cs="Times New Roman"/>
          <w:sz w:val="32"/>
          <w:szCs w:val="32"/>
          <w:highlight w:val="none"/>
        </w:rPr>
        <w:t>落实节约优先战略，牢固树立节约集约循环利用的资源观，实行区域差别化、矿种差别化管理，优化矿山规模结构，依靠科技创新和先进技术，转变资源开发利用方式，提升资源开发利用水平，形成资源节约集约、高效开发利用新格局。</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hint="default" w:ascii="Times New Roman" w:hAnsi="Times New Roman" w:eastAsia="仿宋_GB2312" w:cs="Times New Roman"/>
          <w:b/>
          <w:color w:val="0000FF"/>
          <w:sz w:val="32"/>
          <w:szCs w:val="32"/>
          <w:highlight w:val="none"/>
          <w:lang w:eastAsia="zh-CN"/>
        </w:rPr>
      </w:pPr>
      <w:r>
        <w:rPr>
          <w:rFonts w:hint="default" w:ascii="Times New Roman" w:hAnsi="Times New Roman" w:eastAsia="仿宋_GB2312" w:cs="Times New Roman"/>
          <w:b/>
          <w:sz w:val="32"/>
          <w:szCs w:val="32"/>
          <w:highlight w:val="none"/>
        </w:rPr>
        <w:t>3.坚持区域平衡、协调发展原则</w:t>
      </w:r>
      <w:r>
        <w:rPr>
          <w:rFonts w:hint="default" w:ascii="Times New Roman" w:hAnsi="Times New Roman" w:eastAsia="仿宋_GB2312" w:cs="Times New Roman"/>
          <w:sz w:val="32"/>
          <w:szCs w:val="32"/>
          <w:highlight w:val="none"/>
        </w:rPr>
        <w:t>。以《连平县国民经济和社会发展第十四个五年规划纲要和二〇三五年远景目标纲要》为导向，以主体功能区划和区域经济发展总体布局为依托，根据矿产资源禀赋条件，结合经济建设和社会发展需求，统筹矿产资源开发利用区域布局，促进矿业经济与区域经济建设的有机结合、平衡协调发展，助推振兴乡村发展。</w:t>
      </w:r>
    </w:p>
    <w:p>
      <w:pPr>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highlight w:val="none"/>
        </w:rPr>
        <w:t>4.坚持优化服务、阳光行政原则。</w:t>
      </w:r>
      <w:r>
        <w:rPr>
          <w:rFonts w:hint="default" w:ascii="Times New Roman" w:hAnsi="Times New Roman" w:eastAsia="仿宋_GB2312" w:cs="Times New Roman"/>
          <w:sz w:val="32"/>
          <w:szCs w:val="32"/>
          <w:highlight w:val="none"/>
        </w:rPr>
        <w:t>深入推进“放管服”改革，充分发挥市场在资源配置中的决定性作用，推进矿业权竞争性出让，激活市场主体活力；以矿业权设置、投放调控为抓手，推进“矿业权阳光审批”工程建设，建立和完善矿产资源网络管理系统，不断提升矿产资源管理法</w:t>
      </w:r>
      <w:r>
        <w:rPr>
          <w:rFonts w:hint="eastAsia" w:eastAsia="仿宋_GB2312" w:cs="Times New Roman"/>
          <w:sz w:val="32"/>
          <w:szCs w:val="32"/>
          <w:highlight w:val="none"/>
          <w:lang w:eastAsia="zh-CN"/>
        </w:rPr>
        <w:t>治</w:t>
      </w:r>
      <w:r>
        <w:rPr>
          <w:rFonts w:hint="default" w:ascii="Times New Roman" w:hAnsi="Times New Roman" w:eastAsia="仿宋_GB2312" w:cs="Times New Roman"/>
          <w:sz w:val="32"/>
          <w:szCs w:val="32"/>
          <w:highlight w:val="none"/>
        </w:rPr>
        <w:t>化水平。</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30" w:name="_Toc20648"/>
      <w:r>
        <w:rPr>
          <w:rFonts w:hint="eastAsia" w:ascii="楷体_GB2312" w:hAnsi="楷体_GB2312" w:eastAsia="楷体_GB2312" w:cs="楷体_GB2312"/>
          <w:b w:val="0"/>
          <w:bCs w:val="0"/>
          <w:sz w:val="32"/>
          <w:szCs w:val="32"/>
          <w:lang w:val="en-US" w:eastAsia="zh-CN"/>
        </w:rPr>
        <w:t>（三）规划目标</w:t>
      </w:r>
      <w:bookmarkEnd w:id="27"/>
      <w:bookmarkEnd w:id="28"/>
      <w:bookmarkEnd w:id="29"/>
      <w:bookmarkEnd w:id="30"/>
    </w:p>
    <w:p>
      <w:pPr>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b/>
          <w:bCs/>
          <w:sz w:val="32"/>
          <w:szCs w:val="32"/>
        </w:rPr>
      </w:pPr>
      <w:r>
        <w:rPr>
          <w:rFonts w:hint="eastAsia" w:ascii="仿宋" w:hAnsi="仿宋" w:eastAsia="仿宋" w:cs="仿宋"/>
          <w:b/>
          <w:bCs/>
          <w:sz w:val="32"/>
          <w:szCs w:val="32"/>
        </w:rPr>
        <w:t>——2025年规划目标</w:t>
      </w:r>
    </w:p>
    <w:p>
      <w:pPr>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提升地质工作服务支撑能力。</w:t>
      </w:r>
    </w:p>
    <w:p>
      <w:pPr>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s="仿宋"/>
          <w:sz w:val="32"/>
          <w:szCs w:val="32"/>
        </w:rPr>
      </w:pPr>
      <w:r>
        <w:rPr>
          <w:rFonts w:hint="eastAsia" w:ascii="仿宋" w:hAnsi="仿宋" w:eastAsia="仿宋" w:cs="仿宋"/>
          <w:sz w:val="32"/>
          <w:szCs w:val="32"/>
        </w:rPr>
        <w:t>开展1:5万区域地质调查等工作，提升地质资料保障经济社会发展水平。</w:t>
      </w:r>
    </w:p>
    <w:p>
      <w:pPr>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找矿突破战略行动取得新成果。</w:t>
      </w:r>
    </w:p>
    <w:p>
      <w:pPr>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s="仿宋"/>
          <w:sz w:val="32"/>
          <w:szCs w:val="32"/>
        </w:rPr>
      </w:pPr>
      <w:r>
        <w:rPr>
          <w:rFonts w:hint="eastAsia" w:ascii="仿宋" w:hAnsi="仿宋" w:eastAsia="仿宋" w:cs="仿宋"/>
          <w:sz w:val="32"/>
          <w:szCs w:val="32"/>
        </w:rPr>
        <w:t>深入推进新一轮找矿突破战略行动，落实省市级规划重点勘查区工作部署，完成全县钨矿调查评价专项工作，新增一批重要战略性矿产资源储备地。</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合理利用水平显著提升。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矿产资源开发利用布局进一步优化，采石场总量不超过8个。主要矿山开发利用工艺技术和设备符合资源节约与综合利用要求，主要技术经济指标达到省内平均水平。矿山“三率”水平达标率达到95%以上。规范有序开发矿产资源，发展矿产品精深加工产业。</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绿色</w:t>
      </w:r>
      <w:r>
        <w:rPr>
          <w:rFonts w:hint="eastAsia" w:ascii="仿宋" w:hAnsi="仿宋" w:eastAsia="仿宋" w:cs="仿宋"/>
          <w:b/>
          <w:bCs/>
          <w:sz w:val="32"/>
          <w:szCs w:val="32"/>
          <w:lang w:eastAsia="zh-CN"/>
        </w:rPr>
        <w:t>矿业</w:t>
      </w:r>
      <w:r>
        <w:rPr>
          <w:rFonts w:hint="eastAsia" w:ascii="仿宋" w:hAnsi="仿宋" w:eastAsia="仿宋" w:cs="仿宋"/>
          <w:b/>
          <w:bCs/>
          <w:sz w:val="32"/>
          <w:szCs w:val="32"/>
        </w:rPr>
        <w:t>发展</w:t>
      </w:r>
      <w:r>
        <w:rPr>
          <w:rFonts w:hint="eastAsia" w:ascii="仿宋" w:hAnsi="仿宋" w:eastAsia="仿宋" w:cs="仿宋"/>
          <w:b/>
          <w:bCs/>
          <w:sz w:val="32"/>
          <w:szCs w:val="32"/>
          <w:lang w:eastAsia="zh-CN"/>
        </w:rPr>
        <w:t>体现新时态</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发挥地方政府的主导作用，落实矿山企业主体责任，新建矿山严格按照绿色矿山标准进行规划、设计、建设和运营。生产矿山严格按照绿色矿山要求进行规范管理，加快生产工艺、技术装备改造升级，逐步达到绿色矿山建设要求，2023年底前，全县持证矿山（含到期后继续延续）100%达到绿色矿山标准，新建矿山必须按照绿色矿山标准进行规划、设计和建设，矿山地质环境恢复治理制度进一步完善。 </w:t>
      </w:r>
    </w:p>
    <w:tbl>
      <w:tblPr>
        <w:tblStyle w:val="14"/>
        <w:tblW w:w="5000" w:type="pct"/>
        <w:tblInd w:w="-108" w:type="dxa"/>
        <w:tblLayout w:type="autofit"/>
        <w:tblCellMar>
          <w:top w:w="0" w:type="dxa"/>
          <w:left w:w="108" w:type="dxa"/>
          <w:bottom w:w="0" w:type="dxa"/>
          <w:right w:w="108" w:type="dxa"/>
        </w:tblCellMar>
      </w:tblPr>
      <w:tblGrid>
        <w:gridCol w:w="1701"/>
        <w:gridCol w:w="1704"/>
        <w:gridCol w:w="1706"/>
        <w:gridCol w:w="1706"/>
        <w:gridCol w:w="1711"/>
      </w:tblGrid>
      <w:tr>
        <w:tblPrEx>
          <w:tblCellMar>
            <w:top w:w="0" w:type="dxa"/>
            <w:left w:w="108" w:type="dxa"/>
            <w:bottom w:w="0" w:type="dxa"/>
            <w:right w:w="108" w:type="dxa"/>
          </w:tblCellMar>
        </w:tblPrEx>
        <w:trPr>
          <w:trHeight w:val="499" w:hRule="atLeast"/>
        </w:trPr>
        <w:tc>
          <w:tcPr>
            <w:tcW w:w="5000" w:type="pct"/>
            <w:gridSpan w:val="5"/>
            <w:tcBorders>
              <w:top w:val="single" w:color="auto" w:sz="12" w:space="0"/>
              <w:left w:val="nil"/>
              <w:bottom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专栏2    </w:t>
            </w:r>
            <w:r>
              <w:rPr>
                <w:rFonts w:hint="eastAsia" w:ascii="仿宋" w:hAnsi="仿宋" w:eastAsia="仿宋" w:cs="仿宋"/>
                <w:b/>
                <w:bCs/>
                <w:kern w:val="0"/>
                <w:sz w:val="24"/>
                <w:szCs w:val="24"/>
                <w:lang w:eastAsia="zh-CN"/>
              </w:rPr>
              <w:t>“</w:t>
            </w:r>
            <w:r>
              <w:rPr>
                <w:rFonts w:hint="eastAsia" w:ascii="仿宋" w:hAnsi="仿宋" w:eastAsia="仿宋" w:cs="仿宋"/>
                <w:b/>
                <w:bCs/>
                <w:color w:val="auto"/>
                <w:kern w:val="0"/>
                <w:sz w:val="24"/>
                <w:szCs w:val="24"/>
                <w:lang w:eastAsia="zh-CN"/>
              </w:rPr>
              <w:t>十四五</w:t>
            </w:r>
            <w:r>
              <w:rPr>
                <w:rFonts w:hint="eastAsia" w:ascii="仿宋" w:hAnsi="仿宋" w:eastAsia="仿宋" w:cs="仿宋"/>
                <w:b/>
                <w:bCs/>
                <w:kern w:val="0"/>
                <w:sz w:val="24"/>
                <w:szCs w:val="24"/>
                <w:lang w:eastAsia="zh-CN"/>
              </w:rPr>
              <w:t>”</w:t>
            </w:r>
            <w:r>
              <w:rPr>
                <w:rFonts w:hint="eastAsia" w:ascii="仿宋" w:hAnsi="仿宋" w:eastAsia="仿宋" w:cs="仿宋"/>
                <w:b/>
                <w:bCs/>
                <w:color w:val="auto"/>
                <w:kern w:val="0"/>
                <w:sz w:val="24"/>
                <w:szCs w:val="24"/>
                <w:lang w:eastAsia="zh-CN"/>
              </w:rPr>
              <w:t>规划</w:t>
            </w:r>
            <w:r>
              <w:rPr>
                <w:rFonts w:hint="eastAsia" w:ascii="仿宋" w:hAnsi="仿宋" w:eastAsia="仿宋" w:cs="仿宋"/>
                <w:b/>
                <w:bCs/>
                <w:color w:val="auto"/>
                <w:kern w:val="0"/>
                <w:sz w:val="24"/>
                <w:szCs w:val="24"/>
              </w:rPr>
              <w:t>主要指标</w:t>
            </w:r>
          </w:p>
        </w:tc>
      </w:tr>
      <w:tr>
        <w:tblPrEx>
          <w:tblCellMar>
            <w:top w:w="0" w:type="dxa"/>
            <w:left w:w="108" w:type="dxa"/>
            <w:bottom w:w="0" w:type="dxa"/>
            <w:right w:w="108" w:type="dxa"/>
          </w:tblCellMar>
        </w:tblPrEx>
        <w:trPr>
          <w:trHeight w:val="402" w:hRule="atLeast"/>
        </w:trPr>
        <w:tc>
          <w:tcPr>
            <w:tcW w:w="998"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类别</w:t>
            </w:r>
          </w:p>
        </w:tc>
        <w:tc>
          <w:tcPr>
            <w:tcW w:w="999"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指标名称</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单位</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2025年指标</w:t>
            </w:r>
          </w:p>
        </w:tc>
        <w:tc>
          <w:tcPr>
            <w:tcW w:w="1001" w:type="pct"/>
            <w:tcBorders>
              <w:top w:val="nil"/>
              <w:left w:val="nil"/>
              <w:bottom w:val="single" w:color="auto" w:sz="4" w:space="0"/>
              <w:right w:val="nil"/>
            </w:tcBorders>
            <w:vAlign w:val="center"/>
          </w:tcPr>
          <w:p>
            <w:pPr>
              <w:widowControl/>
              <w:jc w:val="center"/>
              <w:rPr>
                <w:rFonts w:hint="eastAsia" w:ascii="仿宋" w:hAnsi="仿宋" w:eastAsia="仿宋" w:cs="仿宋"/>
                <w:kern w:val="0"/>
              </w:rPr>
            </w:pPr>
            <w:r>
              <w:rPr>
                <w:rFonts w:hint="eastAsia" w:ascii="仿宋" w:hAnsi="仿宋" w:eastAsia="仿宋" w:cs="仿宋"/>
                <w:kern w:val="0"/>
              </w:rPr>
              <w:t>属性</w:t>
            </w:r>
          </w:p>
        </w:tc>
      </w:tr>
      <w:tr>
        <w:tblPrEx>
          <w:tblCellMar>
            <w:top w:w="0" w:type="dxa"/>
            <w:left w:w="108" w:type="dxa"/>
            <w:bottom w:w="0" w:type="dxa"/>
            <w:right w:w="108" w:type="dxa"/>
          </w:tblCellMar>
        </w:tblPrEx>
        <w:trPr>
          <w:trHeight w:val="402" w:hRule="atLeast"/>
        </w:trPr>
        <w:tc>
          <w:tcPr>
            <w:tcW w:w="998"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战略性矿产年开采总量</w:t>
            </w:r>
          </w:p>
        </w:tc>
        <w:tc>
          <w:tcPr>
            <w:tcW w:w="999"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开采总量</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钨（WO</w:t>
            </w:r>
            <w:r>
              <w:rPr>
                <w:rFonts w:hint="eastAsia" w:ascii="仿宋" w:hAnsi="仿宋" w:eastAsia="仿宋" w:cs="仿宋"/>
                <w:kern w:val="0"/>
                <w:vertAlign w:val="subscript"/>
              </w:rPr>
              <w:t xml:space="preserve">3 </w:t>
            </w:r>
            <w:r>
              <w:rPr>
                <w:rFonts w:hint="eastAsia" w:ascii="仿宋" w:hAnsi="仿宋" w:eastAsia="仿宋" w:cs="仿宋"/>
                <w:kern w:val="0"/>
              </w:rPr>
              <w:t>吨）</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highlight w:val="none"/>
              </w:rPr>
            </w:pPr>
            <w:r>
              <w:rPr>
                <w:rFonts w:hint="eastAsia" w:ascii="仿宋" w:hAnsi="仿宋" w:eastAsia="仿宋" w:cs="仿宋"/>
                <w:kern w:val="0"/>
                <w:highlight w:val="none"/>
              </w:rPr>
              <w:t>按下达指标开采</w:t>
            </w:r>
          </w:p>
        </w:tc>
        <w:tc>
          <w:tcPr>
            <w:tcW w:w="1001" w:type="pct"/>
            <w:tcBorders>
              <w:top w:val="nil"/>
              <w:left w:val="single" w:color="auto" w:sz="4" w:space="0"/>
              <w:bottom w:val="single" w:color="auto" w:sz="4" w:space="0"/>
              <w:right w:val="nil"/>
            </w:tcBorders>
            <w:vAlign w:val="center"/>
          </w:tcPr>
          <w:p>
            <w:pPr>
              <w:widowControl/>
              <w:jc w:val="center"/>
              <w:rPr>
                <w:rFonts w:hint="eastAsia" w:ascii="仿宋" w:hAnsi="仿宋" w:eastAsia="仿宋" w:cs="仿宋"/>
                <w:kern w:val="0"/>
              </w:rPr>
            </w:pPr>
            <w:r>
              <w:rPr>
                <w:rFonts w:hint="eastAsia" w:ascii="仿宋" w:hAnsi="仿宋" w:eastAsia="仿宋" w:cs="仿宋"/>
                <w:kern w:val="0"/>
              </w:rPr>
              <w:t>约束性</w:t>
            </w:r>
          </w:p>
        </w:tc>
      </w:tr>
      <w:tr>
        <w:tblPrEx>
          <w:tblCellMar>
            <w:top w:w="0" w:type="dxa"/>
            <w:left w:w="108" w:type="dxa"/>
            <w:bottom w:w="0" w:type="dxa"/>
            <w:right w:w="108" w:type="dxa"/>
          </w:tblCellMar>
        </w:tblPrEx>
        <w:trPr>
          <w:trHeight w:val="402" w:hRule="atLeast"/>
        </w:trPr>
        <w:tc>
          <w:tcPr>
            <w:tcW w:w="998" w:type="pct"/>
            <w:vMerge w:val="restar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矿产资源开发与绿色矿业发展</w:t>
            </w:r>
          </w:p>
        </w:tc>
        <w:tc>
          <w:tcPr>
            <w:tcW w:w="999"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矿山数量</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个</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≤30</w:t>
            </w:r>
          </w:p>
        </w:tc>
        <w:tc>
          <w:tcPr>
            <w:tcW w:w="1001" w:type="pct"/>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kern w:val="0"/>
              </w:rPr>
            </w:pPr>
            <w:r>
              <w:rPr>
                <w:rFonts w:hint="eastAsia" w:ascii="仿宋" w:hAnsi="仿宋" w:eastAsia="仿宋" w:cs="仿宋"/>
                <w:kern w:val="0"/>
              </w:rPr>
              <w:t>预期性</w:t>
            </w:r>
          </w:p>
        </w:tc>
      </w:tr>
      <w:tr>
        <w:tblPrEx>
          <w:tblCellMar>
            <w:top w:w="0" w:type="dxa"/>
            <w:left w:w="108" w:type="dxa"/>
            <w:bottom w:w="0" w:type="dxa"/>
            <w:right w:w="108" w:type="dxa"/>
          </w:tblCellMar>
        </w:tblPrEx>
        <w:trPr>
          <w:trHeight w:val="402" w:hRule="atLeast"/>
        </w:trPr>
        <w:tc>
          <w:tcPr>
            <w:tcW w:w="998"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p>
        </w:tc>
        <w:tc>
          <w:tcPr>
            <w:tcW w:w="999"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采石场数量</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个</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≤8</w:t>
            </w:r>
          </w:p>
        </w:tc>
        <w:tc>
          <w:tcPr>
            <w:tcW w:w="1001" w:type="pct"/>
            <w:tcBorders>
              <w:top w:val="single" w:color="auto" w:sz="4" w:space="0"/>
              <w:left w:val="single" w:color="auto" w:sz="4" w:space="0"/>
              <w:bottom w:val="single" w:color="auto" w:sz="4" w:space="0"/>
              <w:right w:val="nil"/>
            </w:tcBorders>
            <w:vAlign w:val="center"/>
          </w:tcPr>
          <w:p>
            <w:pPr>
              <w:jc w:val="center"/>
              <w:rPr>
                <w:rFonts w:hint="eastAsia" w:ascii="仿宋" w:hAnsi="仿宋" w:eastAsia="仿宋" w:cs="仿宋"/>
                <w:kern w:val="0"/>
              </w:rPr>
            </w:pPr>
            <w:r>
              <w:rPr>
                <w:rFonts w:hint="eastAsia" w:ascii="仿宋" w:hAnsi="仿宋" w:eastAsia="仿宋" w:cs="仿宋"/>
                <w:kern w:val="0"/>
              </w:rPr>
              <w:t>约束性</w:t>
            </w:r>
          </w:p>
        </w:tc>
      </w:tr>
      <w:tr>
        <w:tblPrEx>
          <w:tblCellMar>
            <w:top w:w="0" w:type="dxa"/>
            <w:left w:w="108" w:type="dxa"/>
            <w:bottom w:w="0" w:type="dxa"/>
            <w:right w:w="108" w:type="dxa"/>
          </w:tblCellMar>
        </w:tblPrEx>
        <w:trPr>
          <w:trHeight w:val="402" w:hRule="atLeast"/>
        </w:trPr>
        <w:tc>
          <w:tcPr>
            <w:tcW w:w="998"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p>
        </w:tc>
        <w:tc>
          <w:tcPr>
            <w:tcW w:w="999"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大中型矿山比例</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highlight w:val="none"/>
              </w:rPr>
            </w:pPr>
            <w:r>
              <w:rPr>
                <w:rFonts w:hint="eastAsia" w:ascii="仿宋" w:hAnsi="仿宋" w:eastAsia="仿宋" w:cs="仿宋"/>
                <w:kern w:val="0"/>
                <w:highlight w:val="none"/>
              </w:rPr>
              <w:t>≥30</w:t>
            </w:r>
          </w:p>
        </w:tc>
        <w:tc>
          <w:tcPr>
            <w:tcW w:w="1001" w:type="pct"/>
            <w:vMerge w:val="restart"/>
            <w:tcBorders>
              <w:top w:val="single" w:color="auto" w:sz="4" w:space="0"/>
              <w:left w:val="single" w:color="auto" w:sz="4" w:space="0"/>
              <w:right w:val="nil"/>
            </w:tcBorders>
            <w:vAlign w:val="center"/>
          </w:tcPr>
          <w:p>
            <w:pPr>
              <w:widowControl/>
              <w:jc w:val="center"/>
              <w:rPr>
                <w:rFonts w:hint="eastAsia" w:ascii="仿宋" w:hAnsi="仿宋" w:eastAsia="仿宋" w:cs="仿宋"/>
                <w:kern w:val="0"/>
              </w:rPr>
            </w:pPr>
            <w:r>
              <w:rPr>
                <w:rFonts w:hint="eastAsia" w:ascii="仿宋" w:hAnsi="仿宋" w:eastAsia="仿宋" w:cs="仿宋"/>
                <w:color w:val="auto"/>
                <w:kern w:val="0"/>
              </w:rPr>
              <w:t>约束性</w:t>
            </w:r>
          </w:p>
        </w:tc>
      </w:tr>
      <w:tr>
        <w:tblPrEx>
          <w:tblCellMar>
            <w:top w:w="0" w:type="dxa"/>
            <w:left w:w="108" w:type="dxa"/>
            <w:bottom w:w="0" w:type="dxa"/>
            <w:right w:w="108" w:type="dxa"/>
          </w:tblCellMar>
        </w:tblPrEx>
        <w:trPr>
          <w:trHeight w:val="402" w:hRule="atLeast"/>
        </w:trPr>
        <w:tc>
          <w:tcPr>
            <w:tcW w:w="998"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p>
        </w:tc>
        <w:tc>
          <w:tcPr>
            <w:tcW w:w="999"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持证在采矿山达到绿色矿山</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ascii="仿宋" w:hAnsi="仿宋" w:eastAsia="仿宋" w:cs="仿宋"/>
                <w:kern w:val="0"/>
              </w:rPr>
              <w:t>100</w:t>
            </w:r>
          </w:p>
        </w:tc>
        <w:tc>
          <w:tcPr>
            <w:tcW w:w="1001" w:type="pct"/>
            <w:vMerge w:val="continue"/>
            <w:tcBorders>
              <w:left w:val="single" w:color="auto" w:sz="4" w:space="0"/>
              <w:right w:val="nil"/>
            </w:tcBorders>
            <w:vAlign w:val="center"/>
          </w:tcPr>
          <w:p>
            <w:pPr>
              <w:widowControl/>
              <w:jc w:val="center"/>
              <w:rPr>
                <w:rFonts w:hint="eastAsia" w:ascii="仿宋" w:hAnsi="仿宋" w:eastAsia="仿宋" w:cs="仿宋"/>
                <w:kern w:val="0"/>
              </w:rPr>
            </w:pPr>
          </w:p>
        </w:tc>
      </w:tr>
      <w:tr>
        <w:tblPrEx>
          <w:tblCellMar>
            <w:top w:w="0" w:type="dxa"/>
            <w:left w:w="108" w:type="dxa"/>
            <w:bottom w:w="0" w:type="dxa"/>
            <w:right w:w="108" w:type="dxa"/>
          </w:tblCellMar>
        </w:tblPrEx>
        <w:trPr>
          <w:trHeight w:val="402" w:hRule="atLeast"/>
        </w:trPr>
        <w:tc>
          <w:tcPr>
            <w:tcW w:w="998" w:type="pct"/>
            <w:vMerge w:val="continue"/>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p>
        </w:tc>
        <w:tc>
          <w:tcPr>
            <w:tcW w:w="999"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采石场产能</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万立方米/年</w:t>
            </w:r>
          </w:p>
        </w:tc>
        <w:tc>
          <w:tcPr>
            <w:tcW w:w="100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240</w:t>
            </w:r>
          </w:p>
        </w:tc>
        <w:tc>
          <w:tcPr>
            <w:tcW w:w="1001" w:type="pct"/>
            <w:vMerge w:val="continue"/>
            <w:tcBorders>
              <w:left w:val="single" w:color="auto" w:sz="4" w:space="0"/>
              <w:bottom w:val="single" w:color="auto" w:sz="4" w:space="0"/>
              <w:right w:val="nil"/>
            </w:tcBorders>
            <w:vAlign w:val="center"/>
          </w:tcPr>
          <w:p>
            <w:pPr>
              <w:widowControl/>
              <w:jc w:val="center"/>
              <w:rPr>
                <w:rFonts w:hint="eastAsia" w:ascii="仿宋" w:hAnsi="仿宋" w:eastAsia="仿宋" w:cs="仿宋"/>
                <w:kern w:val="0"/>
              </w:rPr>
            </w:pPr>
          </w:p>
        </w:tc>
      </w:tr>
      <w:tr>
        <w:tblPrEx>
          <w:tblCellMar>
            <w:top w:w="0" w:type="dxa"/>
            <w:left w:w="108" w:type="dxa"/>
            <w:bottom w:w="0" w:type="dxa"/>
            <w:right w:w="108" w:type="dxa"/>
          </w:tblCellMar>
        </w:tblPrEx>
        <w:trPr>
          <w:trHeight w:val="402" w:hRule="atLeast"/>
        </w:trPr>
        <w:tc>
          <w:tcPr>
            <w:tcW w:w="998" w:type="pct"/>
            <w:tcBorders>
              <w:top w:val="nil"/>
              <w:left w:val="nil"/>
              <w:bottom w:val="single" w:color="auto" w:sz="12"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矿山地质环境</w:t>
            </w:r>
          </w:p>
        </w:tc>
        <w:tc>
          <w:tcPr>
            <w:tcW w:w="999" w:type="pct"/>
            <w:tcBorders>
              <w:top w:val="nil"/>
              <w:left w:val="nil"/>
              <w:bottom w:val="single" w:color="auto" w:sz="12"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历史遗留矿山地质环境恢复治理面积</w:t>
            </w:r>
          </w:p>
        </w:tc>
        <w:tc>
          <w:tcPr>
            <w:tcW w:w="1000" w:type="pct"/>
            <w:tcBorders>
              <w:top w:val="nil"/>
              <w:left w:val="nil"/>
              <w:bottom w:val="single" w:color="auto" w:sz="12"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公顷</w:t>
            </w:r>
          </w:p>
        </w:tc>
        <w:tc>
          <w:tcPr>
            <w:tcW w:w="1000" w:type="pct"/>
            <w:tcBorders>
              <w:top w:val="nil"/>
              <w:left w:val="nil"/>
              <w:bottom w:val="single" w:color="auto" w:sz="12" w:space="0"/>
              <w:right w:val="single" w:color="auto" w:sz="4" w:space="0"/>
            </w:tcBorders>
            <w:vAlign w:val="center"/>
          </w:tcPr>
          <w:p>
            <w:pPr>
              <w:widowControl/>
              <w:jc w:val="center"/>
              <w:rPr>
                <w:rFonts w:hint="eastAsia" w:ascii="仿宋" w:hAnsi="仿宋" w:eastAsia="仿宋" w:cs="仿宋"/>
                <w:kern w:val="0"/>
              </w:rPr>
            </w:pPr>
            <w:r>
              <w:rPr>
                <w:rFonts w:hint="eastAsia" w:ascii="仿宋" w:hAnsi="仿宋" w:eastAsia="仿宋" w:cs="仿宋"/>
                <w:kern w:val="0"/>
              </w:rPr>
              <w:t>100</w:t>
            </w:r>
          </w:p>
        </w:tc>
        <w:tc>
          <w:tcPr>
            <w:tcW w:w="1001" w:type="pct"/>
            <w:tcBorders>
              <w:top w:val="nil"/>
              <w:left w:val="nil"/>
              <w:bottom w:val="single" w:color="auto" w:sz="12" w:space="0"/>
              <w:right w:val="nil"/>
            </w:tcBorders>
            <w:vAlign w:val="center"/>
          </w:tcPr>
          <w:p>
            <w:pPr>
              <w:widowControl/>
              <w:jc w:val="center"/>
              <w:rPr>
                <w:rFonts w:hint="eastAsia" w:ascii="仿宋" w:hAnsi="仿宋" w:eastAsia="仿宋" w:cs="仿宋"/>
                <w:kern w:val="0"/>
              </w:rPr>
            </w:pPr>
            <w:r>
              <w:rPr>
                <w:rFonts w:hint="eastAsia" w:ascii="仿宋" w:hAnsi="仿宋" w:eastAsia="仿宋" w:cs="仿宋"/>
                <w:kern w:val="0"/>
              </w:rPr>
              <w:t>预期性</w:t>
            </w:r>
          </w:p>
        </w:tc>
      </w:tr>
    </w:tbl>
    <w:p>
      <w:pPr>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——2035年展望目标</w:t>
      </w:r>
    </w:p>
    <w:p>
      <w:pPr>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望2035年，全面建成以绿色勘查、绿色矿山开发利用与保护为基础的绿色矿业新体系，资源综合利用水平达到较高标准，矿业系统基本达到高质量发展要求。一批新技术新方法新设备得到普遍推广应用，建成一批有资源保障的大中型智慧矿山企业以及我县优势资源相关的先进材料产业集聚群。矿业经济能力显著提升，矿山地质环境得到根本改善，形成矿业发展与经济社会、生态文明建设同步协调发展的新格局。</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30" w:firstLineChars="196"/>
        <w:textAlignment w:val="auto"/>
        <w:rPr>
          <w:rFonts w:hint="eastAsia" w:ascii="黑体" w:hAnsi="黑体" w:eastAsia="黑体" w:cs="黑体"/>
          <w:sz w:val="32"/>
          <w:szCs w:val="32"/>
        </w:rPr>
      </w:pPr>
      <w:bookmarkStart w:id="31" w:name="_Toc64733918"/>
      <w:bookmarkStart w:id="32" w:name="_Toc155693660"/>
      <w:bookmarkStart w:id="33" w:name="_Toc4452"/>
      <w:r>
        <w:rPr>
          <w:rFonts w:hint="eastAsia" w:ascii="黑体" w:hAnsi="黑体" w:eastAsia="黑体" w:cs="黑体"/>
          <w:sz w:val="32"/>
          <w:szCs w:val="32"/>
        </w:rPr>
        <w:t>三、矿产开发与资源产业布局</w:t>
      </w:r>
      <w:bookmarkEnd w:id="31"/>
      <w:bookmarkEnd w:id="32"/>
      <w:bookmarkEnd w:id="33"/>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34" w:name="_Toc64733919"/>
      <w:bookmarkStart w:id="35" w:name="_Toc155693661"/>
      <w:bookmarkStart w:id="36" w:name="_Toc8563"/>
      <w:r>
        <w:rPr>
          <w:rFonts w:hint="eastAsia" w:ascii="楷体_GB2312" w:hAnsi="楷体_GB2312" w:eastAsia="楷体_GB2312" w:cs="楷体_GB2312"/>
          <w:b w:val="0"/>
          <w:bCs w:val="0"/>
          <w:sz w:val="32"/>
          <w:szCs w:val="32"/>
          <w:lang w:val="en-US" w:eastAsia="zh-CN"/>
        </w:rPr>
        <w:t>（一）矿产资源勘查开发调控方向</w:t>
      </w:r>
      <w:bookmarkEnd w:id="34"/>
      <w:bookmarkEnd w:id="35"/>
      <w:bookmarkEnd w:id="36"/>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rPr>
      </w:pPr>
      <w:bookmarkStart w:id="37" w:name="_Toc155693662"/>
      <w:bookmarkStart w:id="38" w:name="_Toc517360574"/>
      <w:r>
        <w:rPr>
          <w:rFonts w:hint="default" w:ascii="Times New Roman" w:hAnsi="Times New Roman" w:eastAsia="仿宋_GB2312" w:cs="Times New Roman"/>
          <w:kern w:val="0"/>
          <w:sz w:val="32"/>
          <w:szCs w:val="32"/>
          <w:lang w:val="en-US" w:eastAsia="zh-CN"/>
        </w:rPr>
        <w:t>根据矿产资源赋存特点、开发利用条件、资源环境承载力、国家产业政策，制定矿产勘查开发调控方向和政策。发挥连平矿产资源优势，按照“一保、二禁、三退、四优、五化”原则（即：保障经济社会发展和重大基础设施项目用矿需求，禁止生态保护红线内、禁止不符合规划准入条件设置矿权，各类自然保护区内、低于最低生产规模、未达绿色矿山标准退出，资源储量大、交通运输条件好、附加值高、矿地统筹的优先，规模化、集约化、绿色化、产业化、智能化），做好做大铁、铅</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锌、钨和建材产业等传统产业向集群化、绿色化、高端化发展，打造矿产资源精深加工产业链，形成高端新材料产业。将“山资源”转化为“山优势”，发展“山产业”，实现“绿水青山就是金山银山”。</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楷体_GB2312" w:hAnsi="楷体_GB2312" w:eastAsia="楷体_GB2312" w:cs="楷体_GB2312"/>
          <w:b w:val="0"/>
          <w:bCs w:val="0"/>
          <w:sz w:val="32"/>
          <w:szCs w:val="32"/>
          <w:lang w:val="en-US" w:eastAsia="zh-CN"/>
        </w:rPr>
      </w:pPr>
      <w:bookmarkStart w:id="39" w:name="_Toc8686"/>
      <w:r>
        <w:rPr>
          <w:rFonts w:hint="default" w:ascii="楷体_GB2312" w:hAnsi="楷体_GB2312" w:eastAsia="楷体_GB2312" w:cs="楷体_GB2312"/>
          <w:b w:val="0"/>
          <w:bCs w:val="0"/>
          <w:sz w:val="32"/>
          <w:szCs w:val="32"/>
          <w:lang w:val="en-US" w:eastAsia="zh-CN"/>
        </w:rPr>
        <w:t>（二）矿产资源产业重点发展区域</w:t>
      </w:r>
      <w:bookmarkEnd w:id="37"/>
      <w:bookmarkEnd w:id="38"/>
      <w:bookmarkEnd w:id="39"/>
    </w:p>
    <w:p>
      <w:pPr>
        <w:pageBreakBefore w:val="0"/>
        <w:widowControl w:val="0"/>
        <w:kinsoku/>
        <w:wordWrap/>
        <w:overflowPunct/>
        <w:topLinePunct w:val="0"/>
        <w:autoSpaceDE w:val="0"/>
        <w:autoSpaceDN w:val="0"/>
        <w:bidi w:val="0"/>
        <w:adjustRightInd w:val="0"/>
        <w:snapToGrid/>
        <w:spacing w:line="600" w:lineRule="exact"/>
        <w:ind w:left="200" w:firstLine="643" w:firstLineChars="200"/>
        <w:jc w:val="left"/>
        <w:textAlignment w:val="auto"/>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sz w:val="32"/>
          <w:szCs w:val="32"/>
        </w:rPr>
        <w:t>区域布局</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以主体功能区规划为导向，按照构建区域资源优势、勘查开发定位、环境协调发展的空间格局的要求，对矿业发展进行区域布局，对矿山进行优化，提高一批，优化一批，整治一批，淘汰一批。高质量高标准推进连平县“一廊两轴两心多组团”格局建设，扎实推进县城扩容提质，统筹协调城乡发展。</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连平县发展定位及方向：连平是全国生态建设示范区，是河源争当全省绿色发展的示范区、融入粤港澳大湾区的生态排头兵的重要板块，也是粤港澳大湾区与华东地区要素流通的“大通道”。是新兴产业集聚地、健康休闲养生福地、广东香格里拉建设示范区、粤赣边区门户城市</w:t>
      </w:r>
      <w:r>
        <w:rPr>
          <w:rFonts w:hint="eastAsia"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lang w:val="zh-CN"/>
        </w:rPr>
        <w:t>区内重点开发铁、钨、锡、钼等金属矿产；加快传统产业的改造升级，发展特色产业园区，发展钨矿深加工上下游产业链，培育壮大精深加工企业，打造全省最大的钨矿加工基地；筹措资金推进重点矿山深部及外围开展“攻深探边”，力争实现接替资源找矿突破，增加资源储量，稳定和扩大矿山产能，延长矿山服务年限；鼓励推动大顶地区地质公园、矿山公园和砂石综合利用示范区建设，实现绿色发展、低碳发展、循环发展。</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kern w:val="0"/>
          <w:sz w:val="32"/>
          <w:szCs w:val="32"/>
          <w:lang w:val="zh-CN"/>
        </w:rPr>
        <w:t>落实连平县域经济发展与主体功能区战略，结合矿产资源分布、开发利用条件及资源环境承载力，按照主体功能区的产业发展和生态文明建设要求，全县分为三大区域：</w:t>
      </w:r>
    </w:p>
    <w:p>
      <w:pPr>
        <w:pageBreakBefore w:val="0"/>
        <w:widowControl w:val="0"/>
        <w:kinsoku/>
        <w:wordWrap/>
        <w:overflowPunct/>
        <w:topLinePunct w:val="0"/>
        <w:autoSpaceDE w:val="0"/>
        <w:autoSpaceDN w:val="0"/>
        <w:bidi w:val="0"/>
        <w:adjustRightInd w:val="0"/>
        <w:snapToGrid/>
        <w:spacing w:line="600" w:lineRule="exact"/>
        <w:ind w:left="200" w:firstLine="643" w:firstLineChars="200"/>
        <w:jc w:val="left"/>
        <w:textAlignment w:val="auto"/>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kern w:val="0"/>
          <w:sz w:val="32"/>
          <w:szCs w:val="32"/>
          <w:lang w:val="zh-CN"/>
        </w:rPr>
        <w:t>北、中部地区</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中部为中低山地区，地势较高，北西部大面积出露贵东岩体，北中部出露大尖山岩体、东北部出露俐源岩体，北部有粤东北第一高峰黄牛石。区内有大广高速、汕昆高速、G105、S341等多条主要交通干线，交通极为便捷，在不影响交通干线、沿线自然景观和生态环境的前提下合理勘查和开发利用矿产资源。重点勘查和开发利用大尖山铅锌矿、锯板坑钨锡多金属矿等金属矿产资源，合理勘查和开发利用建筑石料、砖瓦用页岩等矿产资源。</w:t>
      </w:r>
    </w:p>
    <w:p>
      <w:pPr>
        <w:pageBreakBefore w:val="0"/>
        <w:widowControl w:val="0"/>
        <w:kinsoku/>
        <w:wordWrap/>
        <w:overflowPunct/>
        <w:topLinePunct w:val="0"/>
        <w:autoSpaceDE w:val="0"/>
        <w:autoSpaceDN w:val="0"/>
        <w:bidi w:val="0"/>
        <w:adjustRightInd w:val="0"/>
        <w:snapToGrid/>
        <w:spacing w:line="600" w:lineRule="exact"/>
        <w:ind w:left="200" w:firstLine="643" w:firstLineChars="200"/>
        <w:jc w:val="left"/>
        <w:textAlignment w:val="auto"/>
        <w:rPr>
          <w:rFonts w:hint="default" w:ascii="Times New Roman" w:hAnsi="Times New Roman" w:eastAsia="仿宋_GB2312" w:cs="Times New Roman"/>
          <w:b/>
          <w:bCs/>
          <w:color w:val="FF0000"/>
          <w:sz w:val="32"/>
          <w:szCs w:val="32"/>
          <w:lang w:val="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kern w:val="0"/>
          <w:sz w:val="32"/>
          <w:szCs w:val="32"/>
          <w:lang w:val="zh-CN"/>
        </w:rPr>
        <w:t>西南部地区</w:t>
      </w:r>
    </w:p>
    <w:p>
      <w:pPr>
        <w:pageBreakBefore w:val="0"/>
        <w:widowControl w:val="0"/>
        <w:kinsoku/>
        <w:wordWrap/>
        <w:overflowPunct/>
        <w:topLinePunct w:val="0"/>
        <w:autoSpaceDE w:val="0"/>
        <w:autoSpaceDN w:val="0"/>
        <w:bidi w:val="0"/>
        <w:adjustRightInd w:val="0"/>
        <w:snapToGrid/>
        <w:spacing w:line="600" w:lineRule="exact"/>
        <w:ind w:left="200"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西南部属丘陵地貌，区内有大广高速、G105等交通主干线，交通便捷，在确保生态环境不受破坏的前提下，重点勘查隆街镇牛栏长垠钼多金属矿，集约化规模化合理开发利用建筑用大理岩、建筑用砂岩、建筑用花岗岩、高岭土等矿产资源。</w:t>
      </w:r>
    </w:p>
    <w:p>
      <w:pPr>
        <w:pageBreakBefore w:val="0"/>
        <w:widowControl w:val="0"/>
        <w:kinsoku/>
        <w:wordWrap/>
        <w:overflowPunct/>
        <w:topLinePunct w:val="0"/>
        <w:autoSpaceDE w:val="0"/>
        <w:autoSpaceDN w:val="0"/>
        <w:bidi w:val="0"/>
        <w:adjustRightInd w:val="0"/>
        <w:snapToGrid/>
        <w:spacing w:line="600" w:lineRule="exact"/>
        <w:ind w:left="200" w:firstLine="643" w:firstLineChars="200"/>
        <w:jc w:val="left"/>
        <w:textAlignment w:val="auto"/>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kern w:val="0"/>
          <w:sz w:val="32"/>
          <w:szCs w:val="32"/>
          <w:lang w:val="zh-CN"/>
        </w:rPr>
        <w:t>东南部地区</w:t>
      </w:r>
    </w:p>
    <w:p>
      <w:pPr>
        <w:pageBreakBefore w:val="0"/>
        <w:widowControl w:val="0"/>
        <w:kinsoku/>
        <w:wordWrap/>
        <w:overflowPunct/>
        <w:topLinePunct w:val="0"/>
        <w:autoSpaceDE w:val="0"/>
        <w:autoSpaceDN w:val="0"/>
        <w:bidi w:val="0"/>
        <w:adjustRightInd w:val="0"/>
        <w:snapToGrid/>
        <w:spacing w:line="600" w:lineRule="exact"/>
        <w:ind w:left="200" w:firstLine="640" w:firstLineChars="200"/>
        <w:jc w:val="left"/>
        <w:textAlignment w:val="auto"/>
        <w:rPr>
          <w:rFonts w:hint="default" w:ascii="Times New Roman" w:hAnsi="Times New Roman" w:eastAsia="仿宋_GB2312" w:cs="Times New Roman"/>
          <w:sz w:val="32"/>
          <w:szCs w:val="32"/>
          <w:lang w:val="zh-CN"/>
        </w:rPr>
        <w:sectPr>
          <w:footerReference r:id="rId4" w:type="default"/>
          <w:pgSz w:w="11906" w:h="16838"/>
          <w:pgMar w:top="1440" w:right="1797" w:bottom="1440" w:left="1797" w:header="851" w:footer="992" w:gutter="0"/>
          <w:pgNumType w:fmt="decimal"/>
          <w:cols w:space="425" w:num="1"/>
          <w:docGrid w:type="lines" w:linePitch="312" w:charSpace="0"/>
        </w:sectPr>
      </w:pPr>
      <w:r>
        <w:rPr>
          <w:rFonts w:hint="eastAsia" w:ascii="Times New Roman" w:hAnsi="Times New Roman" w:eastAsia="仿宋_GB2312" w:cs="Times New Roman"/>
          <w:sz w:val="32"/>
          <w:szCs w:val="32"/>
          <w:lang w:val="zh-CN"/>
        </w:rPr>
        <w:t>东南部地区为谷底盆地，地势较低，区内出露石背岩体，有汕昆高速、粤赣高速、S230、S341等多条主要交通干线，交通便捷，在不影响沿线自然景观和生态环境的前提下，重点勘查和开发南部地区的铁矿资源（大顶铁矿、泥竹塘铁矿），筹措资金推进泥竹塘铁矿深部矿段的地下开采项目，集约化规模化合理开发利用建筑石料、控制砖瓦用砂页岩的开发利用，推进开发过程中资源的综合利用和循环利用。</w:t>
      </w:r>
    </w:p>
    <w:tbl>
      <w:tblPr>
        <w:tblStyle w:val="14"/>
        <w:tblW w:w="8425" w:type="dxa"/>
        <w:tblInd w:w="-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84"/>
        <w:gridCol w:w="2331"/>
        <w:gridCol w:w="42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8425" w:type="dxa"/>
            <w:gridSpan w:val="3"/>
            <w:tcBorders>
              <w:top w:val="single" w:color="auto" w:sz="4" w:space="0"/>
            </w:tcBorders>
            <w:noWrap/>
            <w:vAlign w:val="center"/>
          </w:tcPr>
          <w:p>
            <w:pPr>
              <w:widowControl/>
              <w:jc w:val="center"/>
              <w:rPr>
                <w:rFonts w:hint="eastAsia" w:ascii="仿宋" w:hAnsi="仿宋" w:eastAsia="仿宋" w:cs="仿宋"/>
                <w:b/>
                <w:bCs/>
                <w:kern w:val="0"/>
                <w:sz w:val="28"/>
                <w:szCs w:val="28"/>
                <w:lang w:val="zh-CN"/>
              </w:rPr>
            </w:pPr>
            <w:r>
              <w:rPr>
                <w:rFonts w:hint="eastAsia" w:ascii="仿宋" w:hAnsi="仿宋" w:eastAsia="仿宋" w:cs="仿宋"/>
                <w:b/>
                <w:bCs/>
                <w:kern w:val="0"/>
                <w:sz w:val="24"/>
                <w:szCs w:val="24"/>
              </w:rPr>
              <w:t>专栏3   区域划分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188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区域名称</w:t>
            </w:r>
          </w:p>
        </w:tc>
        <w:tc>
          <w:tcPr>
            <w:tcW w:w="2331"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区域范围</w:t>
            </w:r>
          </w:p>
        </w:tc>
        <w:tc>
          <w:tcPr>
            <w:tcW w:w="4210" w:type="dxa"/>
            <w:noWrap/>
            <w:vAlign w:val="center"/>
          </w:tcPr>
          <w:p>
            <w:pPr>
              <w:widowControl/>
              <w:jc w:val="center"/>
              <w:rPr>
                <w:rFonts w:hint="eastAsia" w:ascii="仿宋" w:hAnsi="仿宋" w:eastAsia="仿宋" w:cs="仿宋"/>
                <w:kern w:val="0"/>
              </w:rPr>
            </w:pPr>
            <w:r>
              <w:rPr>
                <w:rFonts w:hint="eastAsia" w:ascii="仿宋" w:hAnsi="仿宋" w:eastAsia="仿宋" w:cs="仿宋"/>
                <w:kern w:val="0"/>
                <w:lang w:val="en-US" w:eastAsia="zh-CN"/>
              </w:rPr>
              <w:t>主要勘查开发矿种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9" w:hRule="atLeast"/>
        </w:trPr>
        <w:tc>
          <w:tcPr>
            <w:tcW w:w="188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北、中部地区</w:t>
            </w:r>
          </w:p>
        </w:tc>
        <w:tc>
          <w:tcPr>
            <w:tcW w:w="2331" w:type="dxa"/>
            <w:vAlign w:val="center"/>
          </w:tcPr>
          <w:p>
            <w:pPr>
              <w:widowControl/>
              <w:rPr>
                <w:rFonts w:hint="eastAsia" w:ascii="仿宋" w:hAnsi="仿宋" w:eastAsia="仿宋" w:cs="仿宋"/>
                <w:kern w:val="0"/>
              </w:rPr>
            </w:pPr>
            <w:r>
              <w:rPr>
                <w:rFonts w:hint="eastAsia" w:ascii="仿宋" w:hAnsi="仿宋" w:eastAsia="仿宋" w:cs="仿宋"/>
                <w:kern w:val="0"/>
              </w:rPr>
              <w:t>陂头镇、元善镇、内莞镇、上坪镇</w:t>
            </w:r>
          </w:p>
        </w:tc>
        <w:tc>
          <w:tcPr>
            <w:tcW w:w="4210" w:type="dxa"/>
            <w:vAlign w:val="center"/>
          </w:tcPr>
          <w:p>
            <w:pPr>
              <w:widowControl/>
              <w:rPr>
                <w:rFonts w:hint="eastAsia" w:ascii="仿宋" w:hAnsi="仿宋" w:eastAsia="仿宋" w:cs="仿宋"/>
                <w:kern w:val="0"/>
                <w:lang w:eastAsia="zh-CN"/>
              </w:rPr>
            </w:pPr>
            <w:r>
              <w:rPr>
                <w:rFonts w:hint="eastAsia" w:ascii="仿宋" w:hAnsi="仿宋" w:eastAsia="仿宋" w:cs="仿宋"/>
                <w:kern w:val="0"/>
              </w:rPr>
              <w:t>铅锌矿、石灰岩、钨锡多金属矿、建筑用辉绿岩、建筑用凝灰岩、建筑用大理岩、砖瓦用页岩</w:t>
            </w:r>
            <w:r>
              <w:rPr>
                <w:rFonts w:hint="eastAsia" w:ascii="仿宋" w:hAnsi="仿宋" w:eastAsia="仿宋" w:cs="仿宋"/>
                <w:kern w:val="0"/>
                <w:lang w:eastAsia="zh-CN"/>
              </w:rPr>
              <w:t>、地热（水）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1884" w:type="dxa"/>
            <w:noWrap/>
            <w:vAlign w:val="center"/>
          </w:tcPr>
          <w:p>
            <w:pPr>
              <w:widowControl/>
              <w:jc w:val="center"/>
              <w:rPr>
                <w:rFonts w:hint="eastAsia" w:ascii="仿宋" w:hAnsi="仿宋" w:eastAsia="仿宋" w:cs="仿宋"/>
                <w:kern w:val="0"/>
              </w:rPr>
            </w:pPr>
            <w:r>
              <w:rPr>
                <w:rFonts w:hint="eastAsia" w:ascii="仿宋" w:hAnsi="仿宋" w:eastAsia="仿宋" w:cs="仿宋"/>
                <w:kern w:val="0"/>
              </w:rPr>
              <w:t>西南部地区</w:t>
            </w:r>
          </w:p>
        </w:tc>
        <w:tc>
          <w:tcPr>
            <w:tcW w:w="2331" w:type="dxa"/>
            <w:vAlign w:val="center"/>
          </w:tcPr>
          <w:p>
            <w:pPr>
              <w:widowControl/>
              <w:rPr>
                <w:rFonts w:hint="eastAsia" w:ascii="仿宋" w:hAnsi="仿宋" w:eastAsia="仿宋" w:cs="仿宋"/>
                <w:kern w:val="0"/>
              </w:rPr>
            </w:pPr>
            <w:r>
              <w:rPr>
                <w:rFonts w:hint="eastAsia" w:ascii="仿宋" w:hAnsi="仿宋" w:eastAsia="仿宋" w:cs="仿宋"/>
                <w:kern w:val="0"/>
              </w:rPr>
              <w:t>隆街镇、田源镇</w:t>
            </w:r>
          </w:p>
        </w:tc>
        <w:tc>
          <w:tcPr>
            <w:tcW w:w="4210" w:type="dxa"/>
            <w:vAlign w:val="center"/>
          </w:tcPr>
          <w:p>
            <w:pPr>
              <w:widowControl/>
              <w:rPr>
                <w:rFonts w:hint="eastAsia" w:ascii="仿宋" w:hAnsi="仿宋" w:eastAsia="仿宋" w:cs="仿宋"/>
                <w:kern w:val="0"/>
              </w:rPr>
            </w:pPr>
            <w:r>
              <w:rPr>
                <w:rFonts w:hint="eastAsia" w:ascii="仿宋" w:hAnsi="仿宋" w:eastAsia="仿宋" w:cs="仿宋"/>
                <w:kern w:val="0"/>
              </w:rPr>
              <w:t>高岭土、建筑用花岗岩、建筑用大理岩、砖瓦用页岩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1" w:hRule="atLeast"/>
        </w:trPr>
        <w:tc>
          <w:tcPr>
            <w:tcW w:w="1884" w:type="dxa"/>
            <w:tcBorders>
              <w:bottom w:val="single" w:color="auto" w:sz="4" w:space="0"/>
            </w:tcBorders>
            <w:noWrap/>
            <w:vAlign w:val="center"/>
          </w:tcPr>
          <w:p>
            <w:pPr>
              <w:widowControl/>
              <w:jc w:val="center"/>
              <w:rPr>
                <w:rFonts w:hint="eastAsia" w:ascii="仿宋" w:hAnsi="仿宋" w:eastAsia="仿宋" w:cs="仿宋"/>
                <w:kern w:val="0"/>
              </w:rPr>
            </w:pPr>
            <w:r>
              <w:rPr>
                <w:rFonts w:hint="eastAsia" w:ascii="仿宋" w:hAnsi="仿宋" w:eastAsia="仿宋" w:cs="仿宋"/>
                <w:kern w:val="0"/>
              </w:rPr>
              <w:t>东南部地区</w:t>
            </w:r>
          </w:p>
        </w:tc>
        <w:tc>
          <w:tcPr>
            <w:tcW w:w="2331" w:type="dxa"/>
            <w:tcBorders>
              <w:bottom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油溪镇、高莞镇、忠信镇、三角镇、大湖镇、绣缎镇</w:t>
            </w:r>
          </w:p>
        </w:tc>
        <w:tc>
          <w:tcPr>
            <w:tcW w:w="4210" w:type="dxa"/>
            <w:tcBorders>
              <w:bottom w:val="single" w:color="auto" w:sz="4" w:space="0"/>
            </w:tcBorders>
            <w:vAlign w:val="center"/>
          </w:tcPr>
          <w:p>
            <w:pPr>
              <w:widowControl/>
              <w:rPr>
                <w:rFonts w:hint="eastAsia" w:ascii="仿宋" w:hAnsi="仿宋" w:eastAsia="仿宋" w:cs="仿宋"/>
                <w:kern w:val="0"/>
              </w:rPr>
            </w:pPr>
            <w:r>
              <w:rPr>
                <w:rFonts w:hint="eastAsia" w:ascii="仿宋" w:hAnsi="仿宋" w:eastAsia="仿宋" w:cs="仿宋"/>
                <w:kern w:val="0"/>
              </w:rPr>
              <w:t>铁矿、建筑用凝灰岩、建筑石料用灰岩、砖瓦用砂岩、砖瓦用页岩</w:t>
            </w:r>
          </w:p>
        </w:tc>
      </w:tr>
    </w:tbl>
    <w:p>
      <w:pPr>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仿宋_GB2312" w:cs="Times New Roman"/>
          <w:b w:val="0"/>
          <w:bCs w:val="0"/>
          <w:kern w:val="0"/>
          <w:sz w:val="32"/>
          <w:szCs w:val="32"/>
          <w:lang w:val="en-US" w:eastAsia="zh-CN" w:bidi="ar-SA"/>
        </w:rPr>
      </w:pPr>
      <w:bookmarkStart w:id="40" w:name="_Toc64733921"/>
      <w:bookmarkStart w:id="41" w:name="_Toc155693663"/>
    </w:p>
    <w:p>
      <w:pPr>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探索建立深加工集聚区，发展铁矿、钨矿深加工上下游产业链，培育壮大精深加工企业，保障矿山的稳定和发展。建设特色产业园区，培育产业集群，形成产业优势。调动铁矿、钨矿等生产企业技术创新，加强伴生锡、锌元素选冶工艺技术的研究与突破，对伴生元素加以综合利用，积极与科研院所开展尾矿及废石资源综合利用等研究探索工作，研发或引进先进技术、设备、工艺，回收利用好尾矿库中过去因技术落后而弃置的低品位矿。</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42" w:name="_Toc22586"/>
      <w:r>
        <w:rPr>
          <w:rFonts w:hint="eastAsia" w:ascii="楷体_GB2312" w:hAnsi="楷体_GB2312" w:eastAsia="楷体_GB2312" w:cs="楷体_GB2312"/>
          <w:b w:val="0"/>
          <w:bCs w:val="0"/>
          <w:sz w:val="32"/>
          <w:szCs w:val="32"/>
          <w:lang w:val="en-US" w:eastAsia="zh-CN"/>
        </w:rPr>
        <w:t>（三）勘查开采与保护布局</w:t>
      </w:r>
      <w:bookmarkEnd w:id="40"/>
      <w:bookmarkEnd w:id="41"/>
      <w:bookmarkEnd w:id="42"/>
    </w:p>
    <w:p>
      <w:pPr>
        <w:pageBreakBefore w:val="0"/>
        <w:widowControl w:val="0"/>
        <w:kinsoku/>
        <w:wordWrap/>
        <w:overflowPunct/>
        <w:topLinePunct w:val="0"/>
        <w:autoSpaceDE/>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default" w:ascii="仿宋" w:hAnsi="仿宋" w:eastAsia="仿宋" w:cs="仿宋"/>
          <w:b/>
          <w:bCs/>
          <w:sz w:val="32"/>
          <w:szCs w:val="32"/>
        </w:rPr>
        <w:t>矿业权设置区划及监督管理</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勘查规划区块</w:t>
      </w:r>
      <w:r>
        <w:rPr>
          <w:rFonts w:hint="eastAsia" w:eastAsia="仿宋_GB2312" w:cs="Times New Roman"/>
          <w:b/>
          <w:bCs/>
          <w:sz w:val="32"/>
          <w:szCs w:val="32"/>
          <w:lang w:eastAsia="zh-CN"/>
        </w:rPr>
        <w:t>。</w:t>
      </w:r>
      <w:r>
        <w:rPr>
          <w:rFonts w:hint="default" w:ascii="Times New Roman" w:hAnsi="Times New Roman" w:eastAsia="仿宋_GB2312" w:cs="Times New Roman"/>
          <w:kern w:val="0"/>
          <w:sz w:val="32"/>
          <w:szCs w:val="32"/>
        </w:rPr>
        <w:t>划定勘查规划区块，原则上一个勘查规划区块，只设置一个探矿权或一个勘查主体；严格控制对勘查规划区块人为分割、设置多个不同主体的探矿权；对于</w:t>
      </w:r>
      <w:r>
        <w:rPr>
          <w:rFonts w:hint="eastAsia" w:eastAsia="仿宋_GB2312" w:cs="Times New Roman"/>
          <w:kern w:val="0"/>
          <w:sz w:val="32"/>
          <w:szCs w:val="32"/>
          <w:lang w:eastAsia="zh-CN"/>
        </w:rPr>
        <w:t>已</w:t>
      </w:r>
      <w:r>
        <w:rPr>
          <w:rFonts w:hint="default" w:ascii="Times New Roman" w:hAnsi="Times New Roman" w:eastAsia="仿宋_GB2312" w:cs="Times New Roman"/>
          <w:kern w:val="0"/>
          <w:sz w:val="32"/>
          <w:szCs w:val="32"/>
        </w:rPr>
        <w:t>经设置探矿权、但布局不合理或不符合规划准入条件的，要按照勘查规划区块进行整合和调整。</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规划期内设置勘查规划区块12个（不含铀矿），全部为已设探矿权保留。12个勘查规划区块10个为第一类矿产，勘查矿种包括金、铜、铅</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锌、钼、钨锡等；2个为第二类矿产，勘查矿种为铁。</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开采规划区块。</w:t>
      </w:r>
      <w:r>
        <w:rPr>
          <w:rFonts w:hint="default" w:ascii="Times New Roman" w:hAnsi="Times New Roman" w:eastAsia="仿宋_GB2312" w:cs="Times New Roman"/>
          <w:kern w:val="0"/>
          <w:sz w:val="32"/>
          <w:szCs w:val="32"/>
        </w:rPr>
        <w:t>开采规划区块划定，应综合考虑地理、地质、构造、资源赋存条件、矿床规模、开采方式，以及经济技术评价结论、产业政策、最低开采规模、矿区工业广场位置等因素，尽可能保持已探明矿体的完整性，防止“半边山”开采、“一矿多开”、“大矿小开”。</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规划期内设置开采规划区块31个：其中持证矿山17个，探矿权转采矿权6个、空白区新设采矿权8个。金属矿产10个，包括铁矿3个，铅锌矿2个，钨矿2个，铜矿2个，金矿1个；非金属矿产22个，包括建筑用石料10个，高岭土（陶瓷土）2个，砂页岩6个，饰面用花岗岩1个，化肥用灰岩1个；地热1个。</w:t>
      </w:r>
    </w:p>
    <w:p>
      <w:pPr>
        <w:pageBreakBefore w:val="0"/>
        <w:widowControl w:val="0"/>
        <w:kinsoku/>
        <w:wordWrap/>
        <w:overflowPunct/>
        <w:topLinePunct w:val="0"/>
        <w:autoSpaceDE/>
        <w:bidi w:val="0"/>
        <w:adjustRightInd/>
        <w:snapToGrid/>
        <w:spacing w:line="60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砂石土矿产开发布局</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广东省自然资源厅关于加强我省建筑石料资源保障工作的通知》（粤自然资规字〔2020〕8号）要求，按照“统筹规划、合理布局、因地制宜、产业聚集”的思路，结合资源分布情况、工业产业布局、新型城镇化发展方向、基础设施建设规划、环保、林业及重大工程、民生工程建设需求，科学划定砂石土资源集中开采区和大型砂石资源生产基地，构建区域联动、供需平衡、绿色环保、集约发展的开发格局。</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育和建设连平县忠信六湖-牛路坑建筑用辉绿岩石场这个大型砂石资源生产基地，服务粤港澳大湾区战略实施和重大基础设施建设提供资源保障。新建矿山开采不留残山残坡，推进砂石资源规模开发、整体修复。</w:t>
      </w:r>
    </w:p>
    <w:p>
      <w:pPr>
        <w:pageBreakBefore w:val="0"/>
        <w:widowControl w:val="0"/>
        <w:kinsoku/>
        <w:wordWrap/>
        <w:overflowPunct/>
        <w:topLinePunct w:val="0"/>
        <w:autoSpaceDE/>
        <w:bidi w:val="0"/>
        <w:adjustRightInd/>
        <w:snapToGrid/>
        <w:spacing w:line="60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default" w:ascii="仿宋" w:hAnsi="仿宋" w:eastAsia="仿宋" w:cs="仿宋"/>
          <w:b/>
          <w:bCs/>
          <w:sz w:val="32"/>
          <w:szCs w:val="32"/>
          <w:lang w:val="en-US" w:eastAsia="zh-CN"/>
        </w:rPr>
        <w:t>规划分区管理</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落实国家和省相关产业政策，根据区域经济发展状况、矿产资源分布特点和相关产业空间布局，划定国家规划矿区、重点勘查区、重点矿区等3类规划分区。</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国家规划矿区</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全国矿产资源规划》国家规划矿区--广东连平大顶矿区的建设。合理划定矿区最低开采规模，落实绿色勘查技术要求，严格矿业权人勘查开采准入条件，鼓励现有矿业权以矿权、资本、技术等形式进行合作，鼓励自愿依法进行有序整合，促进规模化集约化发展，提升资源综合利用水平，打造资源高效开发利用示范区，为规划矿区资源基地建设提供支撑。原则上区内查明资源储量不得压覆或占用，国家重点建设项目经论证无法避免除外。</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重点勘查区</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矿产资源潜力评价预测，结合区域成矿地质条件和以往勘查成果信息、全省找矿突破战略行动实施方案部署，落实省级规划划定的河源锡山锡多金属矿这个重点勘查区，以国家重点战略性矿产锡为重点，深入贯彻落实地质找矿运行机制，利用财政资金开展前期工作，圈定找矿靶区，适时向社会投放探矿权，引导商业资金开展后续勘查，构建一批重要矿产资源开发基地。</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重点开采区</w:t>
      </w:r>
    </w:p>
    <w:p>
      <w:pPr>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lang w:val="en-US" w:eastAsia="zh-CN" w:bidi="ar-SA"/>
        </w:rPr>
      </w:pPr>
      <w:bookmarkStart w:id="43" w:name="_Toc155693664"/>
      <w:bookmarkStart w:id="44" w:name="_Toc517360576"/>
      <w:r>
        <w:rPr>
          <w:rFonts w:hint="default" w:ascii="Times New Roman" w:hAnsi="Times New Roman" w:eastAsia="仿宋_GB2312" w:cs="Times New Roman"/>
          <w:b w:val="0"/>
          <w:bCs w:val="0"/>
          <w:color w:val="auto"/>
          <w:kern w:val="2"/>
          <w:sz w:val="32"/>
          <w:szCs w:val="32"/>
          <w:lang w:val="en-US" w:eastAsia="zh-CN" w:bidi="ar-SA"/>
        </w:rPr>
        <w:t>以战略性矿产、大中型矿产地、重要矿集区为主，落实省级规划划定的连平县锯板坑钨锡多金属矿区这个重点开采区；结合全县经济社会发展有重要支撑作用的矿产资源集中开采区域、大型砂石资源生产基地，划定连平县忠信六湖-牛路坑-鸭咀坑建筑用辉绿岩开采区这个大型砂石资源生产基地重点开采区。主要开采钨、锡、建筑石料等矿产，发展矿产品深加工，促进生产要素的有效聚集，构筑矿产资源开发产业体系，做大做强资源及相关新材料特色产业集群。在实现资源集约规模开发的同时，重点加强开发利用监督管理，注重生态环境保护与矿山地质环境恢复治理，尽可能减少因矿产开发引起的矿山地质环境破坏，促进资源开发与环境保护的协调发展。</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 w:hAnsi="仿宋" w:eastAsia="仿宋" w:cs="仿宋"/>
          <w:sz w:val="32"/>
          <w:szCs w:val="32"/>
        </w:rPr>
      </w:pPr>
      <w:bookmarkStart w:id="45" w:name="_Toc28944"/>
      <w:r>
        <w:rPr>
          <w:rFonts w:hint="eastAsia" w:ascii="黑体" w:hAnsi="黑体" w:eastAsia="黑体" w:cs="黑体"/>
          <w:sz w:val="32"/>
          <w:szCs w:val="32"/>
        </w:rPr>
        <w:t>四、加强矿产资源勘查开发利用与保护</w:t>
      </w:r>
      <w:bookmarkEnd w:id="43"/>
      <w:bookmarkEnd w:id="44"/>
      <w:bookmarkEnd w:id="45"/>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bookmarkStart w:id="46" w:name="_Toc517360577"/>
      <w:r>
        <w:rPr>
          <w:rFonts w:hint="default" w:ascii="Times New Roman" w:hAnsi="Times New Roman" w:eastAsia="仿宋_GB2312" w:cs="Times New Roman"/>
          <w:sz w:val="32"/>
          <w:szCs w:val="32"/>
        </w:rPr>
        <w:t>按照同一矿种探矿权采矿权出让登记同级管理的规定，着重对本县审批发证的矿产资源的勘查开发利用与保护活动进行详细部署和安排。</w:t>
      </w:r>
      <w:bookmarkStart w:id="47" w:name="_Toc64733923"/>
      <w:bookmarkStart w:id="48" w:name="_Toc155693665"/>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9" w:name="_Toc2699"/>
      <w:r>
        <w:rPr>
          <w:rFonts w:hint="eastAsia" w:ascii="楷体_GB2312" w:hAnsi="楷体_GB2312" w:eastAsia="楷体_GB2312" w:cs="楷体_GB2312"/>
          <w:b w:val="0"/>
          <w:bCs w:val="0"/>
          <w:sz w:val="32"/>
          <w:szCs w:val="32"/>
          <w:lang w:val="en-US" w:eastAsia="zh-CN"/>
        </w:rPr>
        <w:t>合理确定开发强度</w:t>
      </w:r>
      <w:bookmarkEnd w:id="46"/>
      <w:bookmarkEnd w:id="47"/>
      <w:bookmarkEnd w:id="48"/>
      <w:bookmarkEnd w:id="49"/>
      <w:bookmarkStart w:id="50" w:name="_Toc64733924"/>
      <w:bookmarkStart w:id="51" w:name="_Toc155693666"/>
      <w:bookmarkStart w:id="52" w:name="_Toc517360578"/>
    </w:p>
    <w:p>
      <w:pPr>
        <w:pageBreakBefore w:val="0"/>
        <w:widowControl w:val="0"/>
        <w:numPr>
          <w:ilvl w:val="0"/>
          <w:numId w:val="0"/>
        </w:numPr>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严格规范县级审批发证的小型非金属矿产的开发管理。根据矿产资源特点、市场条件和经济社会发展需求，以及开发利用对环境的影响程度等因素，合理的调控矿产资源开采总量。充分发挥矿业权投放对市场的宏观调控作用，以市场配置资源，合理管控矿业权投放时序和数量，使矿业权总量保持在一个合理的水平。至2025年，全县矿山总数控制在35个以内。严格采石场管理，对采石场实行采矿权总量控制，落实上级下达采石场总量控制指标、产能分解指标，连平县采石场总数动态控制在8个，完成建筑碎石类产能任务250万立方米，采矿权投放应以不突破矿山总数和采石场总数为原则，实行退出与投放动态平衡管理机制。</w:t>
      </w:r>
    </w:p>
    <w:p>
      <w:pPr>
        <w:keepNext/>
        <w:keepLines/>
        <w:pageBreakBefore w:val="0"/>
        <w:widowControl w:val="0"/>
        <w:kinsoku/>
        <w:wordWrap/>
        <w:overflowPunct/>
        <w:topLinePunct w:val="0"/>
        <w:autoSpaceDE/>
        <w:autoSpaceDN/>
        <w:bidi w:val="0"/>
        <w:adjustRightInd/>
        <w:snapToGrid/>
        <w:spacing w:before="0" w:afterLines="50" w:line="600" w:lineRule="exact"/>
        <w:ind w:firstLine="640" w:firstLineChars="200"/>
        <w:textAlignment w:val="auto"/>
        <w:outlineLvl w:val="9"/>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地热、矿泉水根据资源条件合理开采，严禁超量开采；钨、稀土开采量，按省下达指标严格控制开采强度，保障资源的可持续开发利用。</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楷体_GB2312" w:hAnsi="楷体_GB2312" w:eastAsia="楷体_GB2312" w:cs="楷体_GB2312"/>
          <w:b w:val="0"/>
          <w:bCs w:val="0"/>
          <w:sz w:val="32"/>
          <w:szCs w:val="32"/>
          <w:lang w:val="en-US" w:eastAsia="zh-CN"/>
        </w:rPr>
      </w:pPr>
      <w:bookmarkStart w:id="53" w:name="_Toc3223"/>
      <w:r>
        <w:rPr>
          <w:rFonts w:hint="default" w:ascii="楷体_GB2312" w:hAnsi="楷体_GB2312" w:eastAsia="楷体_GB2312" w:cs="楷体_GB2312"/>
          <w:b w:val="0"/>
          <w:bCs w:val="0"/>
          <w:sz w:val="32"/>
          <w:szCs w:val="32"/>
          <w:lang w:val="en-US" w:eastAsia="zh-CN"/>
        </w:rPr>
        <w:t>（二）优化开发利用结构</w:t>
      </w:r>
      <w:bookmarkEnd w:id="50"/>
      <w:bookmarkEnd w:id="51"/>
      <w:bookmarkEnd w:id="53"/>
    </w:p>
    <w:p>
      <w:pPr>
        <w:pageBreakBefore w:val="0"/>
        <w:widowControl w:val="0"/>
        <w:shd w:val="solid" w:color="FFFFFF" w:fill="auto"/>
        <w:kinsoku/>
        <w:wordWrap/>
        <w:overflowPunct/>
        <w:topLinePunct w:val="0"/>
        <w:autoSpaceDE/>
        <w:autoSpaceDN w:val="0"/>
        <w:bidi w:val="0"/>
        <w:adjustRightInd/>
        <w:snapToGrid/>
        <w:spacing w:line="600" w:lineRule="exact"/>
        <w:ind w:firstLine="643" w:firstLineChars="20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以优势矿产资源为基础，以市场为导向，以节约利用为前提，以推动矿产资源开发规模化、集约化、产业化为目标，通过总量调控、科技进步、规模开采、深度加工、合理布局等手段，调整和优化开发利用结构，促进矿产资源节约、科学、合理开发利用，延伸矿产品加工产业链，提高矿产资源附加值</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——规模结构</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新建矿山准入审查，从规划布局、开发规模、资源利用效率和环境保护等方面严格审查矿产资源开发项目。新建矿山生产规模应与储量规模相适应，且必须达到最低开采规模的规划要求。新设采石场必须设置最低生产规模（产能）限制。鼓励矿产资源开发利用集约化、规模化发展，力争2025年大中型的比例达到30%以上。</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绿色矿业发展为主线，引导矿山企业规模化开采和集约化经营，提升矿业开发集中度。新建矿山要按绿色矿山标准做大做强，已建矿山要按照绿色矿山建设标准，尽快完善和达标。逐步淘汰资源利用率低、对周边环境影响较大的小型矿山。</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——技术结构</w:t>
      </w:r>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资源开发过程中共伴生资源的综合利用，鼓励固体类矿山新立采矿权出让时将矿区范围内可利用的有价资源全部纳入开发利用评估出让范围，积极引导矿山企业提高采选水平，提高开采回采率。推广先进适用的选矿技术工艺，提高选矿回收率。鼓励尾矿资源和废石废渣的综合利用，提高综合利用率。</w:t>
      </w:r>
    </w:p>
    <w:p>
      <w:pPr>
        <w:pageBreakBefore w:val="0"/>
        <w:widowControl w:val="0"/>
        <w:kinsoku/>
        <w:wordWrap/>
        <w:overflowPunct/>
        <w:topLinePunct w:val="0"/>
        <w:autoSpaceDE/>
        <w:bidi w:val="0"/>
        <w:adjustRightInd/>
        <w:snapToGrid/>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——产品结构</w:t>
      </w:r>
      <w:bookmarkEnd w:id="52"/>
      <w:bookmarkStart w:id="54" w:name="_Toc155693667"/>
      <w:bookmarkStart w:id="55" w:name="_Toc64733925"/>
      <w:bookmarkStart w:id="56" w:name="_Toc517360579"/>
    </w:p>
    <w:p>
      <w:pPr>
        <w:pageBreakBefore w:val="0"/>
        <w:widowControl w:val="0"/>
        <w:kinsoku/>
        <w:wordWrap/>
        <w:overflowPunct/>
        <w:topLinePunct w:val="0"/>
        <w:autoSpaceDE/>
        <w:bidi w:val="0"/>
        <w:adjustRightInd/>
        <w:snapToGrid/>
        <w:spacing w:line="600" w:lineRule="exact"/>
        <w:ind w:firstLine="64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深化矿产资源利用产业层次，鼓励提高矿产品加工深度，延伸下游产业链，实现矿业经济增长方式转变。鼓励通过工艺改革、设备更新，提高矿产品科技含量，提升矿产品附加值。完善相关政策，鼓励发展循环经济，拓宽资源开发利用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b w:val="0"/>
          <w:bCs w:val="0"/>
          <w:sz w:val="32"/>
          <w:szCs w:val="32"/>
          <w:lang w:val="en-US" w:eastAsia="zh-CN"/>
        </w:rPr>
      </w:pPr>
      <w:bookmarkStart w:id="57" w:name="_Toc27565"/>
      <w:r>
        <w:rPr>
          <w:rFonts w:hint="default" w:ascii="楷体_GB2312" w:hAnsi="楷体_GB2312" w:eastAsia="楷体_GB2312" w:cs="楷体_GB2312"/>
          <w:b w:val="0"/>
          <w:bCs w:val="0"/>
          <w:sz w:val="32"/>
          <w:szCs w:val="32"/>
          <w:lang w:val="en-US" w:eastAsia="zh-CN"/>
        </w:rPr>
        <w:t>（三）严格规划准入管理</w:t>
      </w:r>
      <w:bookmarkEnd w:id="54"/>
      <w:bookmarkEnd w:id="55"/>
      <w:bookmarkEnd w:id="57"/>
    </w:p>
    <w:p>
      <w:pPr>
        <w:pageBreakBefore w:val="0"/>
        <w:widowControl w:val="0"/>
        <w:kinsoku/>
        <w:wordWrap/>
        <w:overflowPunct/>
        <w:topLinePunct w:val="0"/>
        <w:autoSpaceDE/>
        <w:bidi w:val="0"/>
        <w:adjustRightInd/>
        <w:snapToGrid/>
        <w:spacing w:afterLines="0" w:line="600" w:lineRule="exact"/>
        <w:ind w:firstLine="643" w:firstLineChars="200"/>
        <w:outlineLvl w:val="9"/>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1.绿色勘查准入</w:t>
      </w:r>
    </w:p>
    <w:p>
      <w:pPr>
        <w:pageBreakBefore w:val="0"/>
        <w:widowControl w:val="0"/>
        <w:kinsoku/>
        <w:wordWrap/>
        <w:overflowPunct/>
        <w:topLinePunct w:val="0"/>
        <w:autoSpaceDE/>
        <w:bidi w:val="0"/>
        <w:adjustRightInd/>
        <w:snapToGrid/>
        <w:spacing w:afterLines="0" w:line="600" w:lineRule="exact"/>
        <w:ind w:firstLine="640" w:firstLineChars="2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牢固树立绿色勘查理念，强化绿色勘查意识。按照“生态优先、保护优先”的要求，推进勘查技术方法创新，重点研究对生态环境影响较大的勘查适用工程手段，强化物化探无损地表技术运用，消减山地工程工作量。采用新手段、新方法、新工艺、新设备，推广应用“无人机航空物探”“浅钻”“便携式钻机”“一基多孔、一孔多枝”定向钻探等先进技术，最大限度减少对地面自然生态的扰动和破坏。</w:t>
      </w:r>
    </w:p>
    <w:p>
      <w:pPr>
        <w:pageBreakBefore w:val="0"/>
        <w:widowControl w:val="0"/>
        <w:kinsoku/>
        <w:wordWrap/>
        <w:overflowPunct/>
        <w:topLinePunct w:val="0"/>
        <w:autoSpaceDE/>
        <w:bidi w:val="0"/>
        <w:adjustRightInd/>
        <w:snapToGrid/>
        <w:spacing w:afterLines="0" w:line="600" w:lineRule="exact"/>
        <w:ind w:firstLine="643" w:firstLineChars="200"/>
        <w:outlineLvl w:val="9"/>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.开采规模准入</w:t>
      </w:r>
    </w:p>
    <w:p>
      <w:pPr>
        <w:pageBreakBefore w:val="0"/>
        <w:widowControl w:val="0"/>
        <w:kinsoku/>
        <w:wordWrap/>
        <w:overflowPunct/>
        <w:topLinePunct w:val="0"/>
        <w:autoSpaceDE/>
        <w:bidi w:val="0"/>
        <w:adjustRightInd/>
        <w:snapToGrid/>
        <w:spacing w:afterLines="0" w:line="600" w:lineRule="exact"/>
        <w:ind w:firstLine="640" w:firstLineChars="2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新建非金属矿山应符合最低生产建设规模要求，实行规模化、集约化开采。新建建筑石料类矿山生产规模应不低于50万立方米/年，饰面石材类不低于5万立方米/年，因民生、应急确需开采的，应充分论证，并经上级主管部门同意后，方可登记并颁发采矿许可证。为满足当地需求，在偏远地区设置少量低于生产规模准入标准的建筑石料矿山，需经过充分论证，且生产规模应不低于30万立方米/年。</w:t>
      </w:r>
    </w:p>
    <w:p>
      <w:pPr>
        <w:pageBreakBefore w:val="0"/>
        <w:widowControl w:val="0"/>
        <w:kinsoku/>
        <w:wordWrap/>
        <w:overflowPunct/>
        <w:topLinePunct w:val="0"/>
        <w:autoSpaceDE/>
        <w:bidi w:val="0"/>
        <w:adjustRightInd/>
        <w:snapToGrid/>
        <w:spacing w:afterLines="0" w:line="600" w:lineRule="exact"/>
        <w:ind w:firstLine="643" w:firstLineChars="200"/>
        <w:outlineLvl w:val="9"/>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.开发利用水平准入</w:t>
      </w:r>
    </w:p>
    <w:p>
      <w:pPr>
        <w:pageBreakBefore w:val="0"/>
        <w:widowControl w:val="0"/>
        <w:kinsoku/>
        <w:wordWrap/>
        <w:overflowPunct/>
        <w:topLinePunct w:val="0"/>
        <w:autoSpaceDE/>
        <w:bidi w:val="0"/>
        <w:adjustRightInd/>
        <w:snapToGrid/>
        <w:spacing w:afterLines="0" w:line="600" w:lineRule="exact"/>
        <w:ind w:firstLine="640" w:firstLineChars="2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开发利用应达到资源循环利用和综合利用水平。对可以整体开发的建筑石料、硅质原料、饰面石材，砂石类矿山设置采矿权禁止以半边山为界，尽可能实现整座山体平移式开采，提高资源回采率。</w:t>
      </w:r>
    </w:p>
    <w:p>
      <w:pPr>
        <w:pageBreakBefore w:val="0"/>
        <w:widowControl w:val="0"/>
        <w:kinsoku/>
        <w:wordWrap/>
        <w:overflowPunct/>
        <w:topLinePunct w:val="0"/>
        <w:autoSpaceDE/>
        <w:bidi w:val="0"/>
        <w:adjustRightInd/>
        <w:snapToGrid/>
        <w:spacing w:afterLines="0" w:line="600" w:lineRule="exact"/>
        <w:ind w:firstLine="643" w:firstLineChars="200"/>
        <w:outlineLvl w:val="9"/>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4.绿色矿山建设准入</w:t>
      </w:r>
    </w:p>
    <w:p>
      <w:pPr>
        <w:pageBreakBefore w:val="0"/>
        <w:widowControl w:val="0"/>
        <w:kinsoku/>
        <w:wordWrap/>
        <w:overflowPunct/>
        <w:topLinePunct w:val="0"/>
        <w:autoSpaceDE/>
        <w:bidi w:val="0"/>
        <w:adjustRightInd/>
        <w:snapToGrid/>
        <w:spacing w:afterLines="0" w:line="600" w:lineRule="exact"/>
        <w:ind w:firstLine="640" w:firstLineChars="20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政府主导、部门协作、企业主体、社会监督、共同推进”的思路，构建部门协同、四级联创的工作机制，发挥地方政府的主观能动性，落实企业责任，加大政策支持和服务，形成合力，全面推进绿色矿山建设。大中型矿山达到绿色矿山标准，小型矿山企业按照绿色矿山条件严格规范管理。新建矿山全部达到绿色矿山建设要求，生产矿山加快改造升级，限期整改达标。</w:t>
      </w:r>
    </w:p>
    <w:p>
      <w:pPr>
        <w:pageBreakBefore w:val="0"/>
        <w:widowControl w:val="0"/>
        <w:kinsoku/>
        <w:wordWrap/>
        <w:overflowPunct/>
        <w:topLinePunct w:val="0"/>
        <w:autoSpaceDE/>
        <w:bidi w:val="0"/>
        <w:adjustRightInd/>
        <w:snapToGrid/>
        <w:spacing w:afterLines="0" w:line="600" w:lineRule="exact"/>
        <w:ind w:firstLine="643" w:firstLineChars="200"/>
        <w:outlineLvl w:val="9"/>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5.矿山生态保护修复准入</w:t>
      </w:r>
    </w:p>
    <w:p>
      <w:pPr>
        <w:pageBreakBefore w:val="0"/>
        <w:widowControl w:val="0"/>
        <w:kinsoku/>
        <w:wordWrap/>
        <w:overflowPunct/>
        <w:topLinePunct w:val="0"/>
        <w:autoSpaceDE/>
        <w:bidi w:val="0"/>
        <w:adjustRightInd/>
        <w:snapToGrid/>
        <w:spacing w:afterLines="0" w:line="600" w:lineRule="exact"/>
        <w:ind w:firstLine="640" w:firstLineChars="20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坚持源头预防、过程控制的原则，强化矿山地质环境保护与监督管理。新建矿山严格矿产资源开发环境准入，按照绿色矿山标准，实现管理规范化、开采方式科学化、采矿作业清洁化、废料排放无害化、矿区环境优良化、社区和谐化。生产矿山应按照“边开采、边治理”的要求，实施地质灾害防治、地貌景观修复、植被绿化、人造景观和土地复垦等保护措施。</w:t>
      </w:r>
    </w:p>
    <w:p>
      <w:pPr>
        <w:pageBreakBefore w:val="0"/>
        <w:widowControl w:val="0"/>
        <w:kinsoku/>
        <w:wordWrap/>
        <w:overflowPunct/>
        <w:topLinePunct w:val="0"/>
        <w:autoSpaceDE/>
        <w:bidi w:val="0"/>
        <w:adjustRightInd/>
        <w:snapToGrid/>
        <w:spacing w:afterLines="0" w:line="600" w:lineRule="exact"/>
        <w:ind w:firstLine="643" w:firstLineChars="200"/>
        <w:outlineLvl w:val="9"/>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rPr>
        <w:t>.空间准入</w:t>
      </w:r>
    </w:p>
    <w:p>
      <w:pPr>
        <w:keepNext/>
        <w:keepLines/>
        <w:pageBreakBefore w:val="0"/>
        <w:widowControl w:val="0"/>
        <w:kinsoku/>
        <w:wordWrap/>
        <w:overflowPunct/>
        <w:topLinePunct w:val="0"/>
        <w:autoSpaceDE/>
        <w:autoSpaceDN/>
        <w:bidi w:val="0"/>
        <w:adjustRightInd/>
        <w:snapToGrid/>
        <w:spacing w:before="0" w:afterLines="50" w:line="600"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lang w:val="en-US" w:eastAsia="zh-CN" w:bidi="ar-SA"/>
        </w:rPr>
      </w:pPr>
      <w:bookmarkStart w:id="58" w:name="_Toc26018"/>
      <w:bookmarkStart w:id="59" w:name="_Toc23184_WPSOffice_Level2"/>
      <w:r>
        <w:rPr>
          <w:rFonts w:hint="default" w:ascii="Times New Roman" w:hAnsi="Times New Roman" w:eastAsia="仿宋_GB2312" w:cs="Times New Roman"/>
          <w:b w:val="0"/>
          <w:bCs w:val="0"/>
          <w:color w:val="auto"/>
          <w:kern w:val="2"/>
          <w:sz w:val="32"/>
          <w:szCs w:val="32"/>
          <w:lang w:val="en-US" w:eastAsia="zh-CN" w:bidi="ar-SA"/>
        </w:rPr>
        <w:t>新设矿业权一律不得与各类自然保护地重叠，避开生态保护红线、基本农田保护区、生态公益林、自然林、饮用水源保护地、一般生态空间、重要交通线、重要水系保护等区域，以保护自然景观和生态环境。矿业权范围与周边设施、建筑物的安全距离，矿业权之间安全距离等应符合相关规定。</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楷体_GB2312" w:hAnsi="楷体_GB2312" w:eastAsia="楷体_GB2312" w:cs="楷体_GB2312"/>
          <w:b w:val="0"/>
          <w:bCs w:val="0"/>
          <w:sz w:val="32"/>
          <w:szCs w:val="32"/>
          <w:lang w:val="en-US" w:eastAsia="zh-CN"/>
        </w:rPr>
      </w:pPr>
      <w:bookmarkStart w:id="60" w:name="_Toc27819"/>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四）严格勘查开发监督管理</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县自然资源管理部门加强对矿山企业合理开发利用矿产资源的监管，严格把好资源合理利用的源头关。建立以镇政府为责任主体的无证采矿巡查制度，及时发现和有效制止无证勘查开采等违法行为。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充分发挥政府在资源勘查工作中的引导作用，理顺公益性和商业性地质工作边界，加大探矿权竞争性出让，加速找矿成果转化，提高资金利用效益。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矿山储量动态监督管理，各类矿山企业要按规定开展矿山地质测量，如实报告年度矿产资源量消耗情况，及时准确掌握矿山储量动态变化，维护矿产资源国家所有者权益。强化矿山企业矿产资源合理利用的考核，推动矿山企业合理利用矿产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快中小型矿山整治，按照“淘汰一批、提升一批、新建一批”的原则，逐步优化矿产资源开发利用布局。原有偿出让的矿产资源尚未采完的，采矿权人可申请一次采矿权延续；对于剩余服务年限较长的中小型生产矿山，鼓励矿山企业扩大生产规模，加强矿山综合整治与资源开发整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矿业权人开采信息公示制度，建立社会监督、政府抽查、失信退出的矿产资源监管体系。落实矿山部门监管责任，自然资源、应急、生态环境、水务、林业等管理部门各司其职、分工负责共同加强对矿山企业开采矿产资源行为进行监管。建立以当地镇政府为责任主体的巡查制度，强化常态化日常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推行矿业权“净矿”出让，通过建立和完善矿业权出让工作制度，采用“公开、公平、公正”方式出让矿业权，为矿业权竞得人顺利实施开采活动创造条件，维护矿产资源国家所有权和矿业权人合法权益。</w:t>
      </w:r>
    </w:p>
    <w:p>
      <w:pPr>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创新监管手段，采取遥感监测、建立矿产资源违法违规线索统一处理信息平台等方式，及时发现和有效制止无证勘查开采等非法行为。</w:t>
      </w:r>
      <w:bookmarkEnd w:id="56"/>
      <w:bookmarkStart w:id="61" w:name="_Toc155693668"/>
      <w:bookmarkStart w:id="62" w:name="_Toc517360580"/>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sz w:val="32"/>
          <w:szCs w:val="32"/>
        </w:rPr>
      </w:pPr>
      <w:bookmarkStart w:id="63" w:name="_Toc25891"/>
      <w:r>
        <w:rPr>
          <w:rFonts w:hint="eastAsia" w:ascii="黑体" w:hAnsi="黑体" w:eastAsia="黑体" w:cs="黑体"/>
          <w:b w:val="0"/>
          <w:bCs w:val="0"/>
          <w:sz w:val="32"/>
          <w:szCs w:val="32"/>
        </w:rPr>
        <w:t>五、绿色</w:t>
      </w:r>
      <w:r>
        <w:rPr>
          <w:rFonts w:hint="eastAsia" w:ascii="黑体" w:hAnsi="黑体" w:eastAsia="黑体" w:cs="黑体"/>
          <w:b w:val="0"/>
          <w:bCs w:val="0"/>
          <w:sz w:val="32"/>
          <w:szCs w:val="32"/>
          <w:lang w:eastAsia="zh-CN"/>
        </w:rPr>
        <w:t>矿山建设</w:t>
      </w:r>
      <w:r>
        <w:rPr>
          <w:rFonts w:hint="eastAsia" w:ascii="黑体" w:hAnsi="黑体" w:eastAsia="黑体" w:cs="黑体"/>
          <w:b w:val="0"/>
          <w:bCs w:val="0"/>
          <w:sz w:val="32"/>
          <w:szCs w:val="32"/>
        </w:rPr>
        <w:t>与矿区生态保护</w:t>
      </w:r>
      <w:bookmarkEnd w:id="61"/>
      <w:bookmarkEnd w:id="63"/>
    </w:p>
    <w:bookmarkEnd w:id="62"/>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64" w:name="_Toc127861152"/>
      <w:bookmarkStart w:id="65" w:name="_Toc18137"/>
      <w:bookmarkStart w:id="66" w:name="_Toc155693669"/>
      <w:bookmarkStart w:id="67" w:name="_Toc64733927"/>
      <w:bookmarkStart w:id="68" w:name="_Toc517360581"/>
      <w:r>
        <w:rPr>
          <w:rFonts w:hint="eastAsia" w:ascii="楷体_GB2312" w:hAnsi="楷体_GB2312" w:eastAsia="楷体_GB2312" w:cs="楷体_GB2312"/>
          <w:b w:val="0"/>
          <w:bCs w:val="0"/>
          <w:sz w:val="32"/>
          <w:szCs w:val="32"/>
          <w:lang w:val="en-US" w:eastAsia="zh-CN"/>
        </w:rPr>
        <w:t>（一）</w:t>
      </w:r>
      <w:bookmarkEnd w:id="64"/>
      <w:r>
        <w:rPr>
          <w:rFonts w:hint="eastAsia" w:ascii="楷体_GB2312" w:hAnsi="楷体_GB2312" w:eastAsia="楷体_GB2312" w:cs="楷体_GB2312"/>
          <w:b w:val="0"/>
          <w:bCs w:val="0"/>
          <w:sz w:val="32"/>
          <w:szCs w:val="32"/>
          <w:lang w:val="en-US" w:eastAsia="zh-CN"/>
        </w:rPr>
        <w:t>绿色勘查</w:t>
      </w:r>
      <w:bookmarkEnd w:id="65"/>
    </w:p>
    <w:p>
      <w:pPr>
        <w:keepNext/>
        <w:keepLines/>
        <w:pageBreakBefore w:val="0"/>
        <w:widowControl w:val="0"/>
        <w:kinsoku/>
        <w:wordWrap/>
        <w:overflowPunct/>
        <w:topLinePunct w:val="0"/>
        <w:autoSpaceDE/>
        <w:autoSpaceDN/>
        <w:bidi w:val="0"/>
        <w:adjustRightInd/>
        <w:snapToGrid/>
        <w:spacing w:before="0" w:afterLines="50" w:line="600"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坚持绿色勘查和生态环境保护同步理念，实现地质勘查工作与生态环境保护协调发展，遵循“保护中勘查，勘查中保护”“谁勘查谁负责，谁破坏谁治理”的原则，执行“同研究、同部署、同设计、同实施、同检查、同考核”的勘查工作制度，全力推进全县矿产资源勘查工作高质量发展。</w:t>
      </w:r>
    </w:p>
    <w:p>
      <w:pPr>
        <w:keepNext/>
        <w:keepLines/>
        <w:pageBreakBefore w:val="0"/>
        <w:widowControl w:val="0"/>
        <w:kinsoku/>
        <w:wordWrap/>
        <w:overflowPunct/>
        <w:topLinePunct w:val="0"/>
        <w:autoSpaceDE/>
        <w:autoSpaceDN/>
        <w:bidi w:val="0"/>
        <w:adjustRightInd/>
        <w:snapToGrid/>
        <w:spacing w:before="0" w:afterLines="50" w:line="600"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依靠科技和管理创新，采用新手段、新方法、新工艺、新设备，推广无人机航空物探、浅钻、便携式钻机、一基多孔等勘查技术，最大限度地避免或减轻勘查活动对生态环境的扰动、污染和破坏。统筹兼顾勘查效益、生态环境效益和社会效益，尊重自然、尊重勘查活动所在地民俗，构建和谐勘查氛围。</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楷体_GB2312" w:hAnsi="楷体_GB2312" w:eastAsia="楷体_GB2312" w:cs="楷体_GB2312"/>
          <w:b w:val="0"/>
          <w:bCs w:val="0"/>
          <w:sz w:val="32"/>
          <w:szCs w:val="32"/>
          <w:lang w:val="en-US" w:eastAsia="zh-CN"/>
        </w:rPr>
      </w:pPr>
      <w:bookmarkStart w:id="69" w:name="_Toc18444"/>
      <w:r>
        <w:rPr>
          <w:rFonts w:hint="default" w:ascii="楷体_GB2312" w:hAnsi="楷体_GB2312" w:eastAsia="楷体_GB2312" w:cs="楷体_GB2312"/>
          <w:b w:val="0"/>
          <w:bCs w:val="0"/>
          <w:sz w:val="32"/>
          <w:szCs w:val="32"/>
          <w:lang w:val="en-US" w:eastAsia="zh-CN"/>
        </w:rPr>
        <w:t>（二）绿色矿山建设</w:t>
      </w:r>
      <w:bookmarkEnd w:id="69"/>
    </w:p>
    <w:p>
      <w:pPr>
        <w:pageBreakBefore w:val="0"/>
        <w:widowControl w:val="0"/>
        <w:shd w:val="solid" w:color="FFFFFF" w:fill="auto"/>
        <w:kinsoku/>
        <w:wordWrap/>
        <w:overflowPunct/>
        <w:topLinePunct w:val="0"/>
        <w:autoSpaceDE/>
        <w:autoSpaceDN w:val="0"/>
        <w:bidi w:val="0"/>
        <w:adjustRightInd/>
        <w:snapToGrid/>
        <w:spacing w:line="600" w:lineRule="exact"/>
        <w:ind w:firstLine="646" w:firstLineChars="20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1.加强对已达标绿色矿山的监管</w:t>
      </w:r>
    </w:p>
    <w:p>
      <w:pPr>
        <w:pageBreakBefore w:val="0"/>
        <w:widowControl w:val="0"/>
        <w:shd w:val="solid" w:color="FFFFFF" w:fill="auto"/>
        <w:kinsoku/>
        <w:wordWrap/>
        <w:overflowPunct/>
        <w:topLinePunct w:val="0"/>
        <w:autoSpaceDE/>
        <w:autoSpaceDN w:val="0"/>
        <w:bidi w:val="0"/>
        <w:adjustRightInd/>
        <w:snapToGrid/>
        <w:spacing w:line="600" w:lineRule="exact"/>
        <w:ind w:firstLine="643" w:firstLineChars="20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对于已建成的绿色矿山，加强日常监管、执法检查，实行绿色矿山名录动态化管理。未按绿色矿山标准运营的矿山企业，将责令限期内整改达标，到期不达标的，一律停止开采，直到整改达标。</w:t>
      </w:r>
    </w:p>
    <w:p>
      <w:pPr>
        <w:pageBreakBefore w:val="0"/>
        <w:widowControl w:val="0"/>
        <w:shd w:val="solid" w:color="FFFFFF" w:fill="auto"/>
        <w:kinsoku/>
        <w:wordWrap/>
        <w:overflowPunct/>
        <w:topLinePunct w:val="0"/>
        <w:autoSpaceDE/>
        <w:autoSpaceDN w:val="0"/>
        <w:bidi w:val="0"/>
        <w:adjustRightInd/>
        <w:snapToGrid/>
        <w:spacing w:line="600" w:lineRule="exact"/>
        <w:ind w:firstLine="646" w:firstLineChars="20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2.推动待达标绿色矿山建设</w:t>
      </w:r>
    </w:p>
    <w:p>
      <w:pPr>
        <w:pageBreakBefore w:val="0"/>
        <w:widowControl w:val="0"/>
        <w:shd w:val="solid" w:color="FFFFFF" w:fill="auto"/>
        <w:kinsoku/>
        <w:wordWrap/>
        <w:overflowPunct/>
        <w:topLinePunct w:val="0"/>
        <w:autoSpaceDE/>
        <w:autoSpaceDN w:val="0"/>
        <w:bidi w:val="0"/>
        <w:adjustRightInd/>
        <w:snapToGrid/>
        <w:spacing w:line="600" w:lineRule="exact"/>
        <w:ind w:firstLine="643" w:firstLineChars="20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待达标绿色矿山，应当严格按照绿色矿山标准进行规范管理，加快生产工艺、技术装备等改造升级，加大综合利用，提高资源利用率，减少污染，做好矿山环境保护与生态修复工作，逐步达到绿色矿山建设要求。</w:t>
      </w:r>
    </w:p>
    <w:p>
      <w:pPr>
        <w:pageBreakBefore w:val="0"/>
        <w:widowControl w:val="0"/>
        <w:shd w:val="solid" w:color="FFFFFF" w:fill="auto"/>
        <w:kinsoku/>
        <w:wordWrap/>
        <w:overflowPunct/>
        <w:topLinePunct w:val="0"/>
        <w:autoSpaceDE/>
        <w:autoSpaceDN w:val="0"/>
        <w:bidi w:val="0"/>
        <w:adjustRightInd/>
        <w:snapToGrid/>
        <w:spacing w:line="600" w:lineRule="exact"/>
        <w:ind w:firstLine="646" w:firstLineChars="20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3.新建矿山必须符合绿色矿山标准要求</w:t>
      </w:r>
    </w:p>
    <w:p>
      <w:pPr>
        <w:keepNext/>
        <w:keepLines/>
        <w:pageBreakBefore w:val="0"/>
        <w:widowControl w:val="0"/>
        <w:kinsoku/>
        <w:wordWrap/>
        <w:overflowPunct/>
        <w:topLinePunct w:val="0"/>
        <w:autoSpaceDE/>
        <w:autoSpaceDN/>
        <w:bidi w:val="0"/>
        <w:adjustRightInd/>
        <w:snapToGrid/>
        <w:spacing w:before="0" w:afterLines="50" w:line="600"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lang w:val="en-US" w:eastAsia="zh-CN" w:bidi="ar-SA"/>
        </w:rPr>
      </w:pPr>
      <w:bookmarkStart w:id="70" w:name="_Toc127861153"/>
      <w:r>
        <w:rPr>
          <w:rFonts w:hint="default" w:ascii="Times New Roman" w:hAnsi="Times New Roman" w:eastAsia="仿宋_GB2312" w:cs="Times New Roman"/>
          <w:b w:val="0"/>
          <w:bCs w:val="0"/>
          <w:color w:val="auto"/>
          <w:kern w:val="2"/>
          <w:sz w:val="32"/>
          <w:szCs w:val="32"/>
          <w:lang w:val="en-US" w:eastAsia="zh-CN" w:bidi="ar-SA"/>
        </w:rPr>
        <w:t>新建矿山严格按照绿色矿山标准进行建设和生产，强化绿色矿山标准源头管控。新立采矿权出让过程中，对照绿色矿山建设要求和相关标准，在出让合同中明确开发方式、资源利用、矿山地质环境保护与治理恢复、土地复垦等相关要求及违约责任，确保投产一处建成一处，推动新建矿山按照绿色矿山标准要求进行规划、设计、建设和运营管理。</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楷体_GB2312" w:hAnsi="楷体_GB2312" w:eastAsia="楷体_GB2312" w:cs="楷体_GB2312"/>
          <w:b w:val="0"/>
          <w:bCs w:val="0"/>
          <w:sz w:val="32"/>
          <w:szCs w:val="32"/>
          <w:lang w:val="en-US" w:eastAsia="zh-CN"/>
        </w:rPr>
      </w:pPr>
      <w:bookmarkStart w:id="71" w:name="_Toc31331"/>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）矿区生态保护修复</w:t>
      </w:r>
      <w:bookmarkEnd w:id="70"/>
      <w:bookmarkEnd w:id="71"/>
    </w:p>
    <w:p>
      <w:pPr>
        <w:pageBreakBefore w:val="0"/>
        <w:widowControl w:val="0"/>
        <w:shd w:val="solid" w:color="FFFFFF" w:fill="auto"/>
        <w:kinsoku/>
        <w:wordWrap/>
        <w:overflowPunct/>
        <w:topLinePunct w:val="0"/>
        <w:autoSpaceDE/>
        <w:autoSpaceDN w:val="0"/>
        <w:bidi w:val="0"/>
        <w:adjustRightInd/>
        <w:snapToGrid/>
        <w:spacing w:line="600" w:lineRule="exact"/>
        <w:ind w:left="56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1.新建矿山准入要求</w:t>
      </w:r>
    </w:p>
    <w:p>
      <w:pPr>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矿山必须符合生态环境准入条件。矿山进入前，应查明矿区环境地质条件，并提出防治对策建议；督促矿山科学编制环境影响评价报告、水土保持方案、矿山地质环境保护与土地复垦方案等相关报告方案，并经主管部门审核。新建（在建）矿山企业将矿山地质环境保护和治理工作与矿山建设同步推进。</w:t>
      </w:r>
    </w:p>
    <w:p>
      <w:pPr>
        <w:pageBreakBefore w:val="0"/>
        <w:widowControl w:val="0"/>
        <w:shd w:val="solid" w:color="FFFFFF" w:fill="auto"/>
        <w:kinsoku/>
        <w:wordWrap/>
        <w:overflowPunct/>
        <w:topLinePunct w:val="0"/>
        <w:autoSpaceDE/>
        <w:autoSpaceDN w:val="0"/>
        <w:bidi w:val="0"/>
        <w:adjustRightInd/>
        <w:snapToGrid/>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2.生产矿山</w:t>
      </w:r>
    </w:p>
    <w:p>
      <w:pPr>
        <w:pageBreakBefore w:val="0"/>
        <w:widowControl w:val="0"/>
        <w:shd w:val="solid" w:color="FFFFFF" w:fill="auto"/>
        <w:kinsoku/>
        <w:wordWrap/>
        <w:overflowPunct/>
        <w:topLinePunct w:val="0"/>
        <w:autoSpaceDE/>
        <w:autoSpaceDN w:val="0"/>
        <w:bidi w:val="0"/>
        <w:adjustRightInd/>
        <w:snapToGrid/>
        <w:spacing w:line="600" w:lineRule="exact"/>
        <w:ind w:firstLine="643" w:firstLineChars="20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矿山的开采主体，落实生产矿山生态保护主体责任。生产矿山由企业实行边开采、边治理，快还旧账、不欠新账。督促矿山企业严格实施水土保持方案、矿山开发利用、地质环境保护与土地复垦方案，促使矿山企业认真履行矿山水土流失防治、环境治理和生态修复责任。</w:t>
      </w:r>
    </w:p>
    <w:p>
      <w:pPr>
        <w:pageBreakBefore w:val="0"/>
        <w:widowControl w:val="0"/>
        <w:shd w:val="solid" w:color="FFFFFF" w:fill="auto"/>
        <w:kinsoku/>
        <w:wordWrap/>
        <w:overflowPunct/>
        <w:topLinePunct w:val="0"/>
        <w:autoSpaceDE/>
        <w:autoSpaceDN w:val="0"/>
        <w:bidi w:val="0"/>
        <w:adjustRightInd/>
        <w:snapToGrid/>
        <w:spacing w:line="600" w:lineRule="exact"/>
        <w:ind w:firstLine="643" w:firstLineChars="20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健全矿山地质环境恢复治理基金制度。矿山企业单设会计科目，按照销售收入的一定比例计提，由企业统筹用于开展矿山环境保护和综合治理，规范有力推动矿山地质环境恢复治理工作。</w:t>
      </w:r>
    </w:p>
    <w:p>
      <w:pPr>
        <w:pageBreakBefore w:val="0"/>
        <w:widowControl w:val="0"/>
        <w:shd w:val="solid" w:color="FFFFFF" w:fill="auto"/>
        <w:kinsoku/>
        <w:wordWrap/>
        <w:overflowPunct/>
        <w:topLinePunct w:val="0"/>
        <w:autoSpaceDE/>
        <w:autoSpaceDN w:val="0"/>
        <w:bidi w:val="0"/>
        <w:adjustRightInd/>
        <w:snapToGrid/>
        <w:spacing w:line="600" w:lineRule="exact"/>
        <w:ind w:firstLine="643" w:firstLineChars="20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落实企业监测主体责任，推进矿山生态修复遥感监测，通过遥感影像对比，结合定期或不定期的现场检查、抽查，强化矿山生态环境监测。根据矿山地质环境保护与土地复垦等相关方案和动态监测情况，及时制止相关方案外的生态环境破坏行为，督促企业对造成的矿山地质环境问题进行治理修复。</w:t>
      </w:r>
    </w:p>
    <w:p>
      <w:pPr>
        <w:pageBreakBefore w:val="0"/>
        <w:widowControl w:val="0"/>
        <w:shd w:val="solid" w:color="FFFFFF" w:fill="auto"/>
        <w:kinsoku/>
        <w:wordWrap/>
        <w:overflowPunct/>
        <w:topLinePunct w:val="0"/>
        <w:autoSpaceDE/>
        <w:autoSpaceDN w:val="0"/>
        <w:bidi w:val="0"/>
        <w:adjustRightInd/>
        <w:snapToGrid/>
        <w:spacing w:line="600" w:lineRule="exact"/>
        <w:ind w:firstLine="646" w:firstLineChars="201"/>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闭坑矿山环境综合治理和生态修复</w:t>
      </w:r>
    </w:p>
    <w:p>
      <w:pPr>
        <w:pageBreakBefore w:val="0"/>
        <w:widowControl w:val="0"/>
        <w:kinsoku/>
        <w:wordWrap/>
        <w:overflowPunct/>
        <w:topLinePunct w:val="0"/>
        <w:autoSpaceDE/>
        <w:bidi w:val="0"/>
        <w:adjustRightInd/>
        <w:snapToGrid/>
        <w:spacing w:line="600" w:lineRule="exact"/>
        <w:ind w:firstLine="640" w:firstLineChars="200"/>
        <w:rPr>
          <w:rFonts w:ascii="仿宋_GB2312" w:hAnsi="宋体" w:eastAsia="仿宋_GB2312" w:cs="Times New Roman"/>
          <w:sz w:val="32"/>
          <w:szCs w:val="32"/>
        </w:rPr>
      </w:pPr>
      <w:r>
        <w:rPr>
          <w:rFonts w:hint="default" w:ascii="Times New Roman" w:hAnsi="Times New Roman" w:eastAsia="仿宋_GB2312" w:cs="Times New Roman"/>
          <w:b w:val="0"/>
          <w:bCs/>
          <w:sz w:val="32"/>
          <w:szCs w:val="32"/>
          <w:lang w:eastAsia="zh-CN"/>
        </w:rPr>
        <w:t>闭坑矿山的治理整顿责任主体不明或已灭失的矿山地质环境恢复治理，由地方政府</w:t>
      </w:r>
      <w:r>
        <w:rPr>
          <w:rFonts w:hint="eastAsia" w:eastAsia="仿宋_GB2312" w:cs="Times New Roman"/>
          <w:b w:val="0"/>
          <w:bCs/>
          <w:sz w:val="32"/>
          <w:szCs w:val="32"/>
          <w:lang w:val="en-US" w:eastAsia="zh-CN"/>
        </w:rPr>
        <w:t>承担</w:t>
      </w:r>
      <w:r>
        <w:rPr>
          <w:rFonts w:hint="default" w:ascii="Times New Roman" w:hAnsi="Times New Roman" w:eastAsia="仿宋_GB2312" w:cs="Times New Roman"/>
          <w:b w:val="0"/>
          <w:bCs/>
          <w:sz w:val="32"/>
          <w:szCs w:val="32"/>
          <w:lang w:eastAsia="zh-CN"/>
        </w:rPr>
        <w:t>治理责任。按照“统筹规划、突出重点、注重实效”的原则，根据矿山地质环境保护与土地复垦工作计划，合理安排重点治理工程，制定切实可行的实施方案，采取循序渐进、分步实施的方式，应用矿山环境恢复治理新技术、新方法，开展矿山地质环境保护与土地复垦，使矿山地质环境得到有效恢复与改善。到2025年底，闭坑矿山地质环境恢复治理面积不小于16公顷。</w:t>
      </w:r>
    </w:p>
    <w:bookmarkEnd w:id="66"/>
    <w:bookmarkEnd w:id="67"/>
    <w:bookmarkEnd w:id="68"/>
    <w:p>
      <w:pPr>
        <w:pStyle w:val="2"/>
        <w:keepNext/>
        <w:keepLines/>
        <w:pageBreakBefore w:val="0"/>
        <w:widowControl w:val="0"/>
        <w:kinsoku/>
        <w:wordWrap/>
        <w:overflowPunct/>
        <w:topLinePunct w:val="0"/>
        <w:autoSpaceDE/>
        <w:autoSpaceDN/>
        <w:bidi w:val="0"/>
        <w:adjustRightInd/>
        <w:snapToGrid/>
        <w:spacing w:before="0" w:after="0" w:line="600" w:lineRule="exact"/>
        <w:ind w:firstLine="630" w:firstLineChars="196"/>
        <w:textAlignment w:val="auto"/>
        <w:rPr>
          <w:rFonts w:hint="eastAsia" w:ascii="黑体" w:hAnsi="黑体" w:eastAsia="黑体" w:cs="黑体"/>
          <w:sz w:val="32"/>
          <w:szCs w:val="32"/>
        </w:rPr>
      </w:pPr>
      <w:bookmarkStart w:id="72" w:name="_Toc1726"/>
      <w:bookmarkStart w:id="73" w:name="_Toc517360584"/>
      <w:bookmarkStart w:id="74" w:name="_Toc155693671"/>
      <w:r>
        <w:rPr>
          <w:rFonts w:hint="eastAsia" w:ascii="黑体" w:hAnsi="黑体" w:eastAsia="黑体" w:cs="黑体"/>
          <w:sz w:val="32"/>
          <w:szCs w:val="32"/>
        </w:rPr>
        <w:t>六、重大项目设置</w:t>
      </w:r>
      <w:bookmarkEnd w:id="72"/>
      <w:bookmarkEnd w:id="73"/>
      <w:bookmarkEnd w:id="7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bookmarkStart w:id="75" w:name="_Toc155693672"/>
      <w:bookmarkStart w:id="76" w:name="_Toc74063906"/>
      <w:bookmarkStart w:id="77" w:name="_Toc64733930"/>
      <w:bookmarkStart w:id="78" w:name="_Toc12121"/>
      <w:bookmarkStart w:id="79" w:name="_Toc15200"/>
      <w:bookmarkStart w:id="80" w:name="_Toc484698682"/>
      <w:bookmarkStart w:id="81" w:name="_Toc517360585"/>
      <w:r>
        <w:rPr>
          <w:rFonts w:hint="eastAsia" w:ascii="Times New Roman" w:hAnsi="Times New Roman" w:eastAsia="仿宋_GB2312" w:cs="Times New Roman"/>
          <w:sz w:val="32"/>
          <w:szCs w:val="32"/>
        </w:rPr>
        <w:t>落实上级规划目标和任务，积极推进基础地质矿产调查、矿产资源节约与综合利用、重大基础建设建筑石料资源保障等重大工程部署安排，共规划3个重大工程和4个项目。</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2" w:name="_Toc26616"/>
      <w:r>
        <w:rPr>
          <w:rFonts w:hint="eastAsia" w:ascii="楷体_GB2312" w:hAnsi="楷体_GB2312" w:eastAsia="楷体_GB2312" w:cs="楷体_GB2312"/>
          <w:b w:val="0"/>
          <w:bCs w:val="0"/>
          <w:sz w:val="32"/>
          <w:szCs w:val="32"/>
          <w:lang w:val="en-US" w:eastAsia="zh-CN"/>
        </w:rPr>
        <w:t>（一）基础地质矿产调查工程</w:t>
      </w:r>
      <w:bookmarkEnd w:id="75"/>
      <w:bookmarkEnd w:id="76"/>
      <w:bookmarkEnd w:id="8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bookmarkStart w:id="83" w:name="_Toc74063908"/>
      <w:bookmarkStart w:id="84" w:name="_Toc155693673"/>
      <w:r>
        <w:rPr>
          <w:rFonts w:hint="eastAsia" w:ascii="Times New Roman" w:hAnsi="Times New Roman" w:eastAsia="仿宋_GB2312" w:cs="Times New Roman"/>
          <w:sz w:val="32"/>
          <w:szCs w:val="32"/>
        </w:rPr>
        <w:t>落实上级基础地质调查计划，在全县部署1︰5万区域地质调查和区域矿产地质调查专项，摸清成矿地质条件与背景，更新基础地质调查数据库，为区域发展规划和改善民生提供基础地质资料。规划设置2个项目。</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5" w:name="_Toc8215"/>
      <w:r>
        <w:rPr>
          <w:rFonts w:hint="eastAsia" w:ascii="楷体_GB2312" w:hAnsi="楷体_GB2312" w:eastAsia="楷体_GB2312" w:cs="楷体_GB2312"/>
          <w:b w:val="0"/>
          <w:bCs w:val="0"/>
          <w:sz w:val="32"/>
          <w:szCs w:val="32"/>
          <w:lang w:val="en-US" w:eastAsia="zh-CN"/>
        </w:rPr>
        <w:t>（二）矿产资源节约与综合利用示范工程</w:t>
      </w:r>
      <w:bookmarkEnd w:id="83"/>
      <w:bookmarkEnd w:id="84"/>
      <w:bookmarkEnd w:id="8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bookmarkStart w:id="86" w:name="_Toc155693674"/>
      <w:bookmarkStart w:id="87" w:name="_Toc74063909"/>
      <w:r>
        <w:rPr>
          <w:rFonts w:hint="eastAsia" w:ascii="Times New Roman" w:hAnsi="Times New Roman" w:eastAsia="仿宋_GB2312" w:cs="Times New Roman"/>
          <w:sz w:val="32"/>
          <w:szCs w:val="32"/>
        </w:rPr>
        <w:t>结合矿产资源赋存特点及矿产资源综合利用现状，以有色金属矿床共伴生品位低、难选冶、尾矿砂、围岩及固体废弃物资源为重点，采取财政资金扶持、企业资金配套的多元投入方式，推进矿产资源节约与综合利用示范工程项目。规划期内推进连平大顶铁矿资源综合利用示范基地建设，及时总结经验并宣传推广，引领和带动全市矿产资源开发综合利用水平全面提升。规划设置1个项目。</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8" w:name="_Toc22597"/>
      <w:r>
        <w:rPr>
          <w:rFonts w:hint="eastAsia" w:ascii="楷体_GB2312" w:hAnsi="楷体_GB2312" w:eastAsia="楷体_GB2312" w:cs="楷体_GB2312"/>
          <w:b w:val="0"/>
          <w:bCs w:val="0"/>
          <w:sz w:val="32"/>
          <w:szCs w:val="32"/>
          <w:lang w:val="en-US" w:eastAsia="zh-CN"/>
        </w:rPr>
        <w:t>（三）重大基础建设建筑石料资源保障工程</w:t>
      </w:r>
      <w:bookmarkEnd w:id="86"/>
      <w:bookmarkEnd w:id="87"/>
      <w:bookmarkEnd w:id="8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围绕“一核一带一区”区域发展格局和建设粤港澳大湾区的工作要求，保障粤港澳大湾区战略实施和重大基础设施建设石料供应，做好建筑石料采矿权出让、有序开发利用，至2025年，规划建设一个大型砂石资源生产基地。规划设置1个项目。</w:t>
      </w:r>
      <w:bookmarkEnd w:id="77"/>
      <w:bookmarkEnd w:id="78"/>
      <w:bookmarkEnd w:id="79"/>
      <w:bookmarkEnd w:id="8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bookmarkEnd w:id="81"/>
    <w:p>
      <w:pPr>
        <w:pageBreakBefore w:val="0"/>
        <w:widowControl w:val="0"/>
        <w:kinsoku/>
        <w:wordWrap/>
        <w:overflowPunct/>
        <w:topLinePunct w:val="0"/>
        <w:autoSpaceDE/>
        <w:bidi w:val="0"/>
        <w:adjustRightInd/>
        <w:snapToGrid/>
        <w:spacing w:line="600" w:lineRule="exact"/>
        <w:ind w:firstLine="640" w:firstLineChars="200"/>
        <w:rPr>
          <w:rFonts w:hint="eastAsia" w:ascii="Times New Roman" w:hAnsi="Times New Roman" w:eastAsia="仿宋_GB2312" w:cs="Times New Roman"/>
          <w:sz w:val="32"/>
          <w:szCs w:val="32"/>
        </w:rPr>
        <w:sectPr>
          <w:footerReference r:id="rId5" w:type="default"/>
          <w:pgSz w:w="11906" w:h="16838"/>
          <w:pgMar w:top="1440" w:right="1797" w:bottom="1440" w:left="1797" w:header="851" w:footer="992" w:gutter="0"/>
          <w:pgNumType w:fmt="decimal"/>
          <w:cols w:space="425" w:num="1"/>
          <w:docGrid w:type="lines" w:linePitch="312" w:charSpace="0"/>
        </w:sectPr>
      </w:pPr>
      <w:bookmarkStart w:id="89" w:name="_Toc266187730"/>
      <w:bookmarkStart w:id="90" w:name="_Toc441758572"/>
      <w:bookmarkStart w:id="91" w:name="_Toc64733936"/>
    </w:p>
    <w:tbl>
      <w:tblPr>
        <w:tblStyle w:val="14"/>
        <w:tblpPr w:leftFromText="180" w:rightFromText="180" w:vertAnchor="text" w:horzAnchor="margin" w:tblpY="470"/>
        <w:tblOverlap w:val="never"/>
        <w:tblW w:w="5000" w:type="pct"/>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30"/>
        <w:gridCol w:w="3229"/>
        <w:gridCol w:w="6625"/>
        <w:gridCol w:w="2954"/>
        <w:gridCol w:w="536"/>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5000" w:type="pct"/>
            <w:gridSpan w:val="5"/>
            <w:tcBorders>
              <w:top w:val="single" w:color="auto" w:sz="12"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专栏4    连平县“十四五”矿产资源总体规划重大建设项目明细表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293" w:type="pc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序号</w:t>
            </w:r>
          </w:p>
        </w:tc>
        <w:tc>
          <w:tcPr>
            <w:tcW w:w="1139" w:type="pc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项目名称</w:t>
            </w:r>
          </w:p>
        </w:tc>
        <w:tc>
          <w:tcPr>
            <w:tcW w:w="2337" w:type="pc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建设目标</w:t>
            </w:r>
          </w:p>
        </w:tc>
        <w:tc>
          <w:tcPr>
            <w:tcW w:w="1042" w:type="pct"/>
            <w:vAlign w:val="center"/>
          </w:tcPr>
          <w:p>
            <w:pPr>
              <w:widowControl/>
              <w:jc w:val="center"/>
              <w:rPr>
                <w:rFonts w:hint="eastAsia" w:ascii="仿宋" w:hAnsi="仿宋" w:eastAsia="仿宋" w:cs="仿宋"/>
                <w:b/>
                <w:bCs/>
                <w:kern w:val="0"/>
              </w:rPr>
            </w:pPr>
            <w:r>
              <w:rPr>
                <w:rFonts w:hint="eastAsia" w:ascii="仿宋" w:hAnsi="仿宋" w:eastAsia="仿宋" w:cs="仿宋"/>
                <w:b/>
                <w:bCs/>
                <w:kern w:val="0"/>
              </w:rPr>
              <w:t>建设起止年限</w:t>
            </w:r>
          </w:p>
        </w:tc>
        <w:tc>
          <w:tcPr>
            <w:tcW w:w="188" w:type="pct"/>
            <w:vAlign w:val="center"/>
          </w:tcPr>
          <w:p>
            <w:pPr>
              <w:widowControl/>
              <w:jc w:val="center"/>
              <w:rPr>
                <w:rFonts w:hint="eastAsia" w:ascii="仿宋" w:hAnsi="仿宋" w:eastAsia="仿宋" w:cs="仿宋"/>
                <w:b/>
                <w:bCs/>
                <w:kern w:val="0"/>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01" w:hRule="atLeast"/>
        </w:trPr>
        <w:tc>
          <w:tcPr>
            <w:tcW w:w="293" w:type="pct"/>
            <w:vAlign w:val="center"/>
          </w:tcPr>
          <w:p>
            <w:pPr>
              <w:widowControl/>
              <w:jc w:val="center"/>
              <w:rPr>
                <w:rFonts w:hint="eastAsia" w:ascii="仿宋" w:hAnsi="仿宋" w:eastAsia="仿宋" w:cs="仿宋"/>
                <w:bCs/>
                <w:kern w:val="0"/>
              </w:rPr>
            </w:pPr>
            <w:r>
              <w:rPr>
                <w:rFonts w:hint="eastAsia" w:ascii="仿宋" w:hAnsi="仿宋" w:eastAsia="仿宋" w:cs="仿宋"/>
                <w:bCs/>
                <w:kern w:val="0"/>
              </w:rPr>
              <w:t>1</w:t>
            </w:r>
          </w:p>
        </w:tc>
        <w:tc>
          <w:tcPr>
            <w:tcW w:w="1139" w:type="pct"/>
            <w:vAlign w:val="center"/>
          </w:tcPr>
          <w:p>
            <w:pPr>
              <w:widowControl/>
              <w:jc w:val="center"/>
              <w:rPr>
                <w:rFonts w:hint="eastAsia" w:ascii="仿宋" w:hAnsi="仿宋" w:eastAsia="仿宋" w:cs="仿宋"/>
                <w:kern w:val="0"/>
              </w:rPr>
            </w:pPr>
            <w:r>
              <w:rPr>
                <w:rFonts w:hint="eastAsia" w:ascii="仿宋" w:hAnsi="仿宋" w:eastAsia="仿宋" w:cs="仿宋"/>
                <w:kern w:val="0"/>
              </w:rPr>
              <w:t>1︰5万区域地质调查</w:t>
            </w:r>
          </w:p>
        </w:tc>
        <w:tc>
          <w:tcPr>
            <w:tcW w:w="2337" w:type="pct"/>
            <w:vAlign w:val="center"/>
          </w:tcPr>
          <w:p>
            <w:pPr>
              <w:widowControl/>
              <w:jc w:val="center"/>
              <w:rPr>
                <w:rFonts w:hint="eastAsia" w:ascii="仿宋" w:hAnsi="仿宋" w:eastAsia="仿宋" w:cs="仿宋"/>
                <w:kern w:val="0"/>
              </w:rPr>
            </w:pPr>
            <w:r>
              <w:rPr>
                <w:rFonts w:hint="eastAsia" w:ascii="仿宋" w:hAnsi="仿宋" w:eastAsia="仿宋" w:cs="仿宋"/>
                <w:kern w:val="0"/>
              </w:rPr>
              <w:t>基本查明区域内矿产、地层、构造、岩浆岩等基本信息</w:t>
            </w:r>
          </w:p>
        </w:tc>
        <w:tc>
          <w:tcPr>
            <w:tcW w:w="1042" w:type="pct"/>
            <w:vAlign w:val="center"/>
          </w:tcPr>
          <w:p>
            <w:pPr>
              <w:widowControl/>
              <w:jc w:val="center"/>
              <w:rPr>
                <w:rFonts w:hint="eastAsia" w:ascii="仿宋" w:hAnsi="仿宋" w:eastAsia="仿宋" w:cs="仿宋"/>
                <w:kern w:val="0"/>
              </w:rPr>
            </w:pPr>
            <w:r>
              <w:rPr>
                <w:rFonts w:hint="eastAsia" w:ascii="仿宋" w:hAnsi="仿宋" w:eastAsia="仿宋" w:cs="仿宋"/>
                <w:kern w:val="0"/>
              </w:rPr>
              <w:t>2022-2025</w:t>
            </w:r>
          </w:p>
        </w:tc>
        <w:tc>
          <w:tcPr>
            <w:tcW w:w="188" w:type="pct"/>
            <w:noWrap/>
            <w:vAlign w:val="center"/>
          </w:tcPr>
          <w:p>
            <w:pPr>
              <w:widowControl/>
              <w:jc w:val="center"/>
              <w:rPr>
                <w:rFonts w:hint="eastAsia" w:ascii="仿宋" w:hAnsi="仿宋" w:eastAsia="仿宋" w:cs="仿宋"/>
                <w:kern w:val="0"/>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51" w:hRule="atLeast"/>
        </w:trPr>
        <w:tc>
          <w:tcPr>
            <w:tcW w:w="293" w:type="pct"/>
            <w:vAlign w:val="center"/>
          </w:tcPr>
          <w:p>
            <w:pPr>
              <w:widowControl/>
              <w:jc w:val="center"/>
              <w:rPr>
                <w:rFonts w:hint="eastAsia" w:ascii="仿宋" w:hAnsi="仿宋" w:eastAsia="仿宋" w:cs="仿宋"/>
                <w:bCs/>
                <w:kern w:val="0"/>
              </w:rPr>
            </w:pPr>
            <w:r>
              <w:rPr>
                <w:rFonts w:hint="eastAsia" w:ascii="仿宋" w:hAnsi="仿宋" w:eastAsia="仿宋" w:cs="仿宋"/>
                <w:bCs/>
                <w:kern w:val="0"/>
              </w:rPr>
              <w:t>2</w:t>
            </w:r>
          </w:p>
        </w:tc>
        <w:tc>
          <w:tcPr>
            <w:tcW w:w="1139" w:type="pct"/>
            <w:vAlign w:val="center"/>
          </w:tcPr>
          <w:p>
            <w:pPr>
              <w:widowControl/>
              <w:jc w:val="center"/>
              <w:rPr>
                <w:rFonts w:hint="eastAsia" w:ascii="仿宋" w:hAnsi="仿宋" w:eastAsia="仿宋" w:cs="仿宋"/>
                <w:kern w:val="0"/>
              </w:rPr>
            </w:pPr>
            <w:r>
              <w:rPr>
                <w:rFonts w:hint="eastAsia" w:ascii="仿宋" w:hAnsi="仿宋" w:eastAsia="仿宋" w:cs="仿宋"/>
                <w:kern w:val="0"/>
              </w:rPr>
              <w:t>1︰5万矿产地质调查</w:t>
            </w:r>
          </w:p>
        </w:tc>
        <w:tc>
          <w:tcPr>
            <w:tcW w:w="2337" w:type="pct"/>
            <w:vAlign w:val="center"/>
          </w:tcPr>
          <w:p>
            <w:pPr>
              <w:widowControl/>
              <w:jc w:val="center"/>
              <w:rPr>
                <w:rFonts w:hint="eastAsia" w:ascii="仿宋" w:hAnsi="仿宋" w:eastAsia="仿宋" w:cs="仿宋"/>
                <w:kern w:val="0"/>
              </w:rPr>
            </w:pPr>
            <w:r>
              <w:rPr>
                <w:rFonts w:hint="eastAsia" w:ascii="仿宋" w:hAnsi="仿宋" w:eastAsia="仿宋" w:cs="仿宋"/>
                <w:kern w:val="0"/>
              </w:rPr>
              <w:t>预计提交一批成矿条件有利、资源潜力较大、依据充分的新发现矿产地</w:t>
            </w:r>
          </w:p>
        </w:tc>
        <w:tc>
          <w:tcPr>
            <w:tcW w:w="1042" w:type="pct"/>
            <w:vAlign w:val="center"/>
          </w:tcPr>
          <w:p>
            <w:pPr>
              <w:widowControl/>
              <w:jc w:val="center"/>
              <w:rPr>
                <w:rFonts w:hint="eastAsia" w:ascii="仿宋" w:hAnsi="仿宋" w:eastAsia="仿宋" w:cs="仿宋"/>
                <w:kern w:val="0"/>
              </w:rPr>
            </w:pPr>
            <w:r>
              <w:rPr>
                <w:rFonts w:hint="eastAsia" w:ascii="仿宋" w:hAnsi="仿宋" w:eastAsia="仿宋" w:cs="仿宋"/>
                <w:kern w:val="0"/>
              </w:rPr>
              <w:t>2022-2025</w:t>
            </w:r>
          </w:p>
        </w:tc>
        <w:tc>
          <w:tcPr>
            <w:tcW w:w="188" w:type="pct"/>
            <w:noWrap/>
            <w:vAlign w:val="center"/>
          </w:tcPr>
          <w:p>
            <w:pPr>
              <w:widowControl/>
              <w:jc w:val="center"/>
              <w:rPr>
                <w:rFonts w:hint="eastAsia" w:ascii="仿宋" w:hAnsi="仿宋" w:eastAsia="仿宋" w:cs="仿宋"/>
                <w:kern w:val="0"/>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7" w:hRule="atLeast"/>
        </w:trPr>
        <w:tc>
          <w:tcPr>
            <w:tcW w:w="293" w:type="pct"/>
            <w:vAlign w:val="center"/>
          </w:tcPr>
          <w:p>
            <w:pPr>
              <w:widowControl/>
              <w:jc w:val="center"/>
              <w:rPr>
                <w:rFonts w:hint="eastAsia" w:ascii="仿宋" w:hAnsi="仿宋" w:eastAsia="仿宋" w:cs="仿宋"/>
                <w:bCs/>
                <w:kern w:val="0"/>
              </w:rPr>
            </w:pPr>
            <w:r>
              <w:rPr>
                <w:rFonts w:hint="eastAsia" w:ascii="仿宋" w:hAnsi="仿宋" w:eastAsia="仿宋" w:cs="仿宋"/>
                <w:bCs/>
                <w:kern w:val="0"/>
              </w:rPr>
              <w:t>3</w:t>
            </w:r>
          </w:p>
        </w:tc>
        <w:tc>
          <w:tcPr>
            <w:tcW w:w="1139" w:type="pct"/>
            <w:vAlign w:val="center"/>
          </w:tcPr>
          <w:p>
            <w:pPr>
              <w:widowControl/>
              <w:jc w:val="center"/>
              <w:rPr>
                <w:rFonts w:hint="eastAsia" w:ascii="仿宋" w:hAnsi="仿宋" w:eastAsia="仿宋" w:cs="仿宋"/>
                <w:kern w:val="0"/>
              </w:rPr>
            </w:pPr>
            <w:r>
              <w:rPr>
                <w:rFonts w:hint="eastAsia" w:ascii="仿宋" w:hAnsi="仿宋" w:eastAsia="仿宋" w:cs="仿宋"/>
                <w:kern w:val="0"/>
              </w:rPr>
              <w:t>广东大顶矿业股份有限公司低品位铁矿石综合利用项目</w:t>
            </w:r>
          </w:p>
        </w:tc>
        <w:tc>
          <w:tcPr>
            <w:tcW w:w="2337" w:type="pct"/>
            <w:vAlign w:val="center"/>
          </w:tcPr>
          <w:p>
            <w:pPr>
              <w:widowControl/>
              <w:jc w:val="center"/>
              <w:rPr>
                <w:rFonts w:hint="eastAsia" w:ascii="仿宋" w:hAnsi="仿宋" w:eastAsia="仿宋" w:cs="仿宋"/>
                <w:kern w:val="0"/>
              </w:rPr>
            </w:pPr>
            <w:r>
              <w:rPr>
                <w:rFonts w:hint="eastAsia" w:ascii="仿宋" w:hAnsi="仿宋" w:eastAsia="仿宋" w:cs="仿宋"/>
                <w:kern w:val="0"/>
              </w:rPr>
              <w:t>建设规模为300万吨/年的低品位铁矿石综合利用项目，设计年生产铁矿石30万吨、建筑骨料250万吨</w:t>
            </w:r>
          </w:p>
        </w:tc>
        <w:tc>
          <w:tcPr>
            <w:tcW w:w="1042" w:type="pct"/>
            <w:vAlign w:val="center"/>
          </w:tcPr>
          <w:p>
            <w:pPr>
              <w:jc w:val="center"/>
              <w:rPr>
                <w:rFonts w:hint="eastAsia" w:ascii="仿宋" w:hAnsi="仿宋" w:eastAsia="仿宋" w:cs="仿宋"/>
                <w:kern w:val="0"/>
              </w:rPr>
            </w:pPr>
            <w:r>
              <w:rPr>
                <w:rFonts w:hint="eastAsia" w:ascii="仿宋" w:hAnsi="仿宋" w:eastAsia="仿宋" w:cs="仿宋"/>
                <w:kern w:val="0"/>
              </w:rPr>
              <w:t>2021-2025</w:t>
            </w:r>
          </w:p>
        </w:tc>
        <w:tc>
          <w:tcPr>
            <w:tcW w:w="188" w:type="pct"/>
            <w:noWrap/>
            <w:vAlign w:val="center"/>
          </w:tcPr>
          <w:p>
            <w:pPr>
              <w:jc w:val="center"/>
              <w:rPr>
                <w:rFonts w:hint="eastAsia" w:ascii="仿宋" w:hAnsi="仿宋" w:eastAsia="仿宋" w:cs="仿宋"/>
                <w:kern w:val="0"/>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93" w:type="pct"/>
            <w:vAlign w:val="center"/>
          </w:tcPr>
          <w:p>
            <w:pPr>
              <w:widowControl/>
              <w:jc w:val="center"/>
              <w:rPr>
                <w:rFonts w:hint="eastAsia" w:ascii="仿宋" w:hAnsi="仿宋" w:eastAsia="仿宋" w:cs="仿宋"/>
                <w:bCs/>
                <w:kern w:val="0"/>
              </w:rPr>
            </w:pPr>
            <w:r>
              <w:rPr>
                <w:rFonts w:hint="eastAsia" w:ascii="仿宋" w:hAnsi="仿宋" w:eastAsia="仿宋" w:cs="仿宋"/>
                <w:bCs/>
                <w:kern w:val="0"/>
              </w:rPr>
              <w:t>4</w:t>
            </w:r>
          </w:p>
        </w:tc>
        <w:tc>
          <w:tcPr>
            <w:tcW w:w="1139" w:type="pct"/>
            <w:vAlign w:val="center"/>
          </w:tcPr>
          <w:p>
            <w:pPr>
              <w:widowControl/>
              <w:jc w:val="center"/>
              <w:rPr>
                <w:rFonts w:hint="eastAsia" w:ascii="仿宋" w:hAnsi="仿宋" w:eastAsia="仿宋" w:cs="仿宋"/>
                <w:kern w:val="0"/>
              </w:rPr>
            </w:pPr>
            <w:r>
              <w:rPr>
                <w:rFonts w:hint="eastAsia" w:ascii="仿宋" w:hAnsi="仿宋" w:eastAsia="仿宋" w:cs="仿宋"/>
                <w:kern w:val="0"/>
              </w:rPr>
              <w:t>连平县忠信六湖-牛路坑建筑用辉绿岩石场建设项目</w:t>
            </w:r>
          </w:p>
        </w:tc>
        <w:tc>
          <w:tcPr>
            <w:tcW w:w="2337" w:type="pct"/>
            <w:vAlign w:val="center"/>
          </w:tcPr>
          <w:p>
            <w:pPr>
              <w:widowControl/>
              <w:jc w:val="center"/>
              <w:rPr>
                <w:rFonts w:hint="eastAsia" w:ascii="仿宋" w:hAnsi="仿宋" w:eastAsia="仿宋" w:cs="仿宋"/>
                <w:kern w:val="0"/>
              </w:rPr>
            </w:pPr>
            <w:r>
              <w:rPr>
                <w:rFonts w:hint="eastAsia" w:ascii="仿宋" w:hAnsi="仿宋" w:eastAsia="仿宋" w:cs="仿宋"/>
                <w:kern w:val="0"/>
              </w:rPr>
              <w:t>建设大型砂石资源生产基地，服务</w:t>
            </w:r>
            <w:r>
              <w:rPr>
                <w:rFonts w:hint="eastAsia" w:ascii="仿宋" w:hAnsi="仿宋" w:eastAsia="仿宋" w:cs="仿宋"/>
                <w:kern w:val="0"/>
                <w:lang w:eastAsia="zh-CN"/>
              </w:rPr>
              <w:t>县</w:t>
            </w:r>
            <w:r>
              <w:rPr>
                <w:rFonts w:hint="eastAsia" w:ascii="仿宋" w:hAnsi="仿宋" w:eastAsia="仿宋" w:cs="仿宋"/>
                <w:kern w:val="0"/>
              </w:rPr>
              <w:t>区、连平县基础设施及重大项目建设</w:t>
            </w:r>
          </w:p>
        </w:tc>
        <w:tc>
          <w:tcPr>
            <w:tcW w:w="1042" w:type="pct"/>
            <w:vAlign w:val="center"/>
          </w:tcPr>
          <w:p>
            <w:pPr>
              <w:widowControl/>
              <w:jc w:val="center"/>
              <w:rPr>
                <w:rFonts w:hint="eastAsia" w:ascii="仿宋" w:hAnsi="仿宋" w:eastAsia="仿宋" w:cs="仿宋"/>
                <w:kern w:val="0"/>
              </w:rPr>
            </w:pPr>
            <w:r>
              <w:rPr>
                <w:rFonts w:hint="eastAsia" w:ascii="仿宋" w:hAnsi="仿宋" w:eastAsia="仿宋" w:cs="仿宋"/>
                <w:kern w:val="0"/>
              </w:rPr>
              <w:t>2022-2025</w:t>
            </w:r>
          </w:p>
        </w:tc>
        <w:tc>
          <w:tcPr>
            <w:tcW w:w="188" w:type="pct"/>
            <w:noWrap/>
            <w:vAlign w:val="center"/>
          </w:tcPr>
          <w:p>
            <w:pPr>
              <w:widowControl/>
              <w:jc w:val="center"/>
              <w:rPr>
                <w:rFonts w:hint="eastAsia" w:ascii="仿宋" w:hAnsi="仿宋" w:eastAsia="仿宋" w:cs="仿宋"/>
                <w:kern w:val="0"/>
              </w:rPr>
            </w:pPr>
          </w:p>
        </w:tc>
      </w:tr>
    </w:tbl>
    <w:p>
      <w:pPr>
        <w:spacing w:line="360" w:lineRule="auto"/>
        <w:rPr>
          <w:rFonts w:hint="eastAsia" w:ascii="仿宋" w:hAnsi="仿宋" w:eastAsia="仿宋" w:cs="仿宋"/>
        </w:rPr>
      </w:pPr>
    </w:p>
    <w:p>
      <w:pPr>
        <w:spacing w:line="360" w:lineRule="auto"/>
        <w:rPr>
          <w:rFonts w:hint="eastAsia" w:ascii="仿宋" w:hAnsi="仿宋" w:eastAsia="仿宋" w:cs="仿宋"/>
        </w:rPr>
        <w:sectPr>
          <w:pgSz w:w="16838" w:h="11906" w:orient="landscape"/>
          <w:pgMar w:top="1797" w:right="1440" w:bottom="1797" w:left="1440" w:header="851" w:footer="992" w:gutter="0"/>
          <w:pgNumType w:fmt="decimal"/>
          <w:cols w:space="425" w:num="1"/>
          <w:docGrid w:type="lines" w:linePitch="312" w:charSpace="0"/>
        </w:sectPr>
      </w:pPr>
    </w:p>
    <w:bookmarkEnd w:id="89"/>
    <w:bookmarkEnd w:id="90"/>
    <w:p>
      <w:pPr>
        <w:pStyle w:val="2"/>
        <w:keepNext/>
        <w:keepLines/>
        <w:pageBreakBefore w:val="0"/>
        <w:widowControl w:val="0"/>
        <w:kinsoku/>
        <w:wordWrap/>
        <w:overflowPunct/>
        <w:topLinePunct w:val="0"/>
        <w:autoSpaceDE/>
        <w:autoSpaceDN/>
        <w:bidi w:val="0"/>
        <w:adjustRightInd/>
        <w:snapToGrid/>
        <w:spacing w:before="0" w:after="0" w:line="600" w:lineRule="exact"/>
        <w:ind w:firstLine="472" w:firstLineChars="147"/>
        <w:textAlignment w:val="auto"/>
        <w:rPr>
          <w:rFonts w:hint="eastAsia" w:ascii="黑体" w:hAnsi="黑体" w:eastAsia="黑体" w:cs="黑体"/>
          <w:b w:val="0"/>
          <w:bCs w:val="0"/>
          <w:kern w:val="2"/>
          <w:sz w:val="32"/>
          <w:szCs w:val="32"/>
        </w:rPr>
      </w:pPr>
      <w:bookmarkStart w:id="92" w:name="_Toc155693675"/>
      <w:bookmarkStart w:id="93" w:name="_Toc29258"/>
      <w:r>
        <w:rPr>
          <w:rFonts w:hint="eastAsia" w:ascii="黑体" w:hAnsi="黑体" w:eastAsia="黑体" w:cs="黑体"/>
          <w:sz w:val="32"/>
          <w:szCs w:val="32"/>
        </w:rPr>
        <w:t>七、规划</w:t>
      </w:r>
      <w:bookmarkEnd w:id="91"/>
      <w:bookmarkEnd w:id="92"/>
      <w:r>
        <w:rPr>
          <w:rFonts w:hint="eastAsia" w:ascii="黑体" w:hAnsi="黑体" w:eastAsia="黑体" w:cs="黑体"/>
          <w:sz w:val="32"/>
          <w:szCs w:val="32"/>
        </w:rPr>
        <w:t>保障措施</w:t>
      </w:r>
      <w:bookmarkEnd w:id="93"/>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4" w:name="_Toc28673"/>
      <w:r>
        <w:rPr>
          <w:rFonts w:hint="eastAsia" w:ascii="楷体_GB2312" w:hAnsi="楷体_GB2312" w:eastAsia="楷体_GB2312" w:cs="楷体_GB2312"/>
          <w:b w:val="0"/>
          <w:bCs w:val="0"/>
          <w:sz w:val="32"/>
          <w:szCs w:val="32"/>
          <w:lang w:val="en-US" w:eastAsia="zh-CN"/>
        </w:rPr>
        <w:t>（一）加强规划实施目标责任考核</w:t>
      </w:r>
      <w:bookmarkEnd w:id="9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强对矿产资源规划实施情况的监督管理，不定期开展规划执行情况检查，确保规划确定的目标任务落实到位。在审批矿产勘查、开发、保护和生态修复等项目时，按照本级部门所具有的审批权限进行规划会审，建立健全规划管理分区与矿业权设置区划审查制度，严格执行最低开采规模、节约与综合利用、资源保护和环境保护等准入条件审查。</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5" w:name="_Toc6459"/>
      <w:r>
        <w:rPr>
          <w:rFonts w:hint="eastAsia" w:ascii="楷体_GB2312" w:hAnsi="楷体_GB2312" w:eastAsia="楷体_GB2312" w:cs="楷体_GB2312"/>
          <w:b w:val="0"/>
          <w:bCs w:val="0"/>
          <w:sz w:val="32"/>
          <w:szCs w:val="32"/>
          <w:lang w:val="en-US" w:eastAsia="zh-CN"/>
        </w:rPr>
        <w:t>（二）加强规划实施评估调整</w:t>
      </w:r>
      <w:bookmarkEnd w:id="9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完善规划实施监测评估机制，及时对规划实施情况进行中期和末期评估，加强规划主要目标任务完成进度的统计和分析，提出评估调整意见，根据评估意见和实际需要经科学评估论证后，按照法定程序对规划进行必要的调整。规划调整要严格按照相关程序进行，确保内容科学、合理、可行。探索建立规划实施管理的动态监测系统，强化对规划重点区域矿产勘查开采活动的动态监督管理。</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6" w:name="_Toc25950"/>
      <w:r>
        <w:rPr>
          <w:rFonts w:hint="eastAsia" w:ascii="楷体_GB2312" w:hAnsi="楷体_GB2312" w:eastAsia="楷体_GB2312" w:cs="楷体_GB2312"/>
          <w:b w:val="0"/>
          <w:bCs w:val="0"/>
          <w:sz w:val="32"/>
          <w:szCs w:val="32"/>
          <w:lang w:val="en-US" w:eastAsia="zh-CN"/>
        </w:rPr>
        <w:t>（三）规范实施情况监督检查</w:t>
      </w:r>
      <w:bookmarkEnd w:id="9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建立规划实施情况监督检查制度，加强对规划实施情况的监督检查，重点对矿业权设置总量和空间布局是否符合规划要求，以及矿山地质环境恢复治理目标任务是否如期完成等。建立信息编报制度，及时向县人民政府和上级自然资源主管部门报告规划执行情况和监督检查结果。加强规划宣传，依法对</w:t>
      </w:r>
      <w:r>
        <w:rPr>
          <w:rFonts w:hint="eastAsia" w:ascii="仿宋_GB2312" w:hAnsi="仿宋_GB2312" w:eastAsia="仿宋_GB2312" w:cs="仿宋_GB2312"/>
          <w:b w:val="0"/>
          <w:bCs w:val="0"/>
          <w:color w:val="auto"/>
          <w:sz w:val="32"/>
          <w:szCs w:val="32"/>
          <w:lang w:val="en-US" w:eastAsia="zh-CN"/>
        </w:rPr>
        <w:t>需</w:t>
      </w:r>
      <w:r>
        <w:rPr>
          <w:rFonts w:hint="eastAsia" w:ascii="仿宋_GB2312" w:hAnsi="仿宋_GB2312" w:eastAsia="仿宋_GB2312" w:cs="仿宋_GB2312"/>
          <w:b w:val="0"/>
          <w:bCs w:val="0"/>
          <w:color w:val="auto"/>
          <w:sz w:val="32"/>
          <w:szCs w:val="32"/>
        </w:rPr>
        <w:t>公开的信息及时进行公示，主动接受社会监督，畅通监督举报渠道，为公众参与规划实施监督管理提供有利条件。</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7" w:name="_Toc23725"/>
      <w:r>
        <w:rPr>
          <w:rFonts w:hint="eastAsia" w:ascii="楷体_GB2312" w:hAnsi="楷体_GB2312" w:eastAsia="楷体_GB2312" w:cs="楷体_GB2312"/>
          <w:b w:val="0"/>
          <w:bCs w:val="0"/>
          <w:sz w:val="32"/>
          <w:szCs w:val="32"/>
          <w:lang w:val="en-US" w:eastAsia="zh-CN"/>
        </w:rPr>
        <w:t>（四）提高规划管理信息化水平</w:t>
      </w:r>
      <w:bookmarkEnd w:id="9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严格按标准建设矿产资源规划数据库，为规划实施管理提供基础保障。探索创新规划管理手段，运用空间数据库等现代信息技术和方法，加强规划数据库与其他矿政管理数据库的互联互通、信息共享。完善规划实施管理的动态监测、评价和预警系统，做好规划信息与相关信息资源的整合，并及时纳入自然资源“一张图”管理，为矿产资源管理提供规划信息支撑。</w:t>
      </w:r>
    </w:p>
    <w:p>
      <w:pPr>
        <w:spacing w:line="360" w:lineRule="auto"/>
        <w:ind w:firstLine="640" w:firstLineChars="200"/>
        <w:rPr>
          <w:rFonts w:hint="eastAsia" w:ascii="Times New Roman" w:hAnsi="Times New Roman" w:eastAsia="仿宋_GB2312" w:cs="Times New Roman"/>
          <w:sz w:val="32"/>
          <w:szCs w:val="32"/>
          <w:lang w:val="en-US" w:eastAsia="zh-CN"/>
        </w:rPr>
      </w:pPr>
    </w:p>
    <w:p>
      <w:pPr>
        <w:spacing w:line="360" w:lineRule="auto"/>
        <w:ind w:firstLine="640" w:firstLineChars="200"/>
        <w:rPr>
          <w:rFonts w:hint="eastAsia" w:ascii="Times New Roman" w:hAnsi="Times New Roman" w:eastAsia="仿宋_GB2312" w:cs="Times New Roman"/>
          <w:sz w:val="32"/>
          <w:szCs w:val="32"/>
          <w:lang w:val="en-US" w:eastAsia="zh-CN"/>
        </w:rPr>
      </w:pPr>
    </w:p>
    <w:p>
      <w:pPr>
        <w:spacing w:line="360" w:lineRule="auto"/>
        <w:ind w:firstLine="600"/>
        <w:rPr>
          <w:rFonts w:hint="eastAsia" w:eastAsia="仿宋_GB2312"/>
          <w:color w:val="auto"/>
          <w:sz w:val="28"/>
          <w:szCs w:val="28"/>
          <w:lang w:val="en-US" w:eastAsia="zh-CN"/>
        </w:rPr>
      </w:pPr>
    </w:p>
    <w:p>
      <w:pPr>
        <w:pStyle w:val="3"/>
        <w:spacing w:before="0" w:after="0" w:line="360" w:lineRule="auto"/>
        <w:ind w:firstLine="562" w:firstLineChars="200"/>
        <w:rPr>
          <w:rFonts w:hint="eastAsia" w:eastAsia="仿宋_GB2312"/>
          <w:color w:val="auto"/>
          <w:sz w:val="28"/>
          <w:szCs w:val="28"/>
          <w:lang w:val="en-US" w:eastAsia="zh-CN"/>
        </w:rPr>
      </w:pPr>
    </w:p>
    <w:p>
      <w:pPr>
        <w:spacing w:line="360" w:lineRule="auto"/>
        <w:ind w:firstLine="600"/>
        <w:rPr>
          <w:rFonts w:hint="eastAsia" w:eastAsia="仿宋_GB2312"/>
          <w:color w:val="auto"/>
          <w:sz w:val="28"/>
          <w:szCs w:val="28"/>
          <w:lang w:val="en-US" w:eastAsia="zh-CN"/>
        </w:rPr>
      </w:pPr>
    </w:p>
    <w:p>
      <w:pPr>
        <w:spacing w:line="360" w:lineRule="auto"/>
        <w:rPr>
          <w:rFonts w:hint="eastAsia" w:eastAsia="仿宋_GB2312"/>
          <w:color w:val="auto"/>
          <w:sz w:val="28"/>
          <w:szCs w:val="28"/>
          <w:lang w:val="en-US" w:eastAsia="zh-CN"/>
        </w:rPr>
      </w:pPr>
    </w:p>
    <w:p>
      <w:pPr>
        <w:spacing w:line="360" w:lineRule="auto"/>
        <w:rPr>
          <w:rFonts w:hint="eastAsia" w:eastAsia="仿宋_GB2312"/>
          <w:color w:val="auto"/>
          <w:sz w:val="28"/>
          <w:szCs w:val="28"/>
          <w:lang w:val="en-US" w:eastAsia="zh-CN"/>
        </w:rPr>
      </w:pPr>
    </w:p>
    <w:p>
      <w:pPr>
        <w:pBdr>
          <w:bottom w:val="none" w:color="auto" w:sz="0" w:space="0"/>
        </w:pBdr>
        <w:spacing w:line="360" w:lineRule="auto"/>
        <w:rPr>
          <w:rFonts w:hint="eastAsia" w:eastAsia="仿宋_GB2312"/>
          <w:color w:val="auto"/>
          <w:sz w:val="32"/>
          <w:szCs w:val="32"/>
          <w:lang w:val="en-US" w:eastAsia="zh-CN"/>
        </w:rPr>
      </w:pPr>
      <w:r>
        <w:rPr>
          <w:rFonts w:hint="eastAsia" w:ascii="黑体" w:hAnsi="黑体" w:eastAsia="黑体" w:cs="黑体"/>
          <w:color w:val="auto"/>
          <w:sz w:val="32"/>
          <w:szCs w:val="32"/>
          <w:lang w:val="en-US" w:eastAsia="zh-CN"/>
        </w:rPr>
        <w:t>公开方式</w:t>
      </w:r>
      <w:r>
        <w:rPr>
          <w:rFonts w:hint="eastAsia" w:eastAsia="仿宋_GB2312"/>
          <w:color w:val="auto"/>
          <w:sz w:val="32"/>
          <w:szCs w:val="32"/>
          <w:lang w:val="en-US" w:eastAsia="zh-CN"/>
        </w:rPr>
        <w:t>：主动公开</w:t>
      </w:r>
    </w:p>
    <w:p>
      <w:pPr>
        <w:pBdr>
          <w:bottom w:val="none" w:color="auto" w:sz="0" w:space="0"/>
        </w:pBdr>
        <w:spacing w:line="360" w:lineRule="auto"/>
        <w:rPr>
          <w:rFonts w:hint="eastAsia" w:eastAsia="仿宋_GB2312"/>
          <w:color w:val="auto"/>
          <w:sz w:val="32"/>
          <w:szCs w:val="32"/>
          <w:lang w:val="en-US" w:eastAsia="zh-CN"/>
        </w:rPr>
      </w:pPr>
    </w:p>
    <w:p>
      <w:pPr>
        <w:pBdr>
          <w:top w:val="single" w:color="auto" w:sz="4" w:space="0"/>
          <w:bottom w:val="single" w:color="auto" w:sz="4" w:space="0"/>
        </w:pBdr>
        <w:wordWrap w:val="0"/>
        <w:spacing w:line="360" w:lineRule="auto"/>
        <w:ind w:firstLine="266" w:firstLineChars="100"/>
        <w:jc w:val="right"/>
        <w:rPr>
          <w:rFonts w:hint="default" w:eastAsia="仿宋_GB2312"/>
          <w:color w:val="auto"/>
          <w:w w:val="95"/>
          <w:sz w:val="28"/>
          <w:szCs w:val="28"/>
          <w:lang w:val="en-US" w:eastAsia="zh-CN"/>
        </w:rPr>
      </w:pPr>
      <w:r>
        <w:rPr>
          <w:rFonts w:hint="eastAsia" w:eastAsia="仿宋_GB2312"/>
          <w:color w:val="auto"/>
          <w:w w:val="95"/>
          <w:sz w:val="28"/>
          <w:szCs w:val="28"/>
          <w:lang w:val="en-US" w:eastAsia="zh-CN"/>
        </w:rPr>
        <w:t xml:space="preserve">抄送：县纪委监委，县委办，县人大办，县政协办，县委工作部门， 县法院，县检察院，群团组织，中央、省、市驻县单位。     </w:t>
      </w:r>
    </w:p>
    <w:p>
      <w:pPr>
        <w:pBdr>
          <w:bottom w:val="single" w:color="auto" w:sz="4" w:space="0"/>
        </w:pBdr>
        <w:spacing w:line="360" w:lineRule="auto"/>
        <w:ind w:firstLine="280" w:firstLineChars="100"/>
        <w:rPr>
          <w:rFonts w:hint="default" w:eastAsia="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连平县人民政府办公室                2024年3月27日印发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0395" cy="223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0395"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6pt;width:48.85pt;mso-position-horizontal:outside;mso-position-horizontal-relative:margin;z-index:251659264;mso-width-relative:page;mso-height-relative:page;" filled="f" stroked="f" coordsize="21600,21600" o:gfxdata="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dy5GbTAAAAAwEAAA8AAAAAAAAAAQAgAAAAIgAAAGRycy9kb3ducmV2Lnht&#10;bFBLAQIUABQAAAAIAIdO4kDSLVdENwIAAGEEAAAOAAAAAAAAAAEAIAAAACIBAABkcnMvZTJvRG9j&#10;LnhtbFBLBQYAAAAABgAGAFkBAADLBQAAAAA=&#10;">
              <v:fill on="f" focussize="0,0"/>
              <v:stroke on="f" weight="0.5pt"/>
              <v:imagedata o:title=""/>
              <o:lock v:ext="edit" aspectratio="f"/>
              <v:textbox inset="0mm,0mm,0mm,0mm">
                <w:txbxContent>
                  <w:p>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0395"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0395"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6pt;width:48.85pt;mso-position-horizontal:outside;mso-position-horizontal-relative:margin;z-index:251661312;mso-width-relative:page;mso-height-relative:page;" filled="f" stroked="f" coordsize="21600,21600" o:gfxdata="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cuRm0wAAAAMBAAAPAAAAAAAAAAEAIAAAACIAAABkcnMvZG93bnJldi54bWxQ&#10;SwECFAAUAAAACACHTuJAAySWlDUCAABhBAAADgAAAAAAAAABACAAAAAiAQAAZHJzL2Uyb0RvYy54&#10;bWxQSwUGAAAAAAYABgBZAQAAyQUAAAAA&#10;">
              <v:fill on="f" focussize="0,0"/>
              <v:stroke on="f" weight="0.5pt"/>
              <v:imagedata o:title=""/>
              <o:lock v:ext="edit" aspectratio="f"/>
              <v:textbox inset="0mm,0mm,0mm,0mm">
                <w:txbxContent>
                  <w:p>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85A9C"/>
    <w:multiLevelType w:val="singleLevel"/>
    <w:tmpl w:val="50485A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ZWZjMWNmY2M2ZWFkMzJkNjIxMDk0NDlkMDYzYmIifQ=="/>
    <w:docVar w:name="KSO_WPS_MARK_KEY" w:val="678a9562-624a-4703-b748-ef0d4d9c17bc"/>
  </w:docVars>
  <w:rsids>
    <w:rsidRoot w:val="00F75940"/>
    <w:rsid w:val="00002D90"/>
    <w:rsid w:val="00014F68"/>
    <w:rsid w:val="000169AC"/>
    <w:rsid w:val="00030427"/>
    <w:rsid w:val="00035846"/>
    <w:rsid w:val="00095B6E"/>
    <w:rsid w:val="000A404B"/>
    <w:rsid w:val="000A5326"/>
    <w:rsid w:val="000B0BDE"/>
    <w:rsid w:val="000B2419"/>
    <w:rsid w:val="000C1E73"/>
    <w:rsid w:val="000F2D0B"/>
    <w:rsid w:val="000F46D3"/>
    <w:rsid w:val="00115CEC"/>
    <w:rsid w:val="00127E8F"/>
    <w:rsid w:val="00153639"/>
    <w:rsid w:val="00153A5E"/>
    <w:rsid w:val="00154FC3"/>
    <w:rsid w:val="00156A7E"/>
    <w:rsid w:val="00157BBB"/>
    <w:rsid w:val="00160364"/>
    <w:rsid w:val="0017285F"/>
    <w:rsid w:val="00183182"/>
    <w:rsid w:val="001871EF"/>
    <w:rsid w:val="001A70A2"/>
    <w:rsid w:val="001D1F70"/>
    <w:rsid w:val="001E2BC8"/>
    <w:rsid w:val="001E64C4"/>
    <w:rsid w:val="00202BAE"/>
    <w:rsid w:val="00213B3C"/>
    <w:rsid w:val="00223069"/>
    <w:rsid w:val="002274DF"/>
    <w:rsid w:val="002341E0"/>
    <w:rsid w:val="002373AB"/>
    <w:rsid w:val="00240DDA"/>
    <w:rsid w:val="00246939"/>
    <w:rsid w:val="00255C96"/>
    <w:rsid w:val="002574C3"/>
    <w:rsid w:val="002604BB"/>
    <w:rsid w:val="0026581E"/>
    <w:rsid w:val="00267077"/>
    <w:rsid w:val="002863D0"/>
    <w:rsid w:val="00295808"/>
    <w:rsid w:val="002B110C"/>
    <w:rsid w:val="002B1E1E"/>
    <w:rsid w:val="002D0D9E"/>
    <w:rsid w:val="002F2788"/>
    <w:rsid w:val="002F318A"/>
    <w:rsid w:val="002F66B4"/>
    <w:rsid w:val="0030386F"/>
    <w:rsid w:val="0034581E"/>
    <w:rsid w:val="003463B5"/>
    <w:rsid w:val="003530BD"/>
    <w:rsid w:val="00360A2F"/>
    <w:rsid w:val="0036697F"/>
    <w:rsid w:val="003B7DEF"/>
    <w:rsid w:val="003C22AE"/>
    <w:rsid w:val="003D1244"/>
    <w:rsid w:val="003D5ED7"/>
    <w:rsid w:val="003F4C37"/>
    <w:rsid w:val="00403C49"/>
    <w:rsid w:val="0041338F"/>
    <w:rsid w:val="00426059"/>
    <w:rsid w:val="00430569"/>
    <w:rsid w:val="0044409B"/>
    <w:rsid w:val="00452987"/>
    <w:rsid w:val="00467B43"/>
    <w:rsid w:val="00476373"/>
    <w:rsid w:val="0048641B"/>
    <w:rsid w:val="004B54E1"/>
    <w:rsid w:val="004C5BB4"/>
    <w:rsid w:val="004E0B17"/>
    <w:rsid w:val="004E667A"/>
    <w:rsid w:val="004F3EF8"/>
    <w:rsid w:val="004F6998"/>
    <w:rsid w:val="00501BAF"/>
    <w:rsid w:val="0050283D"/>
    <w:rsid w:val="0050504B"/>
    <w:rsid w:val="00520018"/>
    <w:rsid w:val="00533091"/>
    <w:rsid w:val="00541C7C"/>
    <w:rsid w:val="00560608"/>
    <w:rsid w:val="0056094B"/>
    <w:rsid w:val="005709DC"/>
    <w:rsid w:val="00577AB6"/>
    <w:rsid w:val="00583268"/>
    <w:rsid w:val="005855D8"/>
    <w:rsid w:val="005A0976"/>
    <w:rsid w:val="005B045F"/>
    <w:rsid w:val="005B2272"/>
    <w:rsid w:val="005E6D73"/>
    <w:rsid w:val="005E7E45"/>
    <w:rsid w:val="005F0F3A"/>
    <w:rsid w:val="005F5EC2"/>
    <w:rsid w:val="006044E2"/>
    <w:rsid w:val="00610E3B"/>
    <w:rsid w:val="00612A52"/>
    <w:rsid w:val="006214E6"/>
    <w:rsid w:val="00625272"/>
    <w:rsid w:val="00673B02"/>
    <w:rsid w:val="0069177C"/>
    <w:rsid w:val="0069642B"/>
    <w:rsid w:val="006A0924"/>
    <w:rsid w:val="006A739B"/>
    <w:rsid w:val="006B3BB1"/>
    <w:rsid w:val="006C60CA"/>
    <w:rsid w:val="006F71DD"/>
    <w:rsid w:val="007112C5"/>
    <w:rsid w:val="00716B1F"/>
    <w:rsid w:val="007176DF"/>
    <w:rsid w:val="00737FFC"/>
    <w:rsid w:val="00745798"/>
    <w:rsid w:val="00761243"/>
    <w:rsid w:val="007619D7"/>
    <w:rsid w:val="0076223C"/>
    <w:rsid w:val="00767175"/>
    <w:rsid w:val="00781CC7"/>
    <w:rsid w:val="00795E5A"/>
    <w:rsid w:val="007A0AD1"/>
    <w:rsid w:val="007A0B3D"/>
    <w:rsid w:val="007A517A"/>
    <w:rsid w:val="007B543F"/>
    <w:rsid w:val="007C5347"/>
    <w:rsid w:val="007D7984"/>
    <w:rsid w:val="007E1AE5"/>
    <w:rsid w:val="007F0D68"/>
    <w:rsid w:val="007F5368"/>
    <w:rsid w:val="007F78EF"/>
    <w:rsid w:val="00804355"/>
    <w:rsid w:val="008060DF"/>
    <w:rsid w:val="0080667B"/>
    <w:rsid w:val="008100DC"/>
    <w:rsid w:val="00823F45"/>
    <w:rsid w:val="00835450"/>
    <w:rsid w:val="00853062"/>
    <w:rsid w:val="00871577"/>
    <w:rsid w:val="008B51A6"/>
    <w:rsid w:val="008C0557"/>
    <w:rsid w:val="008C3E7A"/>
    <w:rsid w:val="008D1B36"/>
    <w:rsid w:val="008D3936"/>
    <w:rsid w:val="008D73D1"/>
    <w:rsid w:val="008F68D7"/>
    <w:rsid w:val="009155C0"/>
    <w:rsid w:val="00930EF0"/>
    <w:rsid w:val="009433D0"/>
    <w:rsid w:val="00962BB3"/>
    <w:rsid w:val="00973670"/>
    <w:rsid w:val="00977FE8"/>
    <w:rsid w:val="00982219"/>
    <w:rsid w:val="009855D1"/>
    <w:rsid w:val="009A5DDD"/>
    <w:rsid w:val="009B24C4"/>
    <w:rsid w:val="009E2941"/>
    <w:rsid w:val="009F16FE"/>
    <w:rsid w:val="00A01480"/>
    <w:rsid w:val="00A10512"/>
    <w:rsid w:val="00A12413"/>
    <w:rsid w:val="00A15234"/>
    <w:rsid w:val="00A82BF4"/>
    <w:rsid w:val="00AA1FDC"/>
    <w:rsid w:val="00AC77ED"/>
    <w:rsid w:val="00AF2506"/>
    <w:rsid w:val="00AF7D1F"/>
    <w:rsid w:val="00B062A9"/>
    <w:rsid w:val="00B117D2"/>
    <w:rsid w:val="00B20F5C"/>
    <w:rsid w:val="00B2678F"/>
    <w:rsid w:val="00B357FA"/>
    <w:rsid w:val="00B41EE1"/>
    <w:rsid w:val="00B44563"/>
    <w:rsid w:val="00B47F85"/>
    <w:rsid w:val="00B55739"/>
    <w:rsid w:val="00B57D95"/>
    <w:rsid w:val="00B761F7"/>
    <w:rsid w:val="00B77D98"/>
    <w:rsid w:val="00B77F35"/>
    <w:rsid w:val="00B81B26"/>
    <w:rsid w:val="00B81F4B"/>
    <w:rsid w:val="00B83099"/>
    <w:rsid w:val="00BA6F82"/>
    <w:rsid w:val="00BE5C78"/>
    <w:rsid w:val="00BF4C16"/>
    <w:rsid w:val="00BF6045"/>
    <w:rsid w:val="00C1094F"/>
    <w:rsid w:val="00C21607"/>
    <w:rsid w:val="00C26CD1"/>
    <w:rsid w:val="00C40ED5"/>
    <w:rsid w:val="00C43C93"/>
    <w:rsid w:val="00C70E58"/>
    <w:rsid w:val="00C7182E"/>
    <w:rsid w:val="00C7466A"/>
    <w:rsid w:val="00C90EC5"/>
    <w:rsid w:val="00CA7D3B"/>
    <w:rsid w:val="00CB0A48"/>
    <w:rsid w:val="00CB37B1"/>
    <w:rsid w:val="00CC247A"/>
    <w:rsid w:val="00D10E21"/>
    <w:rsid w:val="00D11A62"/>
    <w:rsid w:val="00D156D7"/>
    <w:rsid w:val="00D21497"/>
    <w:rsid w:val="00D25B8F"/>
    <w:rsid w:val="00D323F6"/>
    <w:rsid w:val="00D34BBB"/>
    <w:rsid w:val="00D413AE"/>
    <w:rsid w:val="00D54A26"/>
    <w:rsid w:val="00D74835"/>
    <w:rsid w:val="00D87E34"/>
    <w:rsid w:val="00DA7DAD"/>
    <w:rsid w:val="00DB02CF"/>
    <w:rsid w:val="00DC0CD8"/>
    <w:rsid w:val="00DE0152"/>
    <w:rsid w:val="00DF3A51"/>
    <w:rsid w:val="00E03744"/>
    <w:rsid w:val="00E41CF6"/>
    <w:rsid w:val="00E44147"/>
    <w:rsid w:val="00E61603"/>
    <w:rsid w:val="00E72F08"/>
    <w:rsid w:val="00E77DAC"/>
    <w:rsid w:val="00E806C3"/>
    <w:rsid w:val="00EA2328"/>
    <w:rsid w:val="00EC75C0"/>
    <w:rsid w:val="00ED0116"/>
    <w:rsid w:val="00ED06A3"/>
    <w:rsid w:val="00ED2503"/>
    <w:rsid w:val="00F1382D"/>
    <w:rsid w:val="00F27775"/>
    <w:rsid w:val="00F3225B"/>
    <w:rsid w:val="00F53312"/>
    <w:rsid w:val="00F75940"/>
    <w:rsid w:val="00FB1AA5"/>
    <w:rsid w:val="00FD5B29"/>
    <w:rsid w:val="00FE0E05"/>
    <w:rsid w:val="00FE5E3B"/>
    <w:rsid w:val="01464A85"/>
    <w:rsid w:val="02DF6E88"/>
    <w:rsid w:val="03325221"/>
    <w:rsid w:val="07351DF2"/>
    <w:rsid w:val="07C805EB"/>
    <w:rsid w:val="07CF5DE6"/>
    <w:rsid w:val="0A3E54A5"/>
    <w:rsid w:val="0A726DC8"/>
    <w:rsid w:val="0D0B1319"/>
    <w:rsid w:val="10D17073"/>
    <w:rsid w:val="11F347BB"/>
    <w:rsid w:val="158F12AA"/>
    <w:rsid w:val="16E3540A"/>
    <w:rsid w:val="1A9A2B6C"/>
    <w:rsid w:val="1C840BBA"/>
    <w:rsid w:val="1DE2537A"/>
    <w:rsid w:val="1E4E561D"/>
    <w:rsid w:val="20703609"/>
    <w:rsid w:val="263B7369"/>
    <w:rsid w:val="28404570"/>
    <w:rsid w:val="2930020A"/>
    <w:rsid w:val="29EA6A0F"/>
    <w:rsid w:val="2D6A35DD"/>
    <w:rsid w:val="2E976DAE"/>
    <w:rsid w:val="2F7E7F6E"/>
    <w:rsid w:val="31E1479E"/>
    <w:rsid w:val="33EF1AD8"/>
    <w:rsid w:val="34163B6D"/>
    <w:rsid w:val="36CE22D2"/>
    <w:rsid w:val="37272C99"/>
    <w:rsid w:val="38957CF8"/>
    <w:rsid w:val="3A4C2D5E"/>
    <w:rsid w:val="3DC51712"/>
    <w:rsid w:val="3EB76FF8"/>
    <w:rsid w:val="42770F78"/>
    <w:rsid w:val="4757600F"/>
    <w:rsid w:val="49565AFA"/>
    <w:rsid w:val="4A2515F5"/>
    <w:rsid w:val="4AF56381"/>
    <w:rsid w:val="4CAC02F3"/>
    <w:rsid w:val="4E337515"/>
    <w:rsid w:val="4EBE09AC"/>
    <w:rsid w:val="4F073684"/>
    <w:rsid w:val="4F5A398A"/>
    <w:rsid w:val="527C7EE5"/>
    <w:rsid w:val="5354676C"/>
    <w:rsid w:val="56463883"/>
    <w:rsid w:val="57342B3C"/>
    <w:rsid w:val="59486D73"/>
    <w:rsid w:val="59945B14"/>
    <w:rsid w:val="5D4C24F1"/>
    <w:rsid w:val="5DCA3D2B"/>
    <w:rsid w:val="628A21AA"/>
    <w:rsid w:val="654F3237"/>
    <w:rsid w:val="66171FA7"/>
    <w:rsid w:val="6AF40B09"/>
    <w:rsid w:val="6BCA4DEE"/>
    <w:rsid w:val="6BF80185"/>
    <w:rsid w:val="6D703829"/>
    <w:rsid w:val="6F4B0EDD"/>
    <w:rsid w:val="6F945AEB"/>
    <w:rsid w:val="7004798C"/>
    <w:rsid w:val="70301BE4"/>
    <w:rsid w:val="713D781A"/>
    <w:rsid w:val="71A41AD0"/>
    <w:rsid w:val="73813156"/>
    <w:rsid w:val="73B65706"/>
    <w:rsid w:val="741B5358"/>
    <w:rsid w:val="758F1B5A"/>
    <w:rsid w:val="76157D57"/>
    <w:rsid w:val="766F3739"/>
    <w:rsid w:val="793A1DDD"/>
    <w:rsid w:val="7A310778"/>
    <w:rsid w:val="7C217284"/>
    <w:rsid w:val="7DE95B7F"/>
    <w:rsid w:val="7E075D51"/>
    <w:rsid w:val="7EB73ECF"/>
    <w:rsid w:val="7EE149E8"/>
    <w:rsid w:val="7F7678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0"/>
    <w:semiHidden/>
    <w:qFormat/>
    <w:uiPriority w:val="99"/>
    <w:rPr>
      <w:rFonts w:ascii="宋体" w:cs="宋体"/>
      <w:sz w:val="18"/>
      <w:szCs w:val="18"/>
    </w:rPr>
  </w:style>
  <w:style w:type="paragraph" w:styleId="5">
    <w:name w:val="Body Text Indent"/>
    <w:basedOn w:val="1"/>
    <w:link w:val="29"/>
    <w:qFormat/>
    <w:uiPriority w:val="99"/>
    <w:pPr>
      <w:spacing w:after="120"/>
      <w:ind w:left="420" w:leftChars="200"/>
    </w:pPr>
  </w:style>
  <w:style w:type="paragraph" w:styleId="6">
    <w:name w:val="Plain Text"/>
    <w:basedOn w:val="1"/>
    <w:link w:val="26"/>
    <w:qFormat/>
    <w:uiPriority w:val="99"/>
    <w:rPr>
      <w:rFonts w:ascii="宋体" w:hAnsi="Courier New"/>
      <w:kern w:val="0"/>
    </w:rPr>
  </w:style>
  <w:style w:type="paragraph" w:styleId="7">
    <w:name w:val="endnote text"/>
    <w:basedOn w:val="1"/>
    <w:link w:val="31"/>
    <w:semiHidden/>
    <w:qFormat/>
    <w:uiPriority w:val="99"/>
    <w:pPr>
      <w:snapToGrid w:val="0"/>
      <w:jc w:val="left"/>
    </w:pPr>
  </w:style>
  <w:style w:type="paragraph" w:styleId="8">
    <w:name w:val="footer"/>
    <w:basedOn w:val="1"/>
    <w:link w:val="25"/>
    <w:qFormat/>
    <w:uiPriority w:val="99"/>
    <w:pPr>
      <w:tabs>
        <w:tab w:val="center" w:pos="4153"/>
        <w:tab w:val="right" w:pos="8306"/>
      </w:tabs>
      <w:snapToGrid w:val="0"/>
      <w:jc w:val="left"/>
    </w:pPr>
    <w:rPr>
      <w:rFonts w:ascii="Calibri" w:hAnsi="Calibri" w:cs="Calibri"/>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0">
    <w:name w:val="toc 1"/>
    <w:basedOn w:val="1"/>
    <w:next w:val="1"/>
    <w:qFormat/>
    <w:uiPriority w:val="39"/>
  </w:style>
  <w:style w:type="paragraph" w:styleId="11">
    <w:name w:val="footnote text"/>
    <w:basedOn w:val="1"/>
    <w:link w:val="33"/>
    <w:semiHidden/>
    <w:qFormat/>
    <w:uiPriority w:val="99"/>
    <w:pPr>
      <w:snapToGrid w:val="0"/>
      <w:jc w:val="left"/>
    </w:pPr>
    <w:rPr>
      <w:sz w:val="18"/>
      <w:szCs w:val="18"/>
    </w:rPr>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6">
    <w:name w:val="endnote reference"/>
    <w:basedOn w:val="15"/>
    <w:semiHidden/>
    <w:qFormat/>
    <w:uiPriority w:val="99"/>
    <w:rPr>
      <w:vertAlign w:val="superscript"/>
    </w:rPr>
  </w:style>
  <w:style w:type="character" w:styleId="17">
    <w:name w:val="page number"/>
    <w:basedOn w:val="15"/>
    <w:qFormat/>
    <w:uiPriority w:val="99"/>
  </w:style>
  <w:style w:type="character" w:styleId="18">
    <w:name w:val="Hyperlink"/>
    <w:basedOn w:val="15"/>
    <w:qFormat/>
    <w:uiPriority w:val="99"/>
    <w:rPr>
      <w:color w:val="0000FF"/>
      <w:u w:val="single"/>
    </w:rPr>
  </w:style>
  <w:style w:type="character" w:styleId="19">
    <w:name w:val="footnote reference"/>
    <w:basedOn w:val="15"/>
    <w:semiHidden/>
    <w:qFormat/>
    <w:uiPriority w:val="99"/>
    <w:rPr>
      <w:vertAlign w:val="superscript"/>
    </w:rPr>
  </w:style>
  <w:style w:type="paragraph" w:customStyle="1" w:styleId="20">
    <w:name w:val="Body Text First Indent 21"/>
    <w:basedOn w:val="21"/>
    <w:qFormat/>
    <w:uiPriority w:val="0"/>
    <w:pPr>
      <w:spacing w:line="360" w:lineRule="auto"/>
    </w:pPr>
    <w:rPr>
      <w:rFonts w:eastAsia="宋体"/>
      <w:sz w:val="24"/>
    </w:rPr>
  </w:style>
  <w:style w:type="paragraph" w:customStyle="1" w:styleId="21">
    <w:name w:val="Body Text Indent1"/>
    <w:basedOn w:val="1"/>
    <w:qFormat/>
    <w:uiPriority w:val="0"/>
    <w:pPr>
      <w:spacing w:line="150" w:lineRule="atLeast"/>
      <w:textAlignment w:val="baseline"/>
    </w:pPr>
  </w:style>
  <w:style w:type="character" w:customStyle="1" w:styleId="22">
    <w:name w:val="标题 1 Char"/>
    <w:basedOn w:val="15"/>
    <w:link w:val="2"/>
    <w:qFormat/>
    <w:locked/>
    <w:uiPriority w:val="99"/>
    <w:rPr>
      <w:rFonts w:ascii="Times New Roman" w:hAnsi="Times New Roman" w:eastAsia="宋体" w:cs="Times New Roman"/>
      <w:b/>
      <w:bCs/>
      <w:kern w:val="44"/>
      <w:sz w:val="44"/>
      <w:szCs w:val="44"/>
    </w:rPr>
  </w:style>
  <w:style w:type="character" w:customStyle="1" w:styleId="23">
    <w:name w:val="标题 2 Char"/>
    <w:basedOn w:val="15"/>
    <w:link w:val="3"/>
    <w:qFormat/>
    <w:locked/>
    <w:uiPriority w:val="99"/>
    <w:rPr>
      <w:rFonts w:ascii="Arial" w:hAnsi="Arial" w:eastAsia="黑体" w:cs="Arial"/>
      <w:b/>
      <w:bCs/>
      <w:sz w:val="32"/>
      <w:szCs w:val="32"/>
    </w:rPr>
  </w:style>
  <w:style w:type="character" w:customStyle="1" w:styleId="24">
    <w:name w:val="页眉 Char"/>
    <w:basedOn w:val="15"/>
    <w:link w:val="9"/>
    <w:semiHidden/>
    <w:qFormat/>
    <w:locked/>
    <w:uiPriority w:val="99"/>
    <w:rPr>
      <w:sz w:val="18"/>
      <w:szCs w:val="18"/>
    </w:rPr>
  </w:style>
  <w:style w:type="character" w:customStyle="1" w:styleId="25">
    <w:name w:val="页脚 Char"/>
    <w:basedOn w:val="15"/>
    <w:link w:val="8"/>
    <w:qFormat/>
    <w:locked/>
    <w:uiPriority w:val="99"/>
    <w:rPr>
      <w:sz w:val="18"/>
      <w:szCs w:val="18"/>
    </w:rPr>
  </w:style>
  <w:style w:type="character" w:customStyle="1" w:styleId="26">
    <w:name w:val="纯文本 Char"/>
    <w:link w:val="6"/>
    <w:qFormat/>
    <w:locked/>
    <w:uiPriority w:val="99"/>
    <w:rPr>
      <w:rFonts w:ascii="宋体" w:hAnsi="Courier New" w:cs="宋体"/>
      <w:sz w:val="21"/>
      <w:szCs w:val="21"/>
    </w:rPr>
  </w:style>
  <w:style w:type="character" w:customStyle="1" w:styleId="27">
    <w:name w:val="纯文本 Char1"/>
    <w:basedOn w:val="15"/>
    <w:semiHidden/>
    <w:qFormat/>
    <w:uiPriority w:val="99"/>
    <w:rPr>
      <w:rFonts w:ascii="宋体" w:hAnsi="Courier New" w:cs="Courier New"/>
      <w:szCs w:val="21"/>
    </w:rPr>
  </w:style>
  <w:style w:type="character" w:customStyle="1" w:styleId="28">
    <w:name w:val="纯文本 Char11"/>
    <w:semiHidden/>
    <w:qFormat/>
    <w:uiPriority w:val="99"/>
    <w:rPr>
      <w:rFonts w:ascii="宋体" w:hAnsi="Courier New" w:eastAsia="宋体" w:cs="宋体"/>
      <w:sz w:val="21"/>
      <w:szCs w:val="21"/>
    </w:rPr>
  </w:style>
  <w:style w:type="character" w:customStyle="1" w:styleId="29">
    <w:name w:val="正文文本缩进 Char"/>
    <w:basedOn w:val="15"/>
    <w:link w:val="5"/>
    <w:qFormat/>
    <w:locked/>
    <w:uiPriority w:val="99"/>
    <w:rPr>
      <w:rFonts w:ascii="Times New Roman" w:hAnsi="Times New Roman" w:eastAsia="宋体" w:cs="Times New Roman"/>
      <w:sz w:val="20"/>
      <w:szCs w:val="20"/>
    </w:rPr>
  </w:style>
  <w:style w:type="character" w:customStyle="1" w:styleId="30">
    <w:name w:val="文档结构图 Char"/>
    <w:basedOn w:val="15"/>
    <w:link w:val="4"/>
    <w:semiHidden/>
    <w:qFormat/>
    <w:locked/>
    <w:uiPriority w:val="99"/>
    <w:rPr>
      <w:rFonts w:ascii="宋体" w:hAnsi="Times New Roman" w:eastAsia="宋体" w:cs="宋体"/>
      <w:sz w:val="18"/>
      <w:szCs w:val="18"/>
    </w:rPr>
  </w:style>
  <w:style w:type="character" w:customStyle="1" w:styleId="31">
    <w:name w:val="尾注文本 Char"/>
    <w:basedOn w:val="15"/>
    <w:link w:val="7"/>
    <w:qFormat/>
    <w:locked/>
    <w:uiPriority w:val="99"/>
    <w:rPr>
      <w:rFonts w:ascii="Times New Roman" w:hAnsi="Times New Roman" w:eastAsia="宋体" w:cs="Times New Roman"/>
      <w:sz w:val="20"/>
      <w:szCs w:val="20"/>
    </w:rPr>
  </w:style>
  <w:style w:type="paragraph" w:customStyle="1" w:styleId="32">
    <w:name w:val="样式 样式 样式 华文细黑 + 首行缩进:  2 字符 + 首行缩进:  2 字符"/>
    <w:basedOn w:val="1"/>
    <w:qFormat/>
    <w:uiPriority w:val="99"/>
    <w:pPr>
      <w:snapToGrid w:val="0"/>
      <w:spacing w:beforeLines="50" w:afterLines="50" w:line="480" w:lineRule="exact"/>
      <w:ind w:firstLine="200" w:firstLineChars="200"/>
    </w:pPr>
    <w:rPr>
      <w:rFonts w:ascii="仿宋_GB2312" w:hAnsi="华文细黑" w:eastAsia="仿宋_GB2312" w:cs="仿宋_GB2312"/>
      <w:sz w:val="28"/>
      <w:szCs w:val="28"/>
      <w:lang w:val="zh-CN"/>
    </w:rPr>
  </w:style>
  <w:style w:type="character" w:customStyle="1" w:styleId="33">
    <w:name w:val="脚注文本 Char"/>
    <w:basedOn w:val="15"/>
    <w:link w:val="11"/>
    <w:semiHidden/>
    <w:qFormat/>
    <w:locked/>
    <w:uiPriority w:val="99"/>
    <w:rPr>
      <w:rFonts w:ascii="Times New Roman" w:hAnsi="Times New Roman" w:eastAsia="宋体" w:cs="Times New Roman"/>
      <w:sz w:val="18"/>
      <w:szCs w:val="18"/>
    </w:rPr>
  </w:style>
  <w:style w:type="paragraph" w:customStyle="1" w:styleId="34">
    <w:name w:val="市委"/>
    <w:qFormat/>
    <w:uiPriority w:val="0"/>
    <w:pPr>
      <w:widowControl w:val="0"/>
      <w:adjustRightInd w:val="0"/>
      <w:snapToGrid w:val="0"/>
      <w:spacing w:line="600" w:lineRule="exact"/>
      <w:ind w:firstLine="420" w:firstLineChars="200"/>
      <w:jc w:val="both"/>
    </w:pPr>
    <w:rPr>
      <w:rFonts w:ascii="宋体" w:hAnsi="宋体" w:eastAsia="方正仿宋_GBK" w:cs="宋体"/>
      <w:kern w:val="2"/>
      <w:sz w:val="36"/>
      <w:szCs w:val="36"/>
      <w:lang w:val="en-US" w:eastAsia="zh-CN" w:bidi="ar-SA"/>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14553</Words>
  <Characters>14900</Characters>
  <Lines>132</Lines>
  <Paragraphs>37</Paragraphs>
  <TotalTime>9</TotalTime>
  <ScaleCrop>false</ScaleCrop>
  <LinksUpToDate>false</LinksUpToDate>
  <CharactersWithSpaces>15060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2021-10-11T06:52:00Z</dcterms:created>
  <dc:creator>危接文</dc:creator>
  <cp:lastModifiedBy>Administrator</cp:lastModifiedBy>
  <cp:lastPrinted>2024-04-02T07:01:00Z</cp:lastPrinted>
  <dcterms:modified xsi:type="dcterms:W3CDTF">2024-04-17T02:31:30Z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F0E750627A3D4786B97FD9D3B61DF452</vt:lpwstr>
  </property>
</Properties>
</file>