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38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b w:val="0"/>
          <w:bCs w:val="0"/>
          <w:i w:val="0"/>
          <w:iCs w:val="0"/>
          <w:caps w:val="0"/>
          <w:color w:val="000000"/>
          <w:spacing w:val="0"/>
          <w:sz w:val="44"/>
          <w:szCs w:val="44"/>
          <w:shd w:val="clear" w:color="auto" w:fill="FFFFFF"/>
          <w:lang w:val="en-US" w:eastAsia="zh-CN"/>
        </w:rPr>
      </w:pPr>
      <w:bookmarkStart w:id="2" w:name="_GoBack"/>
      <w:r>
        <w:rPr>
          <w:rFonts w:hint="eastAsia" w:ascii="Times New Roman" w:hAnsi="Times New Roman" w:eastAsia="方正小标宋简体" w:cs="Times New Roman"/>
          <w:b w:val="0"/>
          <w:bCs w:val="0"/>
          <w:i w:val="0"/>
          <w:iCs w:val="0"/>
          <w:caps w:val="0"/>
          <w:color w:val="000000"/>
          <w:spacing w:val="0"/>
          <w:sz w:val="44"/>
          <w:szCs w:val="44"/>
          <w:shd w:val="clear" w:color="auto" w:fill="FFFFFF"/>
          <w:lang w:val="en-US" w:eastAsia="zh-CN"/>
        </w:rPr>
        <w:t>连平县林业局关于《</w:t>
      </w:r>
      <w:r>
        <w:rPr>
          <w:rFonts w:hint="eastAsia" w:ascii="Times New Roman" w:hAnsi="Times New Roman" w:eastAsia="方正小标宋简体" w:cs="Times New Roman"/>
          <w:b w:val="0"/>
          <w:bCs w:val="0"/>
          <w:i w:val="0"/>
          <w:iCs w:val="0"/>
          <w:caps w:val="0"/>
          <w:color w:val="000000"/>
          <w:spacing w:val="0"/>
          <w:sz w:val="44"/>
          <w:szCs w:val="44"/>
          <w:shd w:val="clear" w:color="auto" w:fill="FFFFFF"/>
          <w:lang w:eastAsia="zh-CN"/>
        </w:rPr>
        <w:t>连平县深化集体林权制度改革先行探索实施方案</w:t>
      </w:r>
      <w:r>
        <w:rPr>
          <w:rFonts w:hint="eastAsia" w:ascii="Times New Roman" w:hAnsi="Times New Roman" w:eastAsia="方正小标宋简体" w:cs="Times New Roman"/>
          <w:b w:val="0"/>
          <w:bCs w:val="0"/>
          <w:i w:val="0"/>
          <w:iCs w:val="0"/>
          <w:caps w:val="0"/>
          <w:color w:val="000000"/>
          <w:spacing w:val="0"/>
          <w:sz w:val="44"/>
          <w:szCs w:val="44"/>
          <w:shd w:val="clear" w:color="auto" w:fill="FFFFFF"/>
          <w:lang w:eastAsia="zh-CN"/>
        </w:rPr>
        <w:t>》（</w:t>
      </w:r>
      <w:r>
        <w:rPr>
          <w:rFonts w:hint="eastAsia" w:ascii="Times New Roman" w:hAnsi="Times New Roman" w:eastAsia="方正小标宋简体" w:cs="Times New Roman"/>
          <w:b w:val="0"/>
          <w:bCs w:val="0"/>
          <w:i w:val="0"/>
          <w:iCs w:val="0"/>
          <w:caps w:val="0"/>
          <w:color w:val="000000"/>
          <w:spacing w:val="0"/>
          <w:sz w:val="44"/>
          <w:szCs w:val="44"/>
          <w:shd w:val="clear" w:color="auto" w:fill="FFFFFF"/>
          <w:lang w:eastAsia="zh-CN"/>
        </w:rPr>
        <w:t>征求公众意见</w:t>
      </w:r>
      <w:r>
        <w:rPr>
          <w:rFonts w:hint="eastAsia" w:ascii="Times New Roman" w:hAnsi="Times New Roman" w:eastAsia="方正小标宋简体" w:cs="Times New Roman"/>
          <w:b w:val="0"/>
          <w:bCs w:val="0"/>
          <w:i w:val="0"/>
          <w:iCs w:val="0"/>
          <w:caps w:val="0"/>
          <w:color w:val="000000"/>
          <w:spacing w:val="0"/>
          <w:sz w:val="44"/>
          <w:szCs w:val="44"/>
          <w:shd w:val="clear" w:color="auto" w:fill="FFFFFF"/>
          <w:lang w:eastAsia="zh-CN"/>
        </w:rPr>
        <w:t>稿）的</w:t>
      </w:r>
      <w:r>
        <w:rPr>
          <w:rFonts w:hint="eastAsia" w:ascii="Times New Roman" w:hAnsi="Times New Roman" w:eastAsia="方正小标宋简体" w:cs="Times New Roman"/>
          <w:b w:val="0"/>
          <w:bCs w:val="0"/>
          <w:i w:val="0"/>
          <w:iCs w:val="0"/>
          <w:caps w:val="0"/>
          <w:color w:val="000000"/>
          <w:spacing w:val="0"/>
          <w:sz w:val="44"/>
          <w:szCs w:val="44"/>
          <w:shd w:val="clear" w:color="auto" w:fill="FFFFFF"/>
          <w:lang w:val="en-US" w:eastAsia="zh-CN"/>
        </w:rPr>
        <w:t>起草说明</w:t>
      </w:r>
    </w:p>
    <w:bookmarkEnd w:id="2"/>
    <w:p w14:paraId="01676C45">
      <w:pPr>
        <w:widowControl/>
        <w:shd w:val="clear" w:color="auto" w:fill="FFFFFF"/>
        <w:spacing w:before="156" w:beforeLines="50" w:line="360" w:lineRule="auto"/>
        <w:ind w:left="105" w:leftChars="50" w:right="105" w:rightChars="50" w:firstLine="640" w:firstLineChars="200"/>
        <w:textAlignment w:val="baseline"/>
        <w:rPr>
          <w:rFonts w:hint="eastAsia" w:ascii="仿宋_GB2312" w:hAnsi="微软雅黑" w:eastAsia="仿宋_GB2312" w:cs="宋体"/>
          <w:kern w:val="0"/>
          <w:sz w:val="32"/>
          <w:szCs w:val="32"/>
        </w:rPr>
      </w:pPr>
    </w:p>
    <w:p w14:paraId="496EB3D1">
      <w:pPr>
        <w:widowControl/>
        <w:shd w:val="clear" w:color="auto" w:fill="FFFFFF"/>
        <w:spacing w:before="156" w:beforeLines="50" w:line="360" w:lineRule="auto"/>
        <w:ind w:right="105" w:rightChars="50" w:firstLine="640" w:firstLineChars="200"/>
        <w:textAlignment w:val="baseline"/>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坚持集体林地所有权不变，维护农民集体对承包林地发包、调整等权能，强化对承包经营主体依法利用和保护林地的监督，保持集体林地承包关系稳定并长久不变，承包期届满时坚持延包原则，不得打乱重分，现就实施方案起草情况说明如下：</w:t>
      </w:r>
    </w:p>
    <w:p w14:paraId="5BA78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645"/>
        <w:jc w:val="left"/>
        <w:textAlignment w:val="auto"/>
        <w:rPr>
          <w:rFonts w:hint="default" w:ascii="仿宋_GB2312" w:hAnsi="微软雅黑" w:eastAsia="仿宋_GB2312" w:cs="宋体"/>
          <w:kern w:val="0"/>
          <w:sz w:val="32"/>
          <w:szCs w:val="32"/>
          <w:lang w:val="en-US" w:eastAsia="zh-CN"/>
        </w:rPr>
      </w:pPr>
      <w:r>
        <w:rPr>
          <w:rFonts w:hint="eastAsia" w:ascii="Times New Roman" w:hAnsi="Times New Roman" w:eastAsia="黑体" w:cs="Times New Roman"/>
          <w:i w:val="0"/>
          <w:caps w:val="0"/>
          <w:smallCaps w:val="0"/>
          <w:color w:val="000000"/>
          <w:spacing w:val="0"/>
          <w:kern w:val="0"/>
          <w:sz w:val="32"/>
          <w:szCs w:val="32"/>
          <w:shd w:val="clear" w:color="auto" w:fill="FFFFFF"/>
          <w:lang w:val="en-US" w:eastAsia="zh-CN" w:bidi="ar-SA"/>
        </w:rPr>
        <w:t xml:space="preserve">一、起草背景   </w:t>
      </w:r>
      <w:r>
        <w:rPr>
          <w:rFonts w:hint="eastAsia" w:ascii="仿宋_GB2312" w:hAnsi="微软雅黑" w:eastAsia="仿宋_GB2312" w:cs="宋体"/>
          <w:kern w:val="0"/>
          <w:sz w:val="32"/>
          <w:szCs w:val="32"/>
          <w:lang w:val="en-US" w:eastAsia="zh-CN"/>
        </w:rPr>
        <w:t xml:space="preserve">                                                                                                                                                                                                                                                                                                                                                                                                                                                                                                                                                                                                                                                                                                                                                                                                                                                                                                                                                                                                                                                                                                                                                                                                                                                                                                                                                                                                                                                                                                                                                                                                                                                                                                                                                                                                                                                                                                                                                                                                                                                                                                                                                                                                                                                                                                                                                                                                                                                                                                                                                                                                                                                                                                                                                                                                                                                                                                                                               </w:t>
      </w:r>
    </w:p>
    <w:p w14:paraId="768BD700">
      <w:pPr>
        <w:keepNext w:val="0"/>
        <w:keepLines w:val="0"/>
        <w:widowControl/>
        <w:suppressLineNumbers w:val="0"/>
        <w:pBdr>
          <w:top w:val="none" w:color="auto" w:sz="0" w:space="0"/>
          <w:left w:val="none" w:color="auto" w:sz="0" w:space="0"/>
        </w:pBdr>
        <w:wordWrap w:val="0"/>
        <w:spacing w:before="50" w:beforeAutospacing="0" w:line="15" w:lineRule="atLeast"/>
        <w:ind w:firstLine="640" w:firstLineChars="200"/>
        <w:jc w:val="left"/>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根据习近平新时代中国特色社会主义思想为指导，全面贯彻党的二十大精神，深入贯彻习近平总书记关于“新质生产力”重要论述、对广东系列重要讲话和重要指示精神，牢固树立和践行绿水青山就是金山银山理念，突出问题导向和目标导向，立足林农获益，尊重林农意愿，尊重群众利益，尊重群众首创精神,坚持先行先试，着力深化集体林权制度改革，注重与绿美广东生态建设、“百县千镇万村高质量发展工程”、国家储备林建设相结合，统筹保护与发展，</w:t>
      </w:r>
      <w:bookmarkStart w:id="0" w:name="_Hlk172560297"/>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增强生态保护和林业发展内生动力，</w:t>
      </w:r>
      <w:bookmarkEnd w:id="0"/>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壮大集体经济，持续推进林业强县建设，实现生态美、产业兴、百姓富的有机统一。</w:t>
      </w:r>
    </w:p>
    <w:p w14:paraId="4D8E3130">
      <w:pPr>
        <w:keepNext w:val="0"/>
        <w:keepLines w:val="0"/>
        <w:widowControl/>
        <w:numPr>
          <w:numId w:val="0"/>
        </w:numPr>
        <w:suppressLineNumbers w:val="0"/>
        <w:pBdr>
          <w:top w:val="none" w:color="auto" w:sz="0" w:space="0"/>
          <w:left w:val="none" w:color="auto" w:sz="0" w:space="0"/>
        </w:pBdr>
        <w:wordWrap w:val="0"/>
        <w:spacing w:before="50" w:beforeAutospacing="0" w:line="15" w:lineRule="atLeast"/>
        <w:ind w:leftChars="250"/>
        <w:jc w:val="left"/>
        <w:rPr>
          <w:rFonts w:hint="eastAsia" w:ascii="Times New Roman" w:hAnsi="Times New Roman" w:eastAsia="黑体" w:cs="Times New Roman"/>
          <w:i w:val="0"/>
          <w:caps w:val="0"/>
          <w:smallCaps w:val="0"/>
          <w:color w:val="000000"/>
          <w:spacing w:val="0"/>
          <w:kern w:val="0"/>
          <w:sz w:val="32"/>
          <w:szCs w:val="32"/>
          <w:shd w:val="clear" w:color="auto" w:fill="FFFFFF"/>
          <w:lang w:val="en-US" w:eastAsia="zh-CN" w:bidi="ar-SA"/>
        </w:rPr>
      </w:pPr>
      <w:r>
        <w:rPr>
          <w:rFonts w:hint="eastAsia" w:ascii="Times New Roman" w:hAnsi="Times New Roman" w:eastAsia="黑体" w:cs="Times New Roman"/>
          <w:i w:val="0"/>
          <w:caps w:val="0"/>
          <w:smallCaps w:val="0"/>
          <w:color w:val="000000"/>
          <w:spacing w:val="0"/>
          <w:kern w:val="0"/>
          <w:sz w:val="32"/>
          <w:szCs w:val="32"/>
          <w:shd w:val="clear" w:color="auto" w:fill="FFFFFF"/>
          <w:lang w:val="en-US" w:eastAsia="zh-CN" w:bidi="ar-SA"/>
        </w:rPr>
        <w:t>二、文件依据</w:t>
      </w:r>
    </w:p>
    <w:p w14:paraId="29904A00">
      <w:pPr>
        <w:keepNext w:val="0"/>
        <w:keepLines w:val="0"/>
        <w:widowControl/>
        <w:numPr>
          <w:ilvl w:val="0"/>
          <w:numId w:val="0"/>
        </w:numPr>
        <w:suppressLineNumbers w:val="0"/>
        <w:pBdr>
          <w:top w:val="none" w:color="auto" w:sz="0" w:space="0"/>
          <w:left w:val="none" w:color="auto" w:sz="0" w:space="0"/>
        </w:pBdr>
        <w:wordWrap w:val="0"/>
        <w:spacing w:before="50" w:beforeAutospacing="0" w:line="15" w:lineRule="atLeast"/>
        <w:ind w:firstLine="640" w:firstLineChars="200"/>
        <w:jc w:val="left"/>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（一）《中共广东省委办公厅 广东省人民政府办公厅关于印发〈广东省深化集体林权制度改革实施方案〉的通知》（粤办发〔2024〕47号）</w:t>
      </w:r>
    </w:p>
    <w:p w14:paraId="63ABD343">
      <w:pPr>
        <w:keepNext w:val="0"/>
        <w:keepLines w:val="0"/>
        <w:widowControl/>
        <w:numPr>
          <w:ilvl w:val="0"/>
          <w:numId w:val="0"/>
        </w:numPr>
        <w:suppressLineNumbers w:val="0"/>
        <w:pBdr>
          <w:top w:val="none" w:color="auto" w:sz="0" w:space="0"/>
          <w:left w:val="none" w:color="auto" w:sz="0" w:space="0"/>
        </w:pBdr>
        <w:wordWrap w:val="0"/>
        <w:spacing w:before="50" w:beforeAutospacing="0" w:line="15" w:lineRule="atLeast"/>
        <w:ind w:firstLine="640" w:firstLineChars="200"/>
        <w:jc w:val="left"/>
        <w:rPr>
          <w:rFonts w:hint="eastAsia" w:ascii="仿宋_GB2312" w:hAnsi="微软雅黑" w:eastAsia="仿宋_GB2312" w:cs="宋体"/>
          <w:kern w:val="0"/>
          <w:sz w:val="32"/>
          <w:szCs w:val="32"/>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（二）《广东省林业局关于开展深化集体林权制度改革先行探索的通知》（粤林函〔2024〕91号）</w:t>
      </w:r>
    </w:p>
    <w:p w14:paraId="66EC6489">
      <w:pPr>
        <w:keepNext w:val="0"/>
        <w:keepLines w:val="0"/>
        <w:widowControl/>
        <w:numPr>
          <w:ilvl w:val="0"/>
          <w:numId w:val="0"/>
        </w:numPr>
        <w:suppressLineNumbers w:val="0"/>
        <w:pBdr>
          <w:top w:val="none" w:color="auto" w:sz="0" w:space="0"/>
          <w:left w:val="none" w:color="auto" w:sz="0" w:space="0"/>
        </w:pBdr>
        <w:wordWrap w:val="0"/>
        <w:spacing w:before="50" w:beforeAutospacing="0" w:line="15" w:lineRule="atLeast"/>
        <w:ind w:leftChars="250"/>
        <w:jc w:val="left"/>
        <w:rPr>
          <w:rFonts w:hint="eastAsia" w:ascii="Times New Roman" w:hAnsi="Times New Roman" w:eastAsia="黑体" w:cs="Times New Roman"/>
          <w:i w:val="0"/>
          <w:caps w:val="0"/>
          <w:smallCaps w:val="0"/>
          <w:color w:val="000000"/>
          <w:spacing w:val="0"/>
          <w:kern w:val="0"/>
          <w:sz w:val="32"/>
          <w:szCs w:val="32"/>
          <w:shd w:val="clear" w:color="auto" w:fill="FFFFFF"/>
          <w:lang w:val="en-US" w:eastAsia="zh-CN" w:bidi="ar-SA"/>
        </w:rPr>
      </w:pPr>
      <w:r>
        <w:rPr>
          <w:rFonts w:hint="eastAsia" w:ascii="Times New Roman" w:hAnsi="Times New Roman" w:eastAsia="黑体" w:cs="Times New Roman"/>
          <w:i w:val="0"/>
          <w:caps w:val="0"/>
          <w:smallCaps w:val="0"/>
          <w:color w:val="000000"/>
          <w:spacing w:val="0"/>
          <w:kern w:val="0"/>
          <w:sz w:val="32"/>
          <w:szCs w:val="32"/>
          <w:shd w:val="clear" w:color="auto" w:fill="FFFFFF"/>
          <w:lang w:val="en-US" w:eastAsia="zh-CN" w:bidi="ar-SA"/>
        </w:rPr>
        <w:t xml:space="preserve">三、主要内容 </w:t>
      </w:r>
    </w:p>
    <w:p w14:paraId="47DA4061">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（一）落实所有权。坚持集体林地所有权不变，维护农民集体对承包林地发包。</w:t>
      </w:r>
    </w:p>
    <w:p w14:paraId="69107D44">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二）稳定承包权。保持集体林地承包关系稳定并长久不变，承包期届满时坚持延包原则，不得打乱重分。采取“均股均利”形式的集体林地，继续实行集体统一经营管理，保障农户的集体山林股份权益。建立集体林地承包信息管理台账，及时录入林权综合监管平台，实现与不动产登记、金融等部门信息共享。</w:t>
      </w:r>
    </w:p>
    <w:p w14:paraId="478D73CF">
      <w:pPr>
        <w:widowControl/>
        <w:shd w:val="clear" w:color="auto" w:fill="FFFFFF"/>
        <w:ind w:left="105"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（三）放活经营权。林地经营权可以依法通过出租、转让、入股、合作及其他方式再流转，或依法向金融机构融资担保。完善集体林权流转管理制度，加强集体林地承包经营合同管理，盘活林地林木资产。</w:t>
      </w:r>
    </w:p>
    <w:p w14:paraId="38D50CEA">
      <w:pPr>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（四）加强林权流转纠纷调处。规范林地林木流转管理，保障集体林权流转渠道畅通，切实维护发包方、承包方、经营主体等各方权益。</w:t>
      </w:r>
    </w:p>
    <w:p w14:paraId="7AE91FB6">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 xml:space="preserve">（五）规范确权颁证。基于第三次全国国土调查统一底图，加快推进林权登记存量数据整合，将融合后的数据纳入不动产登记信息平台管理。针对集体林地类重叠、界址不清等问题，镇、村快速介入调处，在充分尊重农民意愿的前提下，尽量通过协商方式解决，由农村集体经济组织与承包农户按照规定签订承包合同、明确承包关系。           </w:t>
      </w:r>
    </w:p>
    <w:p w14:paraId="068F1036">
      <w:pPr>
        <w:widowControl/>
        <w:shd w:val="clear" w:color="auto" w:fill="FFFFFF"/>
        <w:spacing w:before="156" w:beforeLines="50" w:after="156" w:afterLines="50" w:line="360" w:lineRule="auto"/>
        <w:ind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六）建立集体林权收储平台。采取“政府引导、社会参与、市场运作”模式组建林权收储机构，吸引社会资本参与林权流转。成立以县林业局、县自然资源局、各镇及有关县直单位等为成员的林地收储工作小组，完善以连平县城乡投资公司为依托的林地收储平台，规范林地收储管理。</w:t>
      </w:r>
    </w:p>
    <w:p w14:paraId="38B8AC89">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七）加强林权交易服务体系建设。积极探索推进林地流转，建立“县、镇、村”三级林权流转服务体系，实现便民利民。推动不动产登记、林权交易、林业数字化场景、地理信息与遥感数据、绿色金融服务系统、碳汇交易系统等有效对接、实时互通共享。</w:t>
      </w:r>
    </w:p>
    <w:p w14:paraId="7B39ED22">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（八）加大力度培育及扶持新型林业经营主体。通过奖励和补贴政策、项目实施等手段，支持林业专业大户、家庭林场、农民林业专业合作社、股份合作社、林业龙头企业等新型林业经营主体的发展。</w:t>
      </w:r>
    </w:p>
    <w:p w14:paraId="7C5F16FD">
      <w:pPr>
        <w:widowControl/>
        <w:shd w:val="clear" w:color="auto" w:fill="FFFFFF"/>
        <w:ind w:firstLine="800" w:firstLineChars="25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（九）鼓励社会资本参与林业投资经营。落实木竹资源培育和林区基础设施建设奖补措施，提升社会资本投入林业的积极性。</w:t>
      </w:r>
    </w:p>
    <w:p w14:paraId="3ED16BB1">
      <w:pPr>
        <w:widowControl/>
        <w:shd w:val="clear" w:color="auto" w:fill="FFFFFF"/>
        <w:spacing w:before="156" w:beforeLines="50" w:line="360" w:lineRule="auto"/>
        <w:ind w:left="105" w:leftChars="50" w:right="105" w:rightChars="50" w:firstLine="800" w:firstLineChars="25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bookmarkStart w:id="1" w:name="_Hlk170149917"/>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（十）推进天然林与公益林并轨管理。扎实推进天然林精准核定落界工作，科学确定天然林保护重点区域，完善天然林资源信息，对非重点区域天然林开展抚育、生态修复等，实现全县森林资源“一张图”管理。</w:t>
      </w:r>
    </w:p>
    <w:bookmarkEnd w:id="1"/>
    <w:p w14:paraId="4573FA82">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十一）加大对林业贷款的支持力度。鼓励金融机构在依法合规的前提下结合自身实际开展林权抵押和公益林补偿收益权、林业碳汇预期收益权、林业经营收益权等质押贷款业务，开发适合林业发展的中长期贷款等创新产品，简化贷款手续，加大对林农及林业企业等林业贷款的支持力度。</w:t>
      </w:r>
    </w:p>
    <w:p w14:paraId="502707EB">
      <w:pPr>
        <w:widowControl/>
        <w:shd w:val="clear" w:color="auto" w:fill="FFFFFF"/>
        <w:spacing w:before="156" w:beforeLines="50" w:line="360" w:lineRule="auto"/>
        <w:ind w:left="105" w:leftChars="50" w:right="105" w:rightChars="50" w:firstLine="640" w:firstLineChars="200"/>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pPr>
      <w:r>
        <w:rPr>
          <w:rStyle w:val="9"/>
          <w:rFonts w:hint="eastAsia" w:ascii="Times New Roman" w:hAnsi="Times New Roman" w:eastAsia="仿宋_GB2312" w:cs="Times New Roman"/>
          <w:b w:val="0"/>
          <w:i w:val="0"/>
          <w:caps w:val="0"/>
          <w:smallCaps w:val="0"/>
          <w:color w:val="000000"/>
          <w:spacing w:val="0"/>
          <w:kern w:val="0"/>
          <w:sz w:val="32"/>
          <w:szCs w:val="32"/>
          <w:lang w:val="en-US" w:eastAsia="zh-CN" w:bidi="ar-SA"/>
        </w:rPr>
        <w:t>（十二）推深做实林长制工作。通过开展森林质量提升、森林督查、打击破坏森林资源专项行动以及“林长+”等专项行动，推进林长制组织体系、责任体系、源头管理体系、监管体系和考核体系建设，切实打造连平县林长制升级版。通过“河湖长+林长+警长”、“林长+检察长”、 “林长+森林法官”等形式，加强协作。</w:t>
      </w:r>
    </w:p>
    <w:p w14:paraId="426BFFB6">
      <w:pPr>
        <w:widowControl/>
        <w:shd w:val="clear" w:color="auto" w:fill="FFFFFF"/>
        <w:spacing w:before="156" w:beforeLines="50" w:line="360" w:lineRule="auto"/>
        <w:ind w:left="105" w:leftChars="50" w:right="105" w:rightChars="50" w:firstLine="4800" w:firstLineChars="1500"/>
        <w:rPr>
          <w:rStyle w:val="9"/>
          <w:rFonts w:hint="default" w:ascii="Times New Roman" w:hAnsi="Times New Roman" w:eastAsia="仿宋_GB2312" w:cs="Times New Roman"/>
          <w:b w:val="0"/>
          <w:i w:val="0"/>
          <w:caps w:val="0"/>
          <w:smallCaps w:val="0"/>
          <w:color w:val="000000"/>
          <w:spacing w:val="0"/>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C9E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BC764">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7BC76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ODIxZWJiMmY1Y2JiOTA0ZGNlMGQ1ZDJhNDJiOTEifQ=="/>
  </w:docVars>
  <w:rsids>
    <w:rsidRoot w:val="00DF4CD2"/>
    <w:rsid w:val="00464878"/>
    <w:rsid w:val="00AB73DE"/>
    <w:rsid w:val="00C7557B"/>
    <w:rsid w:val="00DF4CD2"/>
    <w:rsid w:val="00E923C0"/>
    <w:rsid w:val="023A5495"/>
    <w:rsid w:val="043D27A7"/>
    <w:rsid w:val="05F205E8"/>
    <w:rsid w:val="063A26CE"/>
    <w:rsid w:val="070724B8"/>
    <w:rsid w:val="071D03D9"/>
    <w:rsid w:val="0B19257F"/>
    <w:rsid w:val="0B416FFB"/>
    <w:rsid w:val="0CF33AF9"/>
    <w:rsid w:val="0D225A62"/>
    <w:rsid w:val="0E8E310A"/>
    <w:rsid w:val="0FDE5334"/>
    <w:rsid w:val="11850215"/>
    <w:rsid w:val="18C74180"/>
    <w:rsid w:val="19B33992"/>
    <w:rsid w:val="1ADC7E3A"/>
    <w:rsid w:val="1E950F5E"/>
    <w:rsid w:val="20237B65"/>
    <w:rsid w:val="22F05754"/>
    <w:rsid w:val="232C662D"/>
    <w:rsid w:val="25991BBC"/>
    <w:rsid w:val="284636DE"/>
    <w:rsid w:val="28DB58E5"/>
    <w:rsid w:val="2BEC605F"/>
    <w:rsid w:val="2C1003B0"/>
    <w:rsid w:val="2E960B5C"/>
    <w:rsid w:val="300A7E50"/>
    <w:rsid w:val="30C141F4"/>
    <w:rsid w:val="31A0241D"/>
    <w:rsid w:val="333F17C2"/>
    <w:rsid w:val="361707D4"/>
    <w:rsid w:val="36B430BC"/>
    <w:rsid w:val="36E902B0"/>
    <w:rsid w:val="370048AE"/>
    <w:rsid w:val="399161E1"/>
    <w:rsid w:val="43170066"/>
    <w:rsid w:val="446F5F2C"/>
    <w:rsid w:val="45196946"/>
    <w:rsid w:val="46C10A14"/>
    <w:rsid w:val="4ADC7E84"/>
    <w:rsid w:val="4BD861BA"/>
    <w:rsid w:val="52036138"/>
    <w:rsid w:val="560B1CAC"/>
    <w:rsid w:val="5C2B284A"/>
    <w:rsid w:val="5D850596"/>
    <w:rsid w:val="61923D99"/>
    <w:rsid w:val="62434BD1"/>
    <w:rsid w:val="631250A7"/>
    <w:rsid w:val="64B45E32"/>
    <w:rsid w:val="64DD6FB9"/>
    <w:rsid w:val="6882458F"/>
    <w:rsid w:val="6A222CC8"/>
    <w:rsid w:val="6A9C60F5"/>
    <w:rsid w:val="6C3F65A7"/>
    <w:rsid w:val="6CFF191D"/>
    <w:rsid w:val="73B77E2C"/>
    <w:rsid w:val="76AC2C49"/>
    <w:rsid w:val="794E1C23"/>
    <w:rsid w:val="794F0C6E"/>
    <w:rsid w:val="79790A7F"/>
    <w:rsid w:val="79F62813"/>
    <w:rsid w:val="7D450D50"/>
    <w:rsid w:val="7F3F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szCs w:val="2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9">
    <w:name w:val="Strong"/>
    <w:basedOn w:val="8"/>
    <w:qFormat/>
    <w:uiPriority w:val="0"/>
    <w:rPr>
      <w:b/>
    </w:rPr>
  </w:style>
  <w:style w:type="character" w:styleId="10">
    <w:name w:val="FollowedHyperlink"/>
    <w:basedOn w:val="8"/>
    <w:semiHidden/>
    <w:unhideWhenUsed/>
    <w:qFormat/>
    <w:uiPriority w:val="99"/>
    <w:rPr>
      <w:color w:val="771CAA"/>
      <w:u w:val="none"/>
    </w:rPr>
  </w:style>
  <w:style w:type="character" w:styleId="11">
    <w:name w:val="Emphasis"/>
    <w:basedOn w:val="8"/>
    <w:qFormat/>
    <w:uiPriority w:val="20"/>
    <w:rPr>
      <w:color w:val="F73131"/>
    </w:rPr>
  </w:style>
  <w:style w:type="character" w:styleId="12">
    <w:name w:val="Hyperlink"/>
    <w:basedOn w:val="8"/>
    <w:semiHidden/>
    <w:unhideWhenUsed/>
    <w:qFormat/>
    <w:uiPriority w:val="99"/>
    <w:rPr>
      <w:color w:val="315EFB"/>
      <w:u w:val="single"/>
    </w:rPr>
  </w:style>
  <w:style w:type="character" w:styleId="13">
    <w:name w:val="HTML Cite"/>
    <w:basedOn w:val="8"/>
    <w:semiHidden/>
    <w:unhideWhenUsed/>
    <w:qFormat/>
    <w:uiPriority w:val="99"/>
    <w:rPr>
      <w:color w:val="008000"/>
    </w:rPr>
  </w:style>
  <w:style w:type="character" w:customStyle="1" w:styleId="14">
    <w:name w:val="标题 1 字符"/>
    <w:basedOn w:val="8"/>
    <w:link w:val="2"/>
    <w:qFormat/>
    <w:uiPriority w:val="0"/>
    <w:rPr>
      <w:b/>
      <w:kern w:val="44"/>
      <w:sz w:val="44"/>
      <w:szCs w:val="24"/>
    </w:rPr>
  </w:style>
  <w:style w:type="character" w:customStyle="1" w:styleId="15">
    <w:name w:val="页脚 字符"/>
    <w:basedOn w:val="8"/>
    <w:link w:val="4"/>
    <w:qFormat/>
    <w:uiPriority w:val="0"/>
    <w:rPr>
      <w:sz w:val="18"/>
      <w:szCs w:val="18"/>
    </w:rPr>
  </w:style>
  <w:style w:type="character" w:customStyle="1" w:styleId="16">
    <w:name w:val="font31"/>
    <w:basedOn w:val="8"/>
    <w:qFormat/>
    <w:uiPriority w:val="0"/>
    <w:rPr>
      <w:rFonts w:hint="eastAsia" w:ascii="宋体" w:hAnsi="宋体" w:eastAsia="宋体" w:cs="宋体"/>
      <w:color w:val="000000"/>
      <w:sz w:val="21"/>
      <w:szCs w:val="21"/>
      <w:u w:val="none"/>
    </w:rPr>
  </w:style>
  <w:style w:type="character" w:customStyle="1" w:styleId="17">
    <w:name w:val="font11"/>
    <w:basedOn w:val="8"/>
    <w:qFormat/>
    <w:uiPriority w:val="0"/>
    <w:rPr>
      <w:rFonts w:hint="default" w:ascii="Times New Roman" w:hAnsi="Times New Roman" w:cs="Times New Roman"/>
      <w:color w:val="000000"/>
      <w:sz w:val="21"/>
      <w:szCs w:val="21"/>
      <w:u w:val="none"/>
    </w:rPr>
  </w:style>
  <w:style w:type="paragraph" w:customStyle="1" w:styleId="18">
    <w:name w:val="列表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9">
    <w:name w:val="页眉 字符"/>
    <w:basedOn w:val="8"/>
    <w:link w:val="5"/>
    <w:qFormat/>
    <w:uiPriority w:val="99"/>
    <w:rPr>
      <w:kern w:val="2"/>
      <w:sz w:val="18"/>
      <w:szCs w:val="18"/>
    </w:rPr>
  </w:style>
  <w:style w:type="character" w:customStyle="1" w:styleId="20">
    <w:name w:val="hover20"/>
    <w:basedOn w:val="8"/>
    <w:qFormat/>
    <w:uiPriority w:val="0"/>
    <w:rPr>
      <w:color w:val="315EFB"/>
    </w:rPr>
  </w:style>
  <w:style w:type="character" w:customStyle="1" w:styleId="21">
    <w:name w:val="hover21"/>
    <w:basedOn w:val="8"/>
    <w:qFormat/>
    <w:uiPriority w:val="0"/>
  </w:style>
  <w:style w:type="character" w:customStyle="1" w:styleId="22">
    <w:name w:val="hover22"/>
    <w:basedOn w:val="8"/>
    <w:qFormat/>
    <w:uiPriority w:val="0"/>
    <w:rPr>
      <w:color w:val="315EFB"/>
    </w:rPr>
  </w:style>
  <w:style w:type="character" w:customStyle="1" w:styleId="23">
    <w:name w:val="c-icon28"/>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1718</Words>
  <Characters>1733</Characters>
  <Lines>171</Lines>
  <Paragraphs>48</Paragraphs>
  <TotalTime>6</TotalTime>
  <ScaleCrop>false</ScaleCrop>
  <LinksUpToDate>false</LinksUpToDate>
  <CharactersWithSpaces>4581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2024-08-12T00:59:00Z</dcterms:created>
  <dc:creator>Administrator</dc:creator>
  <cp:lastModifiedBy>羊顿</cp:lastModifiedBy>
  <dcterms:modified xsi:type="dcterms:W3CDTF">2024-12-11T03:04:59Z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8ECB95B5C10947A58BA321978E7B0345_13</vt:lpwstr>
  </property>
</Properties>
</file>