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ind w:left="0" w:right="0"/>
        <w:jc w:val="distribute"/>
        <w:rPr>
          <w:rFonts w:hint="eastAsia" w:ascii="宋体" w:hAnsi="宋体" w:eastAsia="宋体" w:cs="宋体"/>
          <w:sz w:val="62"/>
          <w:szCs w:val="62"/>
          <w:lang w:val="en-US"/>
        </w:rPr>
      </w:pPr>
      <w:r>
        <w:rPr>
          <w:rFonts w:hint="eastAsia" w:ascii="宋体" w:hAnsi="宋体" w:eastAsia="宋体" w:cs="宋体"/>
          <w:b/>
          <w:color w:val="FF0000"/>
          <w:spacing w:val="20"/>
          <w:kern w:val="2"/>
          <w:sz w:val="62"/>
          <w:szCs w:val="62"/>
          <w:lang w:val="en-US" w:eastAsia="zh-CN" w:bidi="ar"/>
        </w:rPr>
        <w:t>连平县扶贫开发领导小组</w:t>
      </w:r>
    </w:p>
    <w:p>
      <w:pPr>
        <w:pStyle w:val="2"/>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sz w:val="32"/>
          <w:szCs w:val="32"/>
          <w:lang w:val="en-US"/>
        </w:rPr>
      </w:pPr>
      <w:r>
        <w:rPr>
          <w:rStyle w:val="8"/>
          <w:rFonts w:hint="eastAsia" w:ascii="宋体" w:hAnsi="宋体" w:eastAsia="宋体" w:cs="宋体"/>
          <w:b w:val="0"/>
          <w:sz w:val="32"/>
          <w:szCs w:val="32"/>
          <w:lang w:eastAsia="zh-CN"/>
        </w:rPr>
        <w:t>连扶〔</w:t>
      </w:r>
      <w:r>
        <w:rPr>
          <w:rStyle w:val="8"/>
          <w:rFonts w:hint="eastAsia" w:ascii="宋体" w:hAnsi="宋体" w:eastAsia="宋体" w:cs="宋体"/>
          <w:b w:val="0"/>
          <w:sz w:val="32"/>
          <w:szCs w:val="32"/>
          <w:lang w:val="en-US"/>
        </w:rPr>
        <w:t>201</w:t>
      </w:r>
      <w:r>
        <w:rPr>
          <w:rStyle w:val="8"/>
          <w:rFonts w:hint="eastAsia" w:ascii="宋体" w:hAnsi="宋体" w:cs="宋体"/>
          <w:b w:val="0"/>
          <w:sz w:val="32"/>
          <w:szCs w:val="32"/>
          <w:lang w:val="en-US" w:eastAsia="zh-CN"/>
        </w:rPr>
        <w:t>6</w:t>
      </w:r>
      <w:r>
        <w:rPr>
          <w:rStyle w:val="8"/>
          <w:rFonts w:hint="eastAsia" w:ascii="宋体" w:hAnsi="宋体" w:eastAsia="宋体" w:cs="宋体"/>
          <w:b w:val="0"/>
          <w:sz w:val="32"/>
          <w:szCs w:val="32"/>
          <w:lang w:eastAsia="zh-CN"/>
        </w:rPr>
        <w:t>〕</w:t>
      </w:r>
      <w:r>
        <w:rPr>
          <w:rStyle w:val="8"/>
          <w:rFonts w:hint="eastAsia" w:ascii="宋体" w:hAnsi="宋体" w:cs="宋体"/>
          <w:b w:val="0"/>
          <w:sz w:val="32"/>
          <w:szCs w:val="32"/>
          <w:lang w:val="en-US" w:eastAsia="zh-CN"/>
        </w:rPr>
        <w:t>11</w:t>
      </w:r>
      <w:r>
        <w:rPr>
          <w:rStyle w:val="8"/>
          <w:rFonts w:hint="eastAsia" w:ascii="宋体" w:hAnsi="宋体" w:eastAsia="宋体" w:cs="宋体"/>
          <w:b w:val="0"/>
          <w:sz w:val="32"/>
          <w:szCs w:val="32"/>
          <w:lang w:eastAsia="zh-CN"/>
        </w:rPr>
        <w:t>号</w:t>
      </w:r>
    </w:p>
    <w:p>
      <w:pPr>
        <w:keepNext w:val="0"/>
        <w:keepLines w:val="0"/>
        <w:widowControl w:val="0"/>
        <w:suppressLineNumbers w:val="0"/>
        <w:autoSpaceDE w:val="0"/>
        <w:autoSpaceDN/>
        <w:snapToGrid w:val="0"/>
        <w:spacing w:before="0" w:beforeAutospacing="0" w:after="0" w:afterAutospacing="0"/>
        <w:ind w:left="0" w:right="0"/>
        <w:jc w:val="center"/>
        <w:rPr>
          <w:rFonts w:hint="default" w:ascii="仿宋_GB2312" w:eastAsia="仿宋_GB2312" w:cs="仿宋_GB2312"/>
          <w:color w:val="000000"/>
          <w:sz w:val="24"/>
          <w:szCs w:val="24"/>
          <w:lang w:val="en-US"/>
        </w:rPr>
      </w:pPr>
      <w:r>
        <w:rPr>
          <w:rFonts w:hint="default" w:ascii="仿宋_GB2312" w:hAnsi="Times New Roman" w:eastAsia="仿宋_GB2312" w:cs="仿宋_GB2312"/>
          <w:color w:val="000000"/>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lang w:val="en-US"/>
        </w:rPr>
      </w:pPr>
      <w:r>
        <w:rPr>
          <w:rFonts w:hint="default" w:ascii="Times New Roman" w:hAnsi="Times New Roman" w:eastAsia="宋体" w:cs="Times New Roman"/>
          <w:kern w:val="2"/>
          <w:sz w:val="21"/>
          <w:szCs w:val="21"/>
          <w:lang w:val="en-US" w:eastAsia="zh-CN" w:bidi="ar"/>
        </w:rPr>
        <w:drawing>
          <wp:inline distT="0" distB="0" distL="114300" distR="114300">
            <wp:extent cx="5876925" cy="38100"/>
            <wp:effectExtent l="0" t="0" r="9525" b="0"/>
            <wp:docPr id="1" name="图片 1" descr="wps4D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4DAC.tmp"/>
                    <pic:cNvPicPr>
                      <a:picLocks noChangeAspect="1"/>
                    </pic:cNvPicPr>
                  </pic:nvPicPr>
                  <pic:blipFill>
                    <a:blip r:embed="rId6"/>
                    <a:stretch>
                      <a:fillRect/>
                    </a:stretch>
                  </pic:blipFill>
                  <pic:spPr>
                    <a:xfrm>
                      <a:off x="0" y="0"/>
                      <a:ext cx="5876925" cy="38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 xml:space="preserve"> </w:t>
      </w:r>
    </w:p>
    <w:p>
      <w:pPr>
        <w:spacing w:before="156" w:beforeLines="50" w:line="578" w:lineRule="exact"/>
        <w:jc w:val="center"/>
        <w:rPr>
          <w:rFonts w:hint="eastAsia" w:ascii="宋体" w:hAnsi="宋体" w:cs="宋体"/>
          <w:b/>
          <w:bCs/>
          <w:color w:val="000000"/>
          <w:spacing w:val="11"/>
          <w:sz w:val="44"/>
          <w:szCs w:val="44"/>
        </w:rPr>
      </w:pPr>
      <w:r>
        <w:rPr>
          <w:rFonts w:hint="eastAsia" w:ascii="宋体" w:hAnsi="宋体" w:cs="宋体"/>
          <w:b/>
          <w:bCs/>
          <w:color w:val="000000"/>
          <w:spacing w:val="11"/>
          <w:sz w:val="44"/>
          <w:szCs w:val="44"/>
        </w:rPr>
        <w:t>关于贯彻落实省市扶贫开发领导小组</w:t>
      </w:r>
    </w:p>
    <w:p>
      <w:pPr>
        <w:spacing w:before="156" w:beforeLines="50" w:line="578" w:lineRule="exact"/>
        <w:jc w:val="center"/>
        <w:rPr>
          <w:rFonts w:hint="eastAsia" w:ascii="宋体" w:hAnsi="宋体" w:cs="宋体"/>
          <w:b/>
          <w:bCs/>
          <w:color w:val="000000"/>
          <w:spacing w:val="11"/>
          <w:sz w:val="44"/>
          <w:szCs w:val="44"/>
        </w:rPr>
      </w:pPr>
      <w:r>
        <w:rPr>
          <w:rFonts w:hint="eastAsia" w:ascii="宋体" w:hAnsi="宋体" w:cs="宋体"/>
          <w:b/>
          <w:bCs/>
          <w:color w:val="000000"/>
          <w:spacing w:val="11"/>
          <w:sz w:val="44"/>
          <w:szCs w:val="44"/>
        </w:rPr>
        <w:t>《新时期相对贫困村定点扶贫工作方案》的</w:t>
      </w:r>
    </w:p>
    <w:p>
      <w:pPr>
        <w:spacing w:before="156" w:beforeLines="50" w:line="578" w:lineRule="exact"/>
        <w:jc w:val="center"/>
        <w:rPr>
          <w:rFonts w:hint="eastAsia" w:ascii="宋体" w:hAnsi="宋体" w:cs="宋体"/>
          <w:b/>
          <w:bCs/>
          <w:color w:val="000000"/>
          <w:spacing w:val="11"/>
          <w:sz w:val="44"/>
          <w:szCs w:val="44"/>
        </w:rPr>
      </w:pPr>
      <w:r>
        <w:rPr>
          <w:rFonts w:hint="eastAsia" w:ascii="宋体" w:hAnsi="宋体" w:cs="宋体"/>
          <w:b/>
          <w:bCs/>
          <w:color w:val="000000"/>
          <w:spacing w:val="11"/>
          <w:sz w:val="44"/>
          <w:szCs w:val="44"/>
        </w:rPr>
        <w:t>通　知</w:t>
      </w:r>
    </w:p>
    <w:p>
      <w:pPr>
        <w:snapToGrid w:val="0"/>
        <w:spacing w:line="360" w:lineRule="auto"/>
        <w:jc w:val="left"/>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各镇党委、政府，县直及市驻连平副科以上各单位：</w:t>
      </w:r>
    </w:p>
    <w:p>
      <w:p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经县委、县政府同意，现将省扶贫开发领导小组《新时期相对贫困村定点扶贫工作方案》（粤扶组〔2016〕4号）及市扶贫开发领导小组《关于贯彻落实省市扶贫开发领导小组〈新时期相对贫困村定点扶贫工作方案〉的通知》（河扶[2016]6号）转发给你们，同时制定我县自身负责相对贫困村和分散贫困户的结对帮扶方案，请认真遵照执行。</w:t>
      </w:r>
    </w:p>
    <w:p>
      <w:pPr>
        <w:numPr>
          <w:ilvl w:val="0"/>
          <w:numId w:val="1"/>
        </w:num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各级、各单位要认真学习习近平总书记关于精准扶贫系列讲话精神和《中共广东省委、广东省人民政府关于新时期精准扶贫精准脱贫三年攻坚的实施意见》、省《新时期相对贫困村定点扶贫工作方案》（粤扶组〔2016〕4号）及市《关于贯彻落实省市扶贫开发领导小组〈新时期相对贫困村定点扶贫工作方案〉的通知》（河扶[2016]6号）等系列文件，切实领会精神实质。被帮扶村要认真履行被帮扶责任，主动与有关帮扶单位沟通对接，为驻村工作队进驻提供优质服务和工作便利。各帮扶单位要对照“十个落实”（落实精准识贫、落实申报程序、落实建档立卡、落实帮扶规划、落实帮扶到户、落实整村推进、落实组织建设、落实社会扶贫、落实资金管理、落实工作制度）的要求，扎实做好前期准备工作，确保按省的要求在4月底前各驻村工作队全部进村开展定点扶贫工作。安排结对帮扶分散贫困户的单位也要在4月底前组织干部职工进村入户开展有关扶贫工作。</w:t>
      </w:r>
    </w:p>
    <w:p>
      <w:pPr>
        <w:numPr>
          <w:ilvl w:val="0"/>
          <w:numId w:val="1"/>
        </w:num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新时期扶贫我县30个相对贫困村，其中深圳市帮扶27个，河源市帮扶1个，我县自身帮扶2个村，由县委书记、县长为挂钩领导，分别由县委办牵头、县财政局和县府办牵头、县交通局各帮扶1个相对贫困村（具体任务安排见附件3），我县面上村分散相对贫困户由未安排结对帮扶相对贫困村的县直单位和各镇党委、政府，负责结对帮扶1个村的分散贫困户（见附件4），并安排本单位干部职工结对联系分散贫困户，与县驻镇工作组共同开展贫困户脱贫工作,各单位可根据实际情况自行确定是否驻村。</w:t>
      </w:r>
    </w:p>
    <w:p>
      <w:pPr>
        <w:numPr>
          <w:ilvl w:val="0"/>
          <w:numId w:val="1"/>
        </w:num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为方便工作联系，县直各单位要明确分管扶贫工作领导及联络员（附件5），于4月28日前通过传真并发电子件的形式报至县扶贫办（传真：4338730，报送邮箱：lpfpb@163.com）。未安排县直单位帮扶的分散贫困户，由各镇自行负责安排，实现可开发的贫困户结对帮扶全覆盖。各县直单位和各镇分散贫困户结对帮扶安排情况于4月底前报县扶贫办备案。</w:t>
      </w:r>
    </w:p>
    <w:p>
      <w:pPr>
        <w:numPr>
          <w:ilvl w:val="0"/>
          <w:numId w:val="1"/>
        </w:num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县驻镇工作组由镇干部、县直单位派出联系员，村书记或主任组成，统一在镇领导下开展工作。</w:t>
      </w:r>
    </w:p>
    <w:p>
      <w:pPr>
        <w:snapToGrid w:val="0"/>
        <w:spacing w:line="360" w:lineRule="auto"/>
        <w:ind w:firstLine="684" w:firstLineChars="200"/>
        <w:rPr>
          <w:rFonts w:hint="eastAsia" w:ascii="宋体" w:hAnsi="宋体" w:eastAsia="宋体" w:cs="宋体"/>
          <w:color w:val="000000"/>
          <w:spacing w:val="11"/>
          <w:sz w:val="32"/>
          <w:szCs w:val="32"/>
        </w:rPr>
      </w:pPr>
    </w:p>
    <w:p>
      <w:pPr>
        <w:tabs>
          <w:tab w:val="left" w:pos="709"/>
          <w:tab w:val="left" w:pos="1843"/>
        </w:tabs>
        <w:spacing w:before="156" w:beforeLines="50" w:line="578" w:lineRule="exact"/>
        <w:ind w:left="2052" w:hanging="2052" w:hangingChars="600"/>
        <w:jc w:val="left"/>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附件：1.省《新时期相对贫困村定点扶贫工作方案》粤扶组〔2016〕4号</w:t>
      </w:r>
    </w:p>
    <w:p>
      <w:pPr>
        <w:snapToGrid w:val="0"/>
        <w:spacing w:line="360" w:lineRule="auto"/>
        <w:ind w:left="2071" w:leftChars="135" w:hanging="1788" w:hangingChars="523"/>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2.市《关于贯彻落实省市扶贫开发领导小组〈新时期相对贫困村定点扶贫工作方案〉的通知》河扶[2016]6号</w:t>
      </w:r>
    </w:p>
    <w:p>
      <w:pPr>
        <w:snapToGrid w:val="0"/>
        <w:spacing w:line="360" w:lineRule="auto"/>
        <w:ind w:left="2047" w:leftChars="812" w:hanging="342" w:hangingChars="100"/>
        <w:jc w:val="left"/>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3.连平县新时期精准扶贫相对贫困村结对帮扶安排表</w:t>
      </w:r>
    </w:p>
    <w:p>
      <w:pPr>
        <w:snapToGrid w:val="0"/>
        <w:spacing w:line="360" w:lineRule="auto"/>
        <w:ind w:left="2048" w:leftChars="324" w:hanging="1368" w:hangingChars="4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4.连平县新时期精准扶贫面上村分散贫困户结对帮扶安排表</w:t>
      </w:r>
    </w:p>
    <w:p>
      <w:pPr>
        <w:snapToGrid w:val="0"/>
        <w:spacing w:line="360" w:lineRule="auto"/>
        <w:ind w:left="2048" w:leftChars="324" w:hanging="1368" w:hangingChars="4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5.县直帮扶单位分管扶贫领导和联络员联系登记表</w:t>
      </w:r>
    </w:p>
    <w:p>
      <w:pPr>
        <w:snapToGrid w:val="0"/>
        <w:spacing w:line="360" w:lineRule="auto"/>
        <w:rPr>
          <w:rFonts w:hint="eastAsia" w:ascii="宋体" w:hAnsi="宋体" w:eastAsia="宋体" w:cs="宋体"/>
          <w:color w:val="000000"/>
          <w:spacing w:val="11"/>
          <w:sz w:val="32"/>
          <w:szCs w:val="32"/>
        </w:rPr>
      </w:pPr>
    </w:p>
    <w:p>
      <w:p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连平县扶贫开发领导小组</w:t>
      </w:r>
    </w:p>
    <w:p>
      <w:pPr>
        <w:snapToGrid w:val="0"/>
        <w:spacing w:line="360" w:lineRule="auto"/>
        <w:ind w:firstLine="684" w:firstLineChars="200"/>
        <w:rPr>
          <w:rFonts w:hint="eastAsia" w:ascii="宋体" w:hAnsi="宋体" w:eastAsia="宋体" w:cs="宋体"/>
          <w:color w:val="000000"/>
          <w:spacing w:val="11"/>
          <w:sz w:val="32"/>
          <w:szCs w:val="32"/>
        </w:rPr>
      </w:pPr>
      <w:r>
        <w:rPr>
          <w:rFonts w:hint="eastAsia" w:ascii="宋体" w:hAnsi="宋体" w:eastAsia="宋体" w:cs="宋体"/>
          <w:color w:val="000000"/>
          <w:spacing w:val="11"/>
          <w:sz w:val="32"/>
          <w:szCs w:val="32"/>
        </w:rPr>
        <w:t xml:space="preserve">                         2016年4月26日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bookmarkStart w:id="0" w:name="_GoBack"/>
      <w:bookmarkEnd w:id="0"/>
    </w:p>
    <w:sectPr>
      <w:headerReference r:id="rId3" w:type="default"/>
      <w:footerReference r:id="rId4" w:type="default"/>
      <w:pgSz w:w="11906" w:h="16838"/>
      <w:pgMar w:top="1723" w:right="1633" w:bottom="1723"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Align="top"/>
      <w:pBdr>
        <w:between w:val="none" w:color="auto" w:sz="0" w:space="0"/>
      </w:pBdr>
    </w:pPr>
    <w:r>
      <w:fldChar w:fldCharType="begin"/>
    </w:r>
    <w:r>
      <w:rPr>
        <w:rStyle w:val="6"/>
      </w:rPr>
      <w:instrText xml:space="preserve"> PAGE  </w:instrText>
    </w:r>
    <w:r>
      <w:fldChar w:fldCharType="separate"/>
    </w:r>
    <w:r>
      <w:rPr>
        <w:rStyle w:val="6"/>
        <w:rFonts w:hint="eastAsia"/>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77C2C"/>
    <w:rsid w:val="13977C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customStyle="1" w:styleId="8">
    <w:name w:val="15"/>
    <w:basedOn w:val="5"/>
    <w:qFormat/>
    <w:uiPriority w:val="0"/>
    <w:rPr>
      <w:rFonts w:hint="default" w:ascii="Times New Roman" w:hAnsi="Times New Roman" w:cs="Times New Roman"/>
      <w:b/>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2018-02-07T09:31:00Z</dcterms:created>
  <dc:creator>朱朱颖颖朱朱颖</dc:creator>
  <cp:lastModifiedBy>朱朱颖颖朱朱颖</cp:lastModifiedBy>
  <dcterms:modified xsi:type="dcterms:W3CDTF">2018-02-07T09:32:33Z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